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UNDER SECTION 13 OR 15(d) OF THE SECURITIES EXCHANGE ACT OF 1934</w:t>
      </w:r>
    </w:p>
    <w:p>
      <w:pPr>
        <w:spacing w:after="0" w:line="1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2016</w:t>
      </w:r>
    </w:p>
    <w:p>
      <w:pPr>
        <w:spacing w:after="0" w:line="18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UNDER SECTION 13 OR 15(d) OF THE SECURITIES EXCHANGE ACT OF 1934</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ARROWHEAD PHARMACEUTICALS,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7" w:lineRule="exact"/>
        <w:rPr>
          <w:sz w:val="24"/>
          <w:szCs w:val="24"/>
          <w:color w:val="auto"/>
        </w:rPr>
      </w:pPr>
    </w:p>
    <w:tbl>
      <w:tblPr>
        <w:tblLayout w:type="fixed"/>
        <w:tblInd w:w="2140" w:type="dxa"/>
        <w:tblCellMar>
          <w:top w:w="0" w:type="dxa"/>
          <w:left w:w="0" w:type="dxa"/>
          <w:bottom w:w="0" w:type="dxa"/>
          <w:right w:w="0" w:type="dxa"/>
        </w:tblCellMar>
      </w:tblPr>
      <w:tr>
        <w:trPr>
          <w:trHeight w:val="214"/>
        </w:trPr>
        <w:tc>
          <w:tcPr>
            <w:tcW w:w="15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20" w:type="dxa"/>
            <w:vAlign w:val="bottom"/>
            <w:gridSpan w:val="3"/>
          </w:tcPr>
          <w:p>
            <w:pPr>
              <w:jc w:val="right"/>
              <w:ind w:right="588"/>
              <w:spacing w:after="0"/>
              <w:rPr>
                <w:sz w:val="20"/>
                <w:szCs w:val="20"/>
                <w:color w:val="auto"/>
              </w:rPr>
            </w:pPr>
            <w:r>
              <w:rPr>
                <w:rFonts w:ascii="Times New Roman" w:cs="Times New Roman" w:eastAsia="Times New Roman" w:hAnsi="Times New Roman"/>
                <w:sz w:val="18"/>
                <w:szCs w:val="18"/>
                <w:b w:val="1"/>
                <w:bCs w:val="1"/>
                <w:color w:val="auto"/>
              </w:rPr>
              <w:t>46-0408024</w:t>
            </w:r>
          </w:p>
        </w:tc>
      </w:tr>
      <w:tr>
        <w:trPr>
          <w:trHeight w:val="190"/>
        </w:trPr>
        <w:tc>
          <w:tcPr>
            <w:tcW w:w="15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0"/>
        </w:trPr>
        <w:tc>
          <w:tcPr>
            <w:tcW w:w="1560" w:type="dxa"/>
            <w:vAlign w:val="bottom"/>
          </w:tcPr>
          <w:p>
            <w:pPr>
              <w:spacing w:after="0"/>
              <w:rPr>
                <w:sz w:val="24"/>
                <w:szCs w:val="24"/>
                <w:color w:val="auto"/>
              </w:rPr>
            </w:pPr>
          </w:p>
        </w:tc>
        <w:tc>
          <w:tcPr>
            <w:tcW w:w="6020" w:type="dxa"/>
            <w:vAlign w:val="bottom"/>
            <w:gridSpan w:val="3"/>
          </w:tcPr>
          <w:p>
            <w:pPr>
              <w:jc w:val="center"/>
              <w:ind w:right="1908"/>
              <w:spacing w:after="0"/>
              <w:rPr>
                <w:sz w:val="20"/>
                <w:szCs w:val="20"/>
                <w:color w:val="auto"/>
              </w:rPr>
            </w:pPr>
            <w:r>
              <w:rPr>
                <w:rFonts w:ascii="Times New Roman" w:cs="Times New Roman" w:eastAsia="Times New Roman" w:hAnsi="Times New Roman"/>
                <w:sz w:val="18"/>
                <w:szCs w:val="18"/>
                <w:b w:val="1"/>
                <w:bCs w:val="1"/>
                <w:color w:val="auto"/>
                <w:w w:val="99"/>
              </w:rPr>
              <w:t>225 S. Lake Avenue, Suite 1050</w:t>
            </w:r>
          </w:p>
        </w:tc>
      </w:tr>
      <w:tr>
        <w:trPr>
          <w:trHeight w:val="216"/>
        </w:trPr>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40" w:type="dxa"/>
            <w:vAlign w:val="bottom"/>
            <w:gridSpan w:val="2"/>
          </w:tcPr>
          <w:p>
            <w:pPr>
              <w:jc w:val="center"/>
              <w:ind w:right="2808"/>
              <w:spacing w:after="0"/>
              <w:rPr>
                <w:sz w:val="20"/>
                <w:szCs w:val="20"/>
                <w:color w:val="auto"/>
              </w:rPr>
            </w:pPr>
            <w:r>
              <w:rPr>
                <w:rFonts w:ascii="Times New Roman" w:cs="Times New Roman" w:eastAsia="Times New Roman" w:hAnsi="Times New Roman"/>
                <w:sz w:val="18"/>
                <w:szCs w:val="18"/>
                <w:b w:val="1"/>
                <w:bCs w:val="1"/>
                <w:color w:val="auto"/>
                <w:w w:val="99"/>
              </w:rPr>
              <w:t>Pasadena, California 91101</w:t>
            </w:r>
          </w:p>
        </w:tc>
      </w:tr>
      <w:tr>
        <w:trPr>
          <w:trHeight w:val="214"/>
        </w:trPr>
        <w:tc>
          <w:tcPr>
            <w:tcW w:w="1560" w:type="dxa"/>
            <w:vAlign w:val="bottom"/>
          </w:tcPr>
          <w:p>
            <w:pPr>
              <w:spacing w:after="0"/>
              <w:rPr>
                <w:sz w:val="18"/>
                <w:szCs w:val="18"/>
                <w:color w:val="auto"/>
              </w:rPr>
            </w:pPr>
          </w:p>
        </w:tc>
        <w:tc>
          <w:tcPr>
            <w:tcW w:w="3160" w:type="dxa"/>
            <w:vAlign w:val="bottom"/>
            <w:gridSpan w:val="2"/>
          </w:tcPr>
          <w:p>
            <w:pPr>
              <w:jc w:val="center"/>
              <w:ind w:left="794"/>
              <w:spacing w:after="0"/>
              <w:rPr>
                <w:sz w:val="20"/>
                <w:szCs w:val="20"/>
                <w:color w:val="auto"/>
              </w:rPr>
            </w:pPr>
            <w:r>
              <w:rPr>
                <w:rFonts w:ascii="Times New Roman" w:cs="Times New Roman" w:eastAsia="Times New Roman" w:hAnsi="Times New Roman"/>
                <w:sz w:val="18"/>
                <w:szCs w:val="18"/>
                <w:b w:val="1"/>
                <w:bCs w:val="1"/>
                <w:color w:val="auto"/>
                <w:w w:val="99"/>
              </w:rPr>
              <w:t>(626) 304-3400</w:t>
            </w:r>
          </w:p>
        </w:tc>
        <w:tc>
          <w:tcPr>
            <w:tcW w:w="2860" w:type="dxa"/>
            <w:vAlign w:val="bottom"/>
          </w:tcPr>
          <w:p>
            <w:pPr>
              <w:spacing w:after="0"/>
              <w:rPr>
                <w:sz w:val="18"/>
                <w:szCs w:val="18"/>
                <w:color w:val="auto"/>
              </w:rPr>
            </w:pPr>
          </w:p>
        </w:tc>
      </w:tr>
      <w:tr>
        <w:trPr>
          <w:trHeight w:val="190"/>
        </w:trPr>
        <w:tc>
          <w:tcPr>
            <w:tcW w:w="1560" w:type="dxa"/>
            <w:vAlign w:val="bottom"/>
          </w:tcPr>
          <w:p>
            <w:pPr>
              <w:spacing w:after="0"/>
              <w:rPr>
                <w:sz w:val="16"/>
                <w:szCs w:val="16"/>
                <w:color w:val="auto"/>
              </w:rPr>
            </w:pPr>
          </w:p>
        </w:tc>
        <w:tc>
          <w:tcPr>
            <w:tcW w:w="6020" w:type="dxa"/>
            <w:vAlign w:val="bottom"/>
            <w:gridSpan w:val="3"/>
          </w:tcPr>
          <w:p>
            <w:pPr>
              <w:jc w:val="center"/>
              <w:ind w:right="1908"/>
              <w:spacing w:after="0"/>
              <w:rPr>
                <w:sz w:val="20"/>
                <w:szCs w:val="20"/>
                <w:color w:val="auto"/>
              </w:rPr>
            </w:pPr>
            <w:r>
              <w:rPr>
                <w:rFonts w:ascii="Times New Roman" w:cs="Times New Roman" w:eastAsia="Times New Roman" w:hAnsi="Times New Roman"/>
                <w:sz w:val="14"/>
                <w:szCs w:val="14"/>
                <w:b w:val="1"/>
                <w:bCs w:val="1"/>
                <w:color w:val="auto"/>
              </w:rPr>
              <w:t>(Address and telephone number of principal executive offices)</w:t>
            </w:r>
          </w:p>
        </w:tc>
      </w:tr>
      <w:tr>
        <w:trPr>
          <w:trHeight w:val="145"/>
        </w:trPr>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r>
    </w:tbl>
    <w:p>
      <w:pPr>
        <w:spacing w:after="0" w:line="171"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62" w:right="299" w:bottom="1440" w:gutter="0" w:footer="0" w:header="0"/>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700" w:space="720"/>
            <w:col w:w="4920" w:space="720"/>
            <w:col w:w="2380" w:space="720"/>
            <w:col w:w="200"/>
          </w:cols>
          <w:pgMar w:left="240" w:top="362" w:right="29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700" w:space="720"/>
            <w:col w:w="160" w:space="80"/>
            <w:col w:w="4680" w:space="720"/>
            <w:col w:w="2380" w:space="720"/>
            <w:col w:w="200"/>
          </w:cols>
          <w:pgMar w:left="240" w:top="362" w:right="299" w:bottom="1440" w:gutter="0" w:footer="0" w:header="0"/>
          <w:type w:val="continuous"/>
        </w:sect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8880" w:space="180"/>
            <w:col w:w="2300"/>
          </w:cols>
          <w:pgMar w:left="240" w:top="362" w:right="299" w:bottom="1440" w:gutter="0" w:footer="0" w:header="0"/>
          <w:type w:val="continuous"/>
        </w:sectPr>
      </w:pP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February 3, 2017 was 74,569,706.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681990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3100" w:type="dxa"/>
            <w:vAlign w:val="bottom"/>
            <w:gridSpan w:val="9"/>
            <w:vMerge w:val="restart"/>
          </w:tcPr>
          <w:p>
            <w:pPr>
              <w:spacing w:after="0"/>
              <w:rPr>
                <w:rFonts w:ascii="Times New Roman" w:cs="Times New Roman" w:eastAsia="Times New Roman" w:hAnsi="Times New Roman"/>
                <w:sz w:val="17"/>
                <w:szCs w:val="17"/>
                <w:b w:val="1"/>
                <w:bCs w:val="1"/>
                <w:color w:val="0000EE"/>
                <w:w w:val="99"/>
              </w:rPr>
            </w:pPr>
            <w:hyperlink w:anchor="page3">
              <w:r>
                <w:rPr>
                  <w:rFonts w:ascii="Times New Roman" w:cs="Times New Roman" w:eastAsia="Times New Roman" w:hAnsi="Times New Roman"/>
                  <w:sz w:val="17"/>
                  <w:szCs w:val="17"/>
                  <w:b w:val="1"/>
                  <w:bCs w:val="1"/>
                  <w:color w:val="0000EE"/>
                  <w:w w:val="99"/>
                </w:rPr>
                <w:t>PART I — FINANCIAL INFORMATION</w:t>
              </w:r>
            </w:hyperlink>
          </w:p>
        </w:tc>
        <w:tc>
          <w:tcPr>
            <w:tcW w:w="7680" w:type="dxa"/>
            <w:vAlign w:val="bottom"/>
            <w:gridSpan w:val="10"/>
            <w:vMerge w:val="restart"/>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9"/>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9"/>
              </w:rPr>
            </w:pPr>
            <w:hyperlink w:anchor="page3">
              <w:r>
                <w:rPr>
                  <w:rFonts w:ascii="Times New Roman" w:cs="Times New Roman" w:eastAsia="Times New Roman" w:hAnsi="Times New Roman"/>
                  <w:sz w:val="17"/>
                  <w:szCs w:val="17"/>
                  <w:color w:val="0000EE"/>
                  <w:w w:val="99"/>
                </w:rPr>
                <w:t>ITEM 1. FINANCIAL STATEMENTS (unaudited)</w:t>
              </w:r>
            </w:hyperlink>
          </w:p>
        </w:tc>
        <w:tc>
          <w:tcPr>
            <w:tcW w:w="726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Consolidated Statements of Operations</w:t>
              </w:r>
            </w:hyperlink>
          </w:p>
        </w:tc>
        <w:tc>
          <w:tcPr>
            <w:tcW w:w="7660" w:type="dxa"/>
            <w:vAlign w:val="bottom"/>
            <w:gridSpan w:val="9"/>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Consolidated Statement of Stockholders’ Equity</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3"/>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Notes to Consolidated Financial Statements</w:t>
              </w:r>
            </w:hyperlink>
          </w:p>
        </w:tc>
        <w:tc>
          <w:tcPr>
            <w:tcW w:w="734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9"/>
              </w:rPr>
            </w:pPr>
            <w:hyperlink w:anchor="page19">
              <w:r>
                <w:rPr>
                  <w:rFonts w:ascii="Times New Roman" w:cs="Times New Roman" w:eastAsia="Times New Roman" w:hAnsi="Times New Roman"/>
                  <w:sz w:val="17"/>
                  <w:szCs w:val="17"/>
                  <w:color w:val="0000EE"/>
                  <w:w w:val="99"/>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9"/>
              </w:rPr>
            </w:pPr>
            <w:hyperlink w:anchor="page27">
              <w:r>
                <w:rPr>
                  <w:rFonts w:ascii="Times New Roman" w:cs="Times New Roman" w:eastAsia="Times New Roman" w:hAnsi="Times New Roman"/>
                  <w:sz w:val="17"/>
                  <w:szCs w:val="17"/>
                  <w:color w:val="0000EE"/>
                  <w:w w:val="99"/>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27">
              <w:r>
                <w:rPr>
                  <w:rFonts w:ascii="Times New Roman" w:cs="Times New Roman" w:eastAsia="Times New Roman" w:hAnsi="Times New Roman"/>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9"/>
          </w:tcPr>
          <w:p>
            <w:pPr>
              <w:spacing w:after="0"/>
              <w:rPr>
                <w:rFonts w:ascii="Times New Roman" w:cs="Times New Roman" w:eastAsia="Times New Roman" w:hAnsi="Times New Roman"/>
                <w:sz w:val="17"/>
                <w:szCs w:val="17"/>
                <w:b w:val="1"/>
                <w:bCs w:val="1"/>
                <w:color w:val="0000EE"/>
              </w:rPr>
            </w:pPr>
            <w:hyperlink w:anchor="page28">
              <w:r>
                <w:rPr>
                  <w:rFonts w:ascii="Times New Roman" w:cs="Times New Roman" w:eastAsia="Times New Roman" w:hAnsi="Times New Roman"/>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7"/>
                <w:szCs w:val="17"/>
                <w:color w:val="0000EE"/>
              </w:rPr>
            </w:pPr>
            <w:hyperlink w:anchor="page28">
              <w:r>
                <w:rPr>
                  <w:rFonts w:ascii="Times New Roman" w:cs="Times New Roman" w:eastAsia="Times New Roman" w:hAnsi="Times New Roman"/>
                  <w:sz w:val="17"/>
                  <w:szCs w:val="17"/>
                  <w:color w:val="0000EE"/>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28">
              <w:r>
                <w:rPr>
                  <w:rFonts w:ascii="Times New Roman" w:cs="Times New Roman" w:eastAsia="Times New Roman" w:hAnsi="Times New Roman"/>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28">
              <w:r>
                <w:rPr>
                  <w:rFonts w:ascii="Times New Roman" w:cs="Times New Roman" w:eastAsia="Times New Roman" w:hAnsi="Times New Roman"/>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6"/>
          </w:tcPr>
          <w:p>
            <w:pPr>
              <w:spacing w:after="0"/>
              <w:rPr>
                <w:rFonts w:ascii="Times New Roman" w:cs="Times New Roman" w:eastAsia="Times New Roman" w:hAnsi="Times New Roman"/>
                <w:sz w:val="17"/>
                <w:szCs w:val="17"/>
                <w:color w:val="0000EE"/>
              </w:rPr>
            </w:pPr>
            <w:hyperlink w:anchor="page28">
              <w:r>
                <w:rPr>
                  <w:rFonts w:ascii="Times New Roman" w:cs="Times New Roman" w:eastAsia="Times New Roman" w:hAnsi="Times New Roman"/>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7"/>
                <w:szCs w:val="17"/>
                <w:color w:val="0000EE"/>
              </w:rPr>
            </w:pPr>
            <w:hyperlink w:anchor="page28">
              <w:r>
                <w:rPr>
                  <w:rFonts w:ascii="Times New Roman" w:cs="Times New Roman" w:eastAsia="Times New Roman" w:hAnsi="Times New Roman"/>
                  <w:sz w:val="17"/>
                  <w:szCs w:val="17"/>
                  <w:color w:val="0000EE"/>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28">
              <w:r>
                <w:rPr>
                  <w:rFonts w:ascii="Times New Roman" w:cs="Times New Roman" w:eastAsia="Times New Roman" w:hAnsi="Times New Roman"/>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7"/>
                <w:szCs w:val="17"/>
                <w:color w:val="0000EE"/>
                <w:w w:val="99"/>
              </w:rPr>
            </w:pPr>
            <w:hyperlink w:anchor="page29">
              <w:r>
                <w:rPr>
                  <w:rFonts w:ascii="Times New Roman" w:cs="Times New Roman" w:eastAsia="Times New Roman" w:hAnsi="Times New Roman"/>
                  <w:sz w:val="17"/>
                  <w:szCs w:val="17"/>
                  <w:color w:val="0000EE"/>
                  <w:w w:val="99"/>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Times New Roman" w:cs="Times New Roman" w:eastAsia="Times New Roman" w:hAnsi="Times New Roman"/>
                <w:sz w:val="17"/>
                <w:szCs w:val="17"/>
                <w:color w:val="0000EE"/>
              </w:rPr>
            </w:pPr>
            <w:hyperlink w:anchor="page30">
              <w:r>
                <w:rPr>
                  <w:rFonts w:ascii="Times New Roman" w:cs="Times New Roman" w:eastAsia="Times New Roman" w:hAnsi="Times New Roman"/>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Times New Roman" w:cs="Times New Roman" w:eastAsia="Times New Roman" w:hAnsi="Times New Roman"/>
                <w:sz w:val="18"/>
                <w:szCs w:val="18"/>
                <w:b w:val="1"/>
                <w:bCs w:val="1"/>
                <w:color w:val="auto"/>
                <w:w w:val="99"/>
              </w:rPr>
              <w:t>Arrowhead Pharmaceuticals, Inc.</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102,105,569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85,366,448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Trade receivables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Prepaid expenses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569,415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1,289,923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3,495,369</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3,771,172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106,230,353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90,502,543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16,165,659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15,386,761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21,739,761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22,164,868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122,333</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122,333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144,258,106</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128,176,505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3,698,297</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12,232,906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4,762,105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4,587,467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2,150,014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3,969,706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rent</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440,580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440,580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25,584,181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2,569,792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Derivative liabilities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118,795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1,602,626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Note Payable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197,713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36,998,092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25,643,794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Deferred rent, net of current portion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2,188,703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2,274,997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5,180,115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Note Payable, net of current portion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2,482,775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2,533,455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10,051,593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7,508,452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(Note 6)</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Arrowhead Pharmaceuticals, Inc. stockholders' equity:</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20" w:type="dxa"/>
            <w:vAlign w:val="bottom"/>
            <w:gridSpan w:val="2"/>
          </w:tcPr>
          <w:p>
            <w:pPr>
              <w:ind w:left="50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5,000,000 shares authorized; 0 and 15,652 shares issued and</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outstanding as of December 31, 2016 and September 30, 2016</w:t>
            </w:r>
          </w:p>
        </w:tc>
        <w:tc>
          <w:tcPr>
            <w:tcW w:w="1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820" w:type="dxa"/>
            <w:vAlign w:val="bottom"/>
            <w:gridSpan w:val="2"/>
            <w:shd w:val="clear" w:color="auto" w:fill="CFF0FC"/>
          </w:tcPr>
          <w:p>
            <w:pPr>
              <w:ind w:left="500"/>
              <w:spacing w:after="0" w:line="139" w:lineRule="exact"/>
              <w:rPr>
                <w:sz w:val="20"/>
                <w:szCs w:val="20"/>
                <w:color w:val="auto"/>
              </w:rPr>
            </w:pPr>
            <w:r>
              <w:rPr>
                <w:rFonts w:ascii="Times New Roman" w:cs="Times New Roman" w:eastAsia="Times New Roman" w:hAnsi="Times New Roman"/>
                <w:sz w:val="14"/>
                <w:szCs w:val="14"/>
                <w:color w:val="auto"/>
              </w:rPr>
              <w:t>Common stock, $0.001 par value; 145,000,000 shares authorized; 74,413,040 and 69,746,685 shares</w:t>
            </w:r>
          </w:p>
        </w:tc>
        <w:tc>
          <w:tcPr>
            <w:tcW w:w="140" w:type="dxa"/>
            <w:vAlign w:val="bottom"/>
            <w:shd w:val="clear" w:color="auto" w:fill="CFF0FC"/>
          </w:tcPr>
          <w:p>
            <w:pPr>
              <w:spacing w:after="0"/>
              <w:rPr>
                <w:sz w:val="12"/>
                <w:szCs w:val="12"/>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166,782</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162,116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issued and outstanding as of December 31, 2016 and September 30, 2016, respectively</w:t>
            </w:r>
          </w:p>
        </w:tc>
        <w:tc>
          <w:tcPr>
            <w:tcW w:w="14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508,303,137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493,844,909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(185,159)</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(410,521,151)</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(398,435,043)</w:t>
            </w:r>
          </w:p>
        </w:tc>
        <w:tc>
          <w:tcPr>
            <w:tcW w:w="0" w:type="dxa"/>
            <w:vAlign w:val="bottom"/>
          </w:tcPr>
          <w:p>
            <w:pPr>
              <w:spacing w:after="0"/>
              <w:rPr>
                <w:sz w:val="1"/>
                <w:szCs w:val="1"/>
                <w:color w:val="auto"/>
              </w:rPr>
            </w:pPr>
          </w:p>
        </w:tc>
      </w:tr>
      <w:tr>
        <w:trPr>
          <w:trHeight w:val="169"/>
        </w:trPr>
        <w:tc>
          <w:tcPr>
            <w:tcW w:w="7820" w:type="dxa"/>
            <w:vAlign w:val="bottom"/>
            <w:tcBorders>
              <w:top w:val="single" w:sz="8" w:color="CFF0FC"/>
            </w:tcBorders>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Total Arrowhead Pharmaceuticals, Inc. stockholders' equity</w:t>
            </w: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97,763,609</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95,579,447</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(555,188)</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7120" w:type="dxa"/>
            <w:vAlign w:val="bottom"/>
            <w:tcBorders>
              <w:top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97,208,421</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95,024,259</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144,258,106</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128,176,505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6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0" w:type="dxa"/>
            <w:vAlign w:val="bottom"/>
          </w:tcPr>
          <w:p>
            <w:pPr>
              <w:spacing w:after="0"/>
              <w:rPr>
                <w:sz w:val="1"/>
                <w:szCs w:val="1"/>
                <w:color w:val="auto"/>
              </w:rPr>
            </w:pPr>
          </w:p>
        </w:tc>
      </w:tr>
      <w:tr>
        <w:trPr>
          <w:trHeight w:val="226"/>
        </w:trPr>
        <w:tc>
          <w:tcPr>
            <w:tcW w:w="612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4,365,496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43,750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9,527,051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10,338,833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Salaries and payroll-related costs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4,276,105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1,854,174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2,424,442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1,185,611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794,349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19,267,383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19,385,020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LOSS</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(14,901,887)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(19,341,270)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value of derivatives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(23,524)</w:t>
            </w: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income (expense)</w:t>
            </w:r>
          </w:p>
        </w:tc>
        <w:tc>
          <w:tcPr>
            <w:tcW w:w="1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1,306,800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2,815,779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(12,086,108)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(19,264,414)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(12,086,108)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(19,264,414)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0"/>
        </w:trPr>
        <w:tc>
          <w:tcPr>
            <w:tcW w:w="61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71,444,600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59,548,672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(192,608)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1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(12,278,716)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(19,218,596)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2"/>
            <w:vMerge w:val="continue"/>
          </w:tcPr>
          <w:p>
            <w:pPr>
              <w:spacing w:after="0"/>
              <w:rPr>
                <w:sz w:val="12"/>
                <w:szCs w:val="12"/>
                <w:color w:val="auto"/>
              </w:rPr>
            </w:pPr>
          </w:p>
        </w:tc>
        <w:tc>
          <w:tcPr>
            <w:tcW w:w="8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2016</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vMerge w:val="continue"/>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15,652</w:t>
            </w: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69,746,685</w:t>
            </w:r>
          </w:p>
        </w:tc>
        <w:tc>
          <w:tcPr>
            <w:tcW w:w="2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162,116</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$ 493,844,909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7,449</w:t>
            </w:r>
          </w:p>
        </w:tc>
        <w:tc>
          <w:tcPr>
            <w:tcW w:w="20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5"/>
              </w:rPr>
              <w:t>$ (398,435,043)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95,024,259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2,424,442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2,424,442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Restricted Stock Units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249,556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1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(381,813)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(381,564)</w:t>
            </w:r>
          </w:p>
        </w:tc>
        <w:tc>
          <w:tcPr>
            <w:tcW w:w="0" w:type="dxa"/>
            <w:vAlign w:val="bottom"/>
          </w:tcPr>
          <w:p>
            <w:pPr>
              <w:spacing w:after="0"/>
              <w:rPr>
                <w:sz w:val="1"/>
                <w:szCs w:val="1"/>
                <w:color w:val="auto"/>
              </w:rPr>
            </w:pPr>
          </w:p>
        </w:tc>
      </w:tr>
      <w:tr>
        <w:trPr>
          <w:trHeight w:val="171"/>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40" w:type="dxa"/>
            <w:vAlign w:val="bottom"/>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to Amgen at $7.16 per</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1,745,810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12,418,254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12,420,000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share</w:t>
            </w: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converted to common stock</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(15,652)</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2,670,989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(2,655)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(192,608)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(192,608)</w:t>
            </w:r>
          </w:p>
        </w:tc>
        <w:tc>
          <w:tcPr>
            <w:tcW w:w="0" w:type="dxa"/>
            <w:vAlign w:val="bottom"/>
          </w:tcPr>
          <w:p>
            <w:pPr>
              <w:spacing w:after="0"/>
              <w:rPr>
                <w:sz w:val="1"/>
                <w:szCs w:val="1"/>
                <w:color w:val="auto"/>
              </w:rPr>
            </w:pPr>
          </w:p>
        </w:tc>
      </w:tr>
      <w:tr>
        <w:trPr>
          <w:trHeight w:val="139"/>
        </w:trPr>
        <w:tc>
          <w:tcPr>
            <w:tcW w:w="27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loss for the three months ended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(12,086,108)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(12,086,108)</w:t>
            </w:r>
          </w:p>
        </w:tc>
        <w:tc>
          <w:tcPr>
            <w:tcW w:w="0" w:type="dxa"/>
            <w:vAlign w:val="bottom"/>
          </w:tcPr>
          <w:p>
            <w:pPr>
              <w:spacing w:after="0"/>
              <w:rPr>
                <w:sz w:val="1"/>
                <w:szCs w:val="1"/>
                <w:color w:val="auto"/>
              </w:rPr>
            </w:pPr>
          </w:p>
        </w:tc>
      </w:tr>
      <w:tr>
        <w:trPr>
          <w:trHeight w:val="171"/>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31, 2016</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2016</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74,413,040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166,782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$ 508,303,137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(185,159)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(410,521,151</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(555,188</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97,208,421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6"/>
        </w:trPr>
        <w:tc>
          <w:tcPr>
            <w:tcW w:w="7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56"/>
        </w:trPr>
        <w:tc>
          <w:tcPr>
            <w:tcW w:w="7800" w:type="dxa"/>
            <w:vAlign w:val="bottom"/>
            <w:tcBorders>
              <w:top w:val="single" w:sz="8" w:color="CFF0FC"/>
            </w:tcBorders>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76"/>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(12,086,108)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(19,264,414)</w:t>
            </w: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 in value of derivatives</w:t>
            </w:r>
          </w:p>
        </w:tc>
        <w:tc>
          <w:tcPr>
            <w:tcW w:w="12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(1,483,831)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23,524</w:t>
            </w: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2,424,442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2,380,343</w:t>
            </w:r>
          </w:p>
        </w:tc>
        <w:tc>
          <w:tcPr>
            <w:tcW w:w="120" w:type="dxa"/>
            <w:vAlign w:val="bottom"/>
          </w:tcPr>
          <w:p>
            <w:pPr>
              <w:spacing w:after="0"/>
              <w:rPr>
                <w:sz w:val="14"/>
                <w:szCs w:val="14"/>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1,185,611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794,349</w:t>
            </w: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note premiums</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108,403</w:t>
            </w:r>
          </w:p>
        </w:tc>
        <w:tc>
          <w:tcPr>
            <w:tcW w:w="120" w:type="dxa"/>
            <w:vAlign w:val="bottom"/>
          </w:tcPr>
          <w:p>
            <w:pPr>
              <w:spacing w:after="0"/>
              <w:rPr>
                <w:sz w:val="14"/>
                <w:szCs w:val="14"/>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(1,054,719)</w:t>
            </w:r>
          </w:p>
        </w:tc>
      </w:tr>
      <w:tr>
        <w:trPr>
          <w:trHeight w:val="162"/>
        </w:trPr>
        <w:tc>
          <w:tcPr>
            <w:tcW w:w="7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1,027,021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(490,057)</w:t>
            </w:r>
          </w:p>
        </w:tc>
      </w:tr>
      <w:tr>
        <w:trPr>
          <w:trHeight w:val="162"/>
        </w:trPr>
        <w:tc>
          <w:tcPr>
            <w:tcW w:w="78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25,652,536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2"/>
        </w:trPr>
        <w:tc>
          <w:tcPr>
            <w:tcW w:w="7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(4,648,013)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257,216</w:t>
            </w: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4"/>
                <w:szCs w:val="14"/>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(1,850,996)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(3,945,503)</w:t>
            </w:r>
          </w:p>
        </w:tc>
      </w:tr>
      <w:tr>
        <w:trPr>
          <w:trHeight w:val="162"/>
        </w:trPr>
        <w:tc>
          <w:tcPr>
            <w:tcW w:w="7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(235,471)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42,789</w:t>
            </w:r>
          </w:p>
        </w:tc>
        <w:tc>
          <w:tcPr>
            <w:tcW w:w="120" w:type="dxa"/>
            <w:vAlign w:val="bottom"/>
            <w:shd w:val="clear" w:color="auto" w:fill="CFF0FC"/>
          </w:tcPr>
          <w:p>
            <w:pPr>
              <w:spacing w:after="0"/>
              <w:rPr>
                <w:sz w:val="14"/>
                <w:szCs w:val="14"/>
                <w:color w:val="auto"/>
              </w:rPr>
            </w:pPr>
          </w:p>
        </w:tc>
      </w:tr>
      <w:tr>
        <w:trPr>
          <w:trHeight w:val="156"/>
        </w:trPr>
        <w:tc>
          <w:tcPr>
            <w:tcW w:w="780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10,000,191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(21,148,069)</w:t>
            </w:r>
          </w:p>
        </w:tc>
        <w:tc>
          <w:tcPr>
            <w:tcW w:w="120" w:type="dxa"/>
            <w:vAlign w:val="bottom"/>
          </w:tcPr>
          <w:p>
            <w:pPr>
              <w:spacing w:after="0"/>
              <w:rPr>
                <w:sz w:val="13"/>
                <w:szCs w:val="13"/>
                <w:color w:val="auto"/>
              </w:rPr>
            </w:pPr>
          </w:p>
        </w:tc>
      </w:tr>
      <w:tr>
        <w:trPr>
          <w:trHeight w:val="162"/>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20" w:type="dxa"/>
            <w:vAlign w:val="bottom"/>
          </w:tcPr>
          <w:p>
            <w:pPr>
              <w:spacing w:after="0"/>
              <w:rPr>
                <w:sz w:val="14"/>
                <w:szCs w:val="14"/>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(5,296,653)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(406,612)</w:t>
            </w: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12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shd w:val="clear" w:color="auto" w:fill="CFF0FC"/>
          </w:tcPr>
          <w:p>
            <w:pPr>
              <w:spacing w:after="0"/>
              <w:rPr>
                <w:sz w:val="14"/>
                <w:szCs w:val="14"/>
                <w:color w:val="auto"/>
              </w:rPr>
            </w:pPr>
          </w:p>
        </w:tc>
      </w:tr>
      <w:tr>
        <w:trPr>
          <w:trHeight w:val="156"/>
        </w:trPr>
        <w:tc>
          <w:tcPr>
            <w:tcW w:w="780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2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(5,296,653)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2,593,388</w:t>
            </w:r>
          </w:p>
        </w:tc>
        <w:tc>
          <w:tcPr>
            <w:tcW w:w="120" w:type="dxa"/>
            <w:vAlign w:val="bottom"/>
          </w:tcPr>
          <w:p>
            <w:pPr>
              <w:spacing w:after="0"/>
              <w:rPr>
                <w:sz w:val="13"/>
                <w:szCs w:val="13"/>
                <w:color w:val="auto"/>
              </w:rPr>
            </w:pPr>
          </w:p>
        </w:tc>
      </w:tr>
      <w:tr>
        <w:trPr>
          <w:trHeight w:val="162"/>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payments on capital leases and notes payable</w:t>
            </w:r>
          </w:p>
        </w:tc>
        <w:tc>
          <w:tcPr>
            <w:tcW w:w="120" w:type="dxa"/>
            <w:vAlign w:val="bottom"/>
          </w:tcPr>
          <w:p>
            <w:pPr>
              <w:spacing w:after="0"/>
              <w:rPr>
                <w:sz w:val="14"/>
                <w:szCs w:val="14"/>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(47,277)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(54,051)</w:t>
            </w: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Payments of taxes for net share settled restricted stock unit issuances</w:t>
            </w:r>
          </w:p>
        </w:tc>
        <w:tc>
          <w:tcPr>
            <w:tcW w:w="12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(417,140)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(440,534)</w:t>
            </w:r>
          </w:p>
        </w:tc>
      </w:tr>
      <w:tr>
        <w:trPr>
          <w:trHeight w:val="162"/>
        </w:trPr>
        <w:tc>
          <w:tcPr>
            <w:tcW w:w="78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Proceeds from the issuance of common stock</w:t>
            </w: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12,500,000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tcPr>
          <w:p>
            <w:pPr>
              <w:spacing w:after="0"/>
              <w:rPr>
                <w:sz w:val="14"/>
                <w:szCs w:val="14"/>
                <w:color w:val="auto"/>
              </w:rPr>
            </w:pPr>
          </w:p>
        </w:tc>
      </w:tr>
      <w:tr>
        <w:trPr>
          <w:trHeight w:val="156"/>
        </w:trPr>
        <w:tc>
          <w:tcPr>
            <w:tcW w:w="7800" w:type="dxa"/>
            <w:vAlign w:val="bottom"/>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12,035,583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(494,585)</w:t>
            </w:r>
          </w:p>
        </w:tc>
        <w:tc>
          <w:tcPr>
            <w:tcW w:w="120" w:type="dxa"/>
            <w:vAlign w:val="bottom"/>
            <w:shd w:val="clear" w:color="auto" w:fill="CFF0FC"/>
          </w:tcPr>
          <w:p>
            <w:pPr>
              <w:spacing w:after="0"/>
              <w:rPr>
                <w:sz w:val="13"/>
                <w:szCs w:val="13"/>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16,739,121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(19,049,266)</w:t>
            </w:r>
          </w:p>
        </w:tc>
      </w:tr>
      <w:tr>
        <w:trPr>
          <w:trHeight w:val="162"/>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AT BEGINNING OF PERIOD</w:t>
            </w:r>
          </w:p>
        </w:tc>
        <w:tc>
          <w:tcPr>
            <w:tcW w:w="12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85,366,448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81,214,354</w:t>
            </w:r>
          </w:p>
        </w:tc>
        <w:tc>
          <w:tcPr>
            <w:tcW w:w="120" w:type="dxa"/>
            <w:vAlign w:val="bottom"/>
            <w:shd w:val="clear" w:color="auto" w:fill="CFF0FC"/>
          </w:tcPr>
          <w:p>
            <w:pPr>
              <w:spacing w:after="0"/>
              <w:rPr>
                <w:sz w:val="14"/>
                <w:szCs w:val="14"/>
                <w:color w:val="auto"/>
              </w:rPr>
            </w:pPr>
          </w:p>
        </w:tc>
      </w:tr>
      <w:tr>
        <w:trPr>
          <w:trHeight w:val="196"/>
        </w:trPr>
        <w:tc>
          <w:tcPr>
            <w:tcW w:w="7800" w:type="dxa"/>
            <w:vAlign w:val="bottom"/>
            <w:tcBorders>
              <w:bottom w:val="single" w:sz="8" w:color="CFF0FC"/>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rPr>
              <w:t>CASH AT END OF PERIOD</w:t>
            </w: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102,105,569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62,165,088</w:t>
            </w:r>
          </w:p>
        </w:tc>
        <w:tc>
          <w:tcPr>
            <w:tcW w:w="120" w:type="dxa"/>
            <w:vAlign w:val="bottom"/>
            <w:tcBorders>
              <w:bottom w:val="single" w:sz="8" w:color="CFF0FC"/>
            </w:tcBorders>
          </w:tcPr>
          <w:p>
            <w:pPr>
              <w:spacing w:after="0"/>
              <w:rPr>
                <w:sz w:val="17"/>
                <w:szCs w:val="17"/>
                <w:color w:val="auto"/>
              </w:rPr>
            </w:pPr>
          </w:p>
        </w:tc>
      </w:tr>
      <w:tr>
        <w:trPr>
          <w:trHeight w:val="143"/>
        </w:trPr>
        <w:tc>
          <w:tcPr>
            <w:tcW w:w="7800" w:type="dxa"/>
            <w:vAlign w:val="bottom"/>
            <w:shd w:val="clear" w:color="auto" w:fill="CFF0FC"/>
          </w:tcPr>
          <w:p>
            <w:pPr>
              <w:ind w:left="140"/>
              <w:spacing w:after="0" w:line="143" w:lineRule="exact"/>
              <w:rPr>
                <w:sz w:val="20"/>
                <w:szCs w:val="20"/>
                <w:color w:val="auto"/>
              </w:rPr>
            </w:pPr>
            <w:r>
              <w:rPr>
                <w:rFonts w:ascii="Times New Roman" w:cs="Times New Roman" w:eastAsia="Times New Roman" w:hAnsi="Times New Roman"/>
                <w:sz w:val="14"/>
                <w:szCs w:val="14"/>
                <w:color w:val="auto"/>
              </w:rPr>
              <w:t>Supplementary disclosures:</w:t>
            </w:r>
          </w:p>
        </w:tc>
        <w:tc>
          <w:tcPr>
            <w:tcW w:w="12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(48,195)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(3,054)</w:t>
            </w:r>
          </w:p>
        </w:tc>
      </w:tr>
      <w:tr>
        <w:trPr>
          <w:trHeight w:val="162"/>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Property and Equipment expenditures included in accounts payable and accrued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(1,041,276)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right="120" w:firstLine="518"/>
        <w:spacing w:after="0" w:line="277" w:lineRule="auto"/>
        <w:rPr>
          <w:sz w:val="20"/>
          <w:szCs w:val="20"/>
          <w:color w:val="auto"/>
        </w:rPr>
      </w:pPr>
      <w:r>
        <w:rPr>
          <w:rFonts w:ascii="Times New Roman" w:cs="Times New Roman" w:eastAsia="Times New Roman" w:hAnsi="Times New Roman"/>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15" w:lineRule="exact"/>
        <w:rPr>
          <w:sz w:val="20"/>
          <w:szCs w:val="20"/>
          <w:color w:val="auto"/>
        </w:rPr>
      </w:pPr>
    </w:p>
    <w:p>
      <w:pPr>
        <w:ind w:right="55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b w:val="1"/>
          <w:bCs w:val="1"/>
          <w:i w:val="1"/>
          <w:iCs w:val="1"/>
          <w:color w:val="auto"/>
        </w:rPr>
        <w:t>ORGANIZATION AND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Nature of Business and Recent Developments</w:t>
      </w:r>
    </w:p>
    <w:p>
      <w:pPr>
        <w:spacing w:after="0" w:line="15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Arrowhead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ARO-HBV for chronic hepatitis B virus, ARO-AAT for liver disease associated with alpha-1 antitrypsin deficiency (AATD), ARO-F12 for hereditary angioedema and thromboembolic disorders, ARO-HIF2 for renal cell carcinoma, and ARO-AMG1 for an undisclosed genetically validate cardiovascular target under a license and collaboration agreement with Amgen, Inc., a Delaware corporation (“Amgen”). ARO-LPA for cardiovascular disease was recently out-licensed to Amgen.</w:t>
      </w:r>
    </w:p>
    <w:p>
      <w:pPr>
        <w:spacing w:after="0" w:line="77"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During a portion of the first quarter of fiscal 2017, the Company continued to develop its clinical candidates, ARC-520 and ARC-521, for the treatment of chronic hepatitis B infection as well as its second clinical candidate, ARC-AAT, an RNAi therapeutic designed to treat liver disease associated with AATD. However, in November 2016, the Company announced that it would be discontinuing these clinical programs, and redeploying its resources and focus toward utilizing the Company’s new proprietary subcutaneous and extra-hepatic delivery systems. Each of these clinical candidates utilized the intravenously administered DPC</w:t>
      </w:r>
      <w:r>
        <w:rPr>
          <w:rFonts w:ascii="Times New Roman" w:cs="Times New Roman" w:eastAsia="Times New Roman" w:hAnsi="Times New Roman"/>
          <w:sz w:val="15"/>
          <w:szCs w:val="15"/>
          <w:color w:val="auto"/>
        </w:rPr>
        <w:t>iv</w:t>
      </w:r>
      <w:r>
        <w:rPr>
          <w:rFonts w:ascii="Times New Roman" w:cs="Times New Roman" w:eastAsia="Times New Roman" w:hAnsi="Times New Roman"/>
          <w:sz w:val="18"/>
          <w:szCs w:val="18"/>
          <w:color w:val="auto"/>
        </w:rPr>
        <w:t>, or EX1, delivery vehicle. The decision to discontinue development of EX1-containing programs was based primarily on two factors. First, 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Second, the Company has made substantial advances in RNA chemistry and targeting resulting in large potency gains for subcutaneous administered and extra-hepatic RNAi-based development programs. In preclinical studies with the subcutaneous platform, the Company has obtained depth and duration of target gene knockdown approaching that of intravenously administered EX1-containing candidates, at lower doses and with good safety margins. ARO-HBV and ARO-AAT are the Company’s subcutaneous administered preclinical candidates for chronic hepatitis B virus and liver disease associated with AATD, respectively. Because of the discontinuation of its existing clinical programs, the Company has also reduced its workforce by approximately 30%, while maintaining resourcing necessary to support current and potential future partner-based programs and the Company’s pipeline.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4" w:lineRule="exact"/>
        <w:rPr>
          <w:sz w:val="20"/>
          <w:szCs w:val="20"/>
          <w:color w:val="auto"/>
        </w:rPr>
      </w:pPr>
    </w:p>
    <w:p>
      <w:pPr>
        <w:ind w:right="560" w:firstLine="518"/>
        <w:spacing w:after="0" w:line="266" w:lineRule="auto"/>
        <w:rPr>
          <w:sz w:val="20"/>
          <w:szCs w:val="20"/>
          <w:color w:val="auto"/>
        </w:rPr>
      </w:pPr>
      <w:r>
        <w:rPr>
          <w:rFonts w:ascii="Times New Roman" w:cs="Times New Roman" w:eastAsia="Times New Roman" w:hAnsi="Times New Roman"/>
          <w:sz w:val="18"/>
          <w:szCs w:val="18"/>
          <w:color w:val="auto"/>
        </w:rPr>
        <w:t>At December 31, 2016, the Company had $102.1 million in cash to fund operations. During the three months ended December 31, 2016, the Company’s cash position increased by $16.7 million, which was primarily the result of $42.5 million in upfront payments and equity investments from Amgen, partially offset by cash outflows related to operating activities and capital expenditures.</w:t>
      </w:r>
    </w:p>
    <w:p>
      <w:pPr>
        <w:spacing w:after="0" w:line="176"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On November 18, 2016, the Company and Amgen received Hart-Scott-Rodino clearance with regard to the ARO-LPA Agreement discussed in Note 2 below. Based on the terms of this agreement, and the Common Stock Purchase Agreement discussed in Note 2 below, the Company issued 1,745,810 shares of Common Stock to Amgen, and received proceeds of approximately $12.5 million. Additionally, the Company received a $30 million upfront payment due under the ARO-LPA Agreement discussed below.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76"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w:t>
      </w:r>
    </w:p>
    <w:p>
      <w:pPr>
        <w:spacing w:after="0" w:line="188"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Cash and Cash Equivalents—The Company considers all liquid debt instruments purchased with a maturity of three months or less to be cash equivalents. The Company had no restricted cash at December 31, 2016 and September 30, 2016.</w:t>
      </w:r>
    </w:p>
    <w:p>
      <w:pPr>
        <w:spacing w:after="0" w:line="162" w:lineRule="exact"/>
        <w:rPr>
          <w:sz w:val="20"/>
          <w:szCs w:val="20"/>
          <w:color w:val="auto"/>
        </w:rPr>
      </w:pPr>
    </w:p>
    <w:p>
      <w:pPr>
        <w:ind w:right="460" w:firstLine="518"/>
        <w:spacing w:after="0" w:line="266" w:lineRule="auto"/>
        <w:rPr>
          <w:sz w:val="20"/>
          <w:szCs w:val="20"/>
          <w:color w:val="auto"/>
        </w:rPr>
      </w:pPr>
      <w:r>
        <w:rPr>
          <w:rFonts w:ascii="Times New Roman" w:cs="Times New Roman" w:eastAsia="Times New Roman" w:hAnsi="Times New Roman"/>
          <w:sz w:val="18"/>
          <w:szCs w:val="18"/>
          <w:color w:val="auto"/>
        </w:rPr>
        <w:t>Concentration of Credit Risk—The Company maintains several bank accounts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76"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54"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62"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Company classifies its investments in marketable debt securities based on the facts and circumstances present at the time of purchase of the securities.</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no investments at December 31, 2016 and September 30, 2016, respectively.</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3" w:right="279" w:bottom="1440" w:gutter="0" w:footer="0" w:header="0"/>
        </w:sectPr>
      </w:pPr>
    </w:p>
    <w:bookmarkStart w:id="8" w:name="page9"/>
    <w:bookmarkEnd w:id="8"/>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Contingent Consideration - The consideration for the Company’s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December 31, 2016 and September 30, 2016, given the discontinuation of its clinical trials.</w:t>
      </w:r>
    </w:p>
    <w:p>
      <w:pPr>
        <w:spacing w:after="0" w:line="197" w:lineRule="exact"/>
        <w:rPr>
          <w:sz w:val="20"/>
          <w:szCs w:val="20"/>
          <w:color w:val="auto"/>
        </w:rPr>
      </w:pPr>
    </w:p>
    <w:p>
      <w:pPr>
        <w:ind w:right="20" w:firstLine="575"/>
        <w:spacing w:after="0" w:line="282" w:lineRule="auto"/>
        <w:rPr>
          <w:sz w:val="20"/>
          <w:szCs w:val="20"/>
          <w:color w:val="auto"/>
        </w:rPr>
      </w:pPr>
      <w:r>
        <w:rPr>
          <w:rFonts w:ascii="Times New Roman" w:cs="Times New Roman" w:eastAsia="Times New Roman" w:hAnsi="Times New Roman"/>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162" w:lineRule="exact"/>
        <w:rPr>
          <w:sz w:val="20"/>
          <w:szCs w:val="20"/>
          <w:color w:val="auto"/>
        </w:rPr>
      </w:pPr>
    </w:p>
    <w:p>
      <w:pPr>
        <w:ind w:right="60" w:firstLine="588"/>
        <w:spacing w:after="0" w:line="261" w:lineRule="auto"/>
        <w:rPr>
          <w:sz w:val="20"/>
          <w:szCs w:val="20"/>
          <w:color w:val="auto"/>
        </w:rPr>
      </w:pPr>
      <w:r>
        <w:rPr>
          <w:rFonts w:ascii="Times New Roman" w:cs="Times New Roman" w:eastAsia="Times New Roman" w:hAnsi="Times New Roman"/>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180"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if the arrangement includes a general right of return for the delivered item, and if delivery or performance of the undelivered item is considered probable and substantially in the control of the vendor.</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ind w:right="480"/>
        <w:spacing w:after="0" w:line="282" w:lineRule="auto"/>
        <w:rPr>
          <w:sz w:val="20"/>
          <w:szCs w:val="20"/>
          <w:color w:val="auto"/>
        </w:rPr>
      </w:pPr>
      <w:r>
        <w:rPr>
          <w:rFonts w:ascii="Times New Roman" w:cs="Times New Roman" w:eastAsia="Times New Roman" w:hAnsi="Times New Roman"/>
          <w:sz w:val="18"/>
          <w:szCs w:val="18"/>
          <w:color w:val="auto"/>
        </w:rPr>
        <w:t>after the performance period has completed and all performance obligations have been delivered, the Company will recognize the milestone payment as revenue in its entirety in the period the milestone was achieved.</w:t>
      </w:r>
    </w:p>
    <w:p>
      <w:pPr>
        <w:spacing w:after="0" w:line="162"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80"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6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months ended December 31, 2016 and 2015 have been excluded from the calculation of Diluted earnings (loss) per share due to their anti-dilutive effect.</w:t>
      </w:r>
    </w:p>
    <w:p>
      <w:pPr>
        <w:spacing w:after="0" w:line="18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8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due to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8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620" w:firstLine="407"/>
        <w:spacing w:after="0" w:line="282"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will supersede nearly all existing revenue recognition guidance under GAAP. ASU No. 2014-09 provides that an entity recognize revenue when 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right="60"/>
        <w:spacing w:after="0" w:line="255" w:lineRule="auto"/>
        <w:rPr>
          <w:sz w:val="20"/>
          <w:szCs w:val="20"/>
          <w:color w:val="auto"/>
        </w:rPr>
      </w:pPr>
      <w:r>
        <w:rPr>
          <w:rFonts w:ascii="Times New Roman" w:cs="Times New Roman" w:eastAsia="Times New Roman" w:hAnsi="Times New Roman"/>
          <w:sz w:val="18"/>
          <w:szCs w:val="18"/>
          <w:color w:val="auto"/>
        </w:rPr>
        <w:t>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2018. In April 2016, the FASB issued an amendment to ASU No. 2014-09 with update ASU 2016-10 which provided more specific guidance around the identification of performance obligations and licensing arrangements. The Company is evaluating the potential effects of the adoption of this update on its financial statements.</w:t>
      </w:r>
    </w:p>
    <w:p>
      <w:pPr>
        <w:spacing w:after="0" w:line="189" w:lineRule="exact"/>
        <w:rPr>
          <w:sz w:val="20"/>
          <w:szCs w:val="20"/>
          <w:color w:val="auto"/>
        </w:rPr>
      </w:pPr>
    </w:p>
    <w:p>
      <w:pPr>
        <w:ind w:right="120" w:firstLine="407"/>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b w:val="1"/>
          <w:bCs w:val="1"/>
          <w:i w:val="1"/>
          <w:iCs w:val="1"/>
          <w:color w:val="auto"/>
        </w:rPr>
        <w:t>COLLABORATION AND LICENSE AGREEMENTS – AMGEN, INC.</w:t>
      </w:r>
    </w:p>
    <w:p>
      <w:pPr>
        <w:spacing w:after="0" w:line="121"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8"/>
          <w:szCs w:val="18"/>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will be wholly responsible for clinical development and commercialization.</w:t>
      </w:r>
    </w:p>
    <w:p>
      <w:pPr>
        <w:spacing w:after="0" w:line="189" w:lineRule="exact"/>
        <w:rPr>
          <w:sz w:val="20"/>
          <w:szCs w:val="20"/>
          <w:color w:val="auto"/>
        </w:rPr>
      </w:pPr>
    </w:p>
    <w:p>
      <w:pPr>
        <w:jc w:val="both"/>
        <w:ind w:firstLine="305"/>
        <w:spacing w:after="0" w:line="261" w:lineRule="auto"/>
        <w:rPr>
          <w:sz w:val="20"/>
          <w:szCs w:val="20"/>
          <w:color w:val="auto"/>
        </w:rPr>
      </w:pPr>
      <w:r>
        <w:rPr>
          <w:rFonts w:ascii="Times New Roman" w:cs="Times New Roman" w:eastAsia="Times New Roman" w:hAnsi="Times New Roman"/>
          <w:sz w:val="18"/>
          <w:szCs w:val="18"/>
          <w:color w:val="auto"/>
        </w:rPr>
        <w:t>Under the Common Stock Purchase Agreement, the Company has sold 3,002,793 shares of Common Stock to Amgen at a price of $7.16 per share, which represents the 30-day volume-weighted average price of the Common Stock on the NASDAQ stock market over the 30 trading days preceding execution. Subject to Amgen’s exercise of the Option, as defined in the ARO-AMG1 Agreement, Amgen has agreed to purchase, and the Company has agreed to sell, an additional $5 million worth of shares of Common Stock based on a 30 trading day formula surrounding the date of the Option exercise.</w:t>
      </w:r>
    </w:p>
    <w:p>
      <w:pPr>
        <w:spacing w:after="0" w:line="180" w:lineRule="exact"/>
        <w:rPr>
          <w:sz w:val="20"/>
          <w:szCs w:val="20"/>
          <w:color w:val="auto"/>
        </w:rPr>
      </w:pPr>
    </w:p>
    <w:p>
      <w:pPr>
        <w:jc w:val="both"/>
        <w:ind w:firstLine="305"/>
        <w:spacing w:after="0" w:line="261" w:lineRule="auto"/>
        <w:rPr>
          <w:sz w:val="20"/>
          <w:szCs w:val="20"/>
          <w:color w:val="auto"/>
        </w:rPr>
      </w:pPr>
      <w:r>
        <w:rPr>
          <w:rFonts w:ascii="Times New Roman" w:cs="Times New Roman" w:eastAsia="Times New Roman" w:hAnsi="Times New Roman"/>
          <w:sz w:val="18"/>
          <w:szCs w:val="18"/>
          <w:color w:val="auto"/>
        </w:rPr>
        <w:t>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w:t>
      </w:r>
    </w:p>
    <w:p>
      <w:pPr>
        <w:spacing w:after="0" w:line="18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8"/>
          <w:szCs w:val="18"/>
          <w:color w:val="auto"/>
        </w:rPr>
        <w:t>Under the terms of the First Collaboration and License Agreement, the Company has granted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First Collaboration and License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initial $5 million payment was recorded as Deferred Revenue, and $0.6 million of this was amortized into Revenue during the three months ended December 31, 2016.</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both"/>
        <w:ind w:firstLine="305"/>
        <w:spacing w:after="0" w:line="253" w:lineRule="auto"/>
        <w:rPr>
          <w:sz w:val="20"/>
          <w:szCs w:val="20"/>
          <w:color w:val="auto"/>
        </w:rPr>
      </w:pPr>
      <w:r>
        <w:rPr>
          <w:rFonts w:ascii="Times New Roman" w:cs="Times New Roman" w:eastAsia="Times New Roman" w:hAnsi="Times New Roman"/>
          <w:sz w:val="18"/>
          <w:szCs w:val="18"/>
          <w:color w:val="auto"/>
        </w:rPr>
        <w:t>Under the terms of the Second Collaboration and License Agreement, the Company has granted a worldwide, exclusive license to ARO-LPA. The collaboration between the Company and Amgen is governed by a joint research committee comprised of an equal number of representatives from each party, however Amgen has the final decision making authority regarding ARO-LPA in this committee. The Company is also responsible for assisting Amgen in the oversight of certain development and manufacturing activities, most of which are to be covered at Amgen’s cost. The Company has determined that the significant deliverables under the Second Collaboration and License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November 18, 2016 (the Hart-Scott-Rodino clearance date), through October 31, 2017, which is the date where the significant development and manufacturing related deliverables are anticipated to be completed. The Company received the upfront payment of $30 million due under this agreement in November 2016. The initial $30 million payment was recorded as Deferred Revenue, and $3.7 million of this was amortized into Revenue during the three months ended December 31, 2016.</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major classes of property and equipment:</w:t>
      </w:r>
    </w:p>
    <w:p>
      <w:pPr>
        <w:spacing w:after="0" w:line="27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office equipment and furniture</w:t>
            </w:r>
          </w:p>
        </w:tc>
        <w:tc>
          <w:tcPr>
            <w:tcW w:w="1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601,159</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442,915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8,729,818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12,000,074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11,885,365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fixed assets</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21,438,922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19,899,521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(5,273,263)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(4,512,760)</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16,165,659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15,386,761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40" w:firstLine="30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2016, the Company’s Research equipment increased as the Company continues to build out its new research facility in Madison, Wisconsin.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$272,076. The patents associated with the Novartis RNAi asset acquisition are being amortized over the estimated life remaining at the time of acquisition, which was 14 years, and the accumulated amortization of the assets is approximately $2,845,377. Amortization expense for the three months ended December 31, 2016 and 2015 was $425,107 and $438,991, respectively. Amortization expense is expected to be approximately $1,275,322 for the remainder of fiscal year 2017, $1,700,429 in 2018, $1,700,429 in 2019, $1,700,429 in 2020, $1,700,429 in 2021, $1,700,429 in 2022, and $11,962,294 thereafter.</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on the Company’s intangible asset balances:</w:t>
      </w:r>
    </w:p>
    <w:p>
      <w:pPr>
        <w:spacing w:after="0" w:line="233"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jc w:val="right"/>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r>
      <w:tr>
        <w:trPr>
          <w:trHeight w:val="173"/>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22,164,868</w:t>
            </w:r>
          </w:p>
        </w:tc>
        <w:tc>
          <w:tcPr>
            <w:tcW w:w="1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(425,107)</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21,739,761</w:t>
            </w:r>
          </w:p>
        </w:tc>
        <w:tc>
          <w:tcPr>
            <w:tcW w:w="1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b w:val="1"/>
          <w:bCs w:val="1"/>
          <w:i w:val="1"/>
          <w:iCs w:val="1"/>
          <w:color w:val="auto"/>
        </w:rPr>
        <w:t>STOCKHOLDERS’ EQUITY</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At December 31, 2016, the Company had a total of 150,000,000 shares of capital stock authorized for issuance, consisting of 145,000,000 shares of Common Stock, par value $0.001 per share, and 5,000,000 shares of Preferred Stock, par value $0.001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At December 31, 2016, 74,413,040 shares of Common Stock were outstanding. At December 31, 2016, 8,100,085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76"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2016, 15,652 shares of Series C Preferred Stock were converted into 2,670,990 shares of Common Stock. No preferred stock was outstanding as of December 31, 2016.</w:t>
      </w:r>
    </w:p>
    <w:p>
      <w:pPr>
        <w:spacing w:after="0" w:line="162"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On November 18, 2016, a tranche of 1,745,810 shares was sold to Amgen at a price of $7.16 per share as part of the ARO-LPA Agreement discussed in Note 2 above. The Company received proceeds of $12.5 million in November 2016.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warrants outstanding at December 31, 2016:</w:t>
      </w:r>
    </w:p>
    <w:p>
      <w:pPr>
        <w:spacing w:after="0" w:line="233"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8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0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3840" w:type="dxa"/>
            <w:vAlign w:val="bottom"/>
            <w:gridSpan w:val="5"/>
            <w:vMerge w:val="continue"/>
          </w:tcPr>
          <w:p>
            <w:pPr>
              <w:spacing w:after="0"/>
              <w:rPr>
                <w:sz w:val="15"/>
                <w:szCs w:val="15"/>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top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70.60</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94,897</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277,284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527,181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8,500 square feet of office space for its corporate headquarters in Pasadena, California. The lease will expire in September 2019. Monthly rental payments are approximately $26,000 per month, increasing approximately 3% annually.</w:t>
      </w:r>
    </w:p>
    <w:p>
      <w:pPr>
        <w:spacing w:after="0" w:line="270" w:lineRule="exact"/>
        <w:rPr>
          <w:sz w:val="20"/>
          <w:szCs w:val="20"/>
          <w:color w:val="auto"/>
        </w:rPr>
      </w:pPr>
    </w:p>
    <w:p>
      <w:pPr>
        <w:ind w:right="80" w:firstLine="481"/>
        <w:spacing w:after="0" w:line="258" w:lineRule="auto"/>
        <w:rPr>
          <w:sz w:val="20"/>
          <w:szCs w:val="20"/>
          <w:color w:val="auto"/>
        </w:rPr>
      </w:pPr>
      <w:r>
        <w:rPr>
          <w:rFonts w:ascii="Times New Roman" w:cs="Times New Roman" w:eastAsia="Times New Roman" w:hAnsi="Times New Roman"/>
          <w:sz w:val="18"/>
          <w:szCs w:val="18"/>
          <w:color w:val="auto"/>
        </w:rPr>
        <w:t>The Company also leases approximately 60,000 square feet of office and laboratory space for its research facility in Madison, Wisconsin. The lease will expire in September 2026. As part of this lease, the Company was provided a primary tenant improvement allowance of $2.1 million which is accounted for as Deferred Rent and a secondary tenant improvement allowance of $2.7 million which is accounted for as a Note Payable on the Company’s Consolidated Balance Sheet. Monthly rental payments, including payments of principal and interest on the Note Payable are approximately $180,100 per month.</w:t>
      </w:r>
    </w:p>
    <w:p>
      <w:pPr>
        <w:spacing w:after="0" w:line="184"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Company previously leased additional research facility space in Middleton, Wisconsin, however, this lease expired in December 2016. Monthly rental expense for the Middleton space was approximately $14,000. Other monthly rental expenses included common area maintenance and real estate taxes totaling approximately $4,000 per month.</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Facility rent expense for the three months ended December 31, 2016 and 2015 was $381,100 and $198,600, respectively.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December 31, 2016, future minimum lease payments due in fiscal years under operating leases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40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1,118,650</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1,531,765</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1,435,409</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1,044,431</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1,070,496</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38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5,766,495</w:t>
            </w:r>
          </w:p>
        </w:tc>
        <w:tc>
          <w:tcPr>
            <w:tcW w:w="120" w:type="dxa"/>
            <w:vAlign w:val="bottom"/>
            <w:tcBorders>
              <w:bottom w:val="single" w:sz="8" w:color="CFF0FC"/>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11,967,246</w:t>
            </w:r>
          </w:p>
        </w:tc>
        <w:tc>
          <w:tcPr>
            <w:tcW w:w="120" w:type="dxa"/>
            <w:vAlign w:val="bottom"/>
            <w:tcBorders>
              <w:bottom w:val="single" w:sz="8" w:color="CFF0FC"/>
            </w:tcBorders>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11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As part of the Company’s lease for its research facility in Madison, Wisconsin discussed above, the Company entered into a $2.7 million promissory note payable with its landlord to finance certain tenant improvements made to the new facility. The note will be amortized over the 10-year term of the lease, commencing on October 1, 2016. The note bears interest at a rate of 7.1% and is payable in equal monthly installments of principal and interest.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2016, future principal payments due in fiscal years under the note payable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80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146,963</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208,506</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223,820</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240,258</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257,903</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25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1,603,038</w:t>
            </w:r>
          </w:p>
        </w:tc>
        <w:tc>
          <w:tcPr>
            <w:tcW w:w="120" w:type="dxa"/>
            <w:vAlign w:val="bottom"/>
            <w:tcBorders>
              <w:bottom w:val="single" w:sz="8" w:color="CFF0FC"/>
            </w:tcBorders>
          </w:tcPr>
          <w:p>
            <w:pPr>
              <w:spacing w:after="0"/>
              <w:rPr>
                <w:sz w:val="18"/>
                <w:szCs w:val="18"/>
                <w:color w:val="auto"/>
              </w:rPr>
            </w:pP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2,680,488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Times New Roman" w:cs="Times New Roman" w:eastAsia="Times New Roman" w:hAnsi="Times New Roman"/>
          <w:sz w:val="18"/>
          <w:szCs w:val="18"/>
          <w:i w:val="1"/>
          <w:iCs w:val="1"/>
          <w:color w:val="auto"/>
        </w:rPr>
        <w:t>Wang v. Arrowhead Research Corp., et al.</w:t>
      </w:r>
      <w:r>
        <w:rPr>
          <w:rFonts w:ascii="Times New Roman" w:cs="Times New Roman" w:eastAsia="Times New Roman" w:hAnsi="Times New Roman"/>
          <w:sz w:val="18"/>
          <w:szCs w:val="18"/>
          <w:color w:val="auto"/>
        </w:rPr>
        <w:t xml:space="preserve">, No. 2:14-cv-07890 (C.D. Cal., filed Oct. 10, 2014), and </w:t>
      </w:r>
      <w:r>
        <w:rPr>
          <w:rFonts w:ascii="Times New Roman" w:cs="Times New Roman" w:eastAsia="Times New Roman" w:hAnsi="Times New Roman"/>
          <w:sz w:val="18"/>
          <w:szCs w:val="18"/>
          <w:i w:val="1"/>
          <w:iCs w:val="1"/>
          <w:color w:val="auto"/>
        </w:rPr>
        <w:t>Eskinazi v. Arrowhead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Corp., et al.</w:t>
      </w:r>
      <w:r>
        <w:rPr>
          <w:rFonts w:ascii="Times New Roman" w:cs="Times New Roman" w:eastAsia="Times New Roman" w:hAnsi="Times New Roman"/>
          <w:sz w:val="18"/>
          <w:szCs w:val="18"/>
          <w:color w:val="auto"/>
        </w:rPr>
        <w:t>, No. 2:14-cv-07911 (C.D. Cal., filed Oct. 13, 2014), asserted claims under Sections 10(b) and 20(a) of the Securities Exchange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1934 and sought damages in an unspecified amount. Additionally, three putative stockholder derivative actions captioned </w:t>
      </w:r>
      <w:r>
        <w:rPr>
          <w:rFonts w:ascii="Times New Roman" w:cs="Times New Roman" w:eastAsia="Times New Roman" w:hAnsi="Times New Roman"/>
          <w:sz w:val="18"/>
          <w:szCs w:val="18"/>
          <w:i w:val="1"/>
          <w:iCs w:val="1"/>
          <w:color w:val="auto"/>
        </w:rPr>
        <w:t>Weisman v. Anzalone et al</w:t>
      </w:r>
      <w:r>
        <w:rPr>
          <w:rFonts w:ascii="Times New Roman" w:cs="Times New Roman" w:eastAsia="Times New Roman" w:hAnsi="Times New Roman"/>
          <w:sz w:val="18"/>
          <w:szCs w:val="18"/>
          <w:color w:val="auto"/>
        </w:rPr>
        <w:t xml:space="preserve">., No. 2:14-cv-08982 (C.D. Cal., filed Nov. 20, 2014), </w:t>
      </w:r>
      <w:r>
        <w:rPr>
          <w:rFonts w:ascii="Times New Roman" w:cs="Times New Roman" w:eastAsia="Times New Roman" w:hAnsi="Times New Roman"/>
          <w:sz w:val="18"/>
          <w:szCs w:val="18"/>
          <w:i w:val="1"/>
          <w:iCs w:val="1"/>
          <w:color w:val="auto"/>
        </w:rPr>
        <w:t>Bernstein (Backus) v. Anzalone, et al.</w:t>
      </w:r>
      <w:r>
        <w:rPr>
          <w:rFonts w:ascii="Times New Roman" w:cs="Times New Roman" w:eastAsia="Times New Roman" w:hAnsi="Times New Roman"/>
          <w:sz w:val="18"/>
          <w:szCs w:val="18"/>
          <w:color w:val="auto"/>
        </w:rPr>
        <w:t xml:space="preserve">, No. 2:14-cv-09247 (C.D. Cal., filed Dec. 2, 2014); and </w:t>
      </w:r>
      <w:r>
        <w:rPr>
          <w:rFonts w:ascii="Times New Roman" w:cs="Times New Roman" w:eastAsia="Times New Roman" w:hAnsi="Times New Roman"/>
          <w:sz w:val="18"/>
          <w:szCs w:val="18"/>
          <w:i w:val="1"/>
          <w:iCs w:val="1"/>
          <w:color w:val="auto"/>
        </w:rPr>
        <w:t>Johnson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Anzalone, et al.</w:t>
      </w:r>
      <w:r>
        <w:rPr>
          <w:rFonts w:ascii="Times New Roman" w:cs="Times New Roman" w:eastAsia="Times New Roman" w:hAnsi="Times New Roman"/>
          <w:sz w:val="18"/>
          <w:szCs w:val="18"/>
          <w:color w:val="auto"/>
        </w:rPr>
        <w:t>, No. 2:15-cv-00446 (C.D. Cal., filed Jan. 22, 2015), were filed in the United States District Court for the Central District of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alleging breach of fiduciary duty by the Company’s Board of Directors in connection with the facts underlying the securities claims. An additional consolidated derivative action asserting similar claims is pending in Los Angeles County Superior Court, initially filed as </w:t>
      </w:r>
      <w:r>
        <w:rPr>
          <w:rFonts w:ascii="Times New Roman" w:cs="Times New Roman" w:eastAsia="Times New Roman" w:hAnsi="Times New Roman"/>
          <w:sz w:val="18"/>
          <w:szCs w:val="18"/>
          <w:i w:val="1"/>
          <w:iCs w:val="1"/>
          <w:color w:val="auto"/>
        </w:rPr>
        <w:t>Bacchus v. Anzalone, et al.</w:t>
      </w:r>
      <w:r>
        <w:rPr>
          <w:rFonts w:ascii="Times New Roman" w:cs="Times New Roman" w:eastAsia="Times New Roman" w:hAnsi="Times New Roman"/>
          <w:sz w:val="18"/>
          <w:szCs w:val="18"/>
          <w:color w:val="auto"/>
        </w:rPr>
        <w:t xml:space="preserve">, (L.A. Super., filed Mar. 5, 2015); and </w:t>
      </w:r>
      <w:r>
        <w:rPr>
          <w:rFonts w:ascii="Times New Roman" w:cs="Times New Roman" w:eastAsia="Times New Roman" w:hAnsi="Times New Roman"/>
          <w:sz w:val="18"/>
          <w:szCs w:val="18"/>
          <w:i w:val="1"/>
          <w:iCs w:val="1"/>
          <w:color w:val="auto"/>
        </w:rPr>
        <w:t>Jackson v. Anzalone, et al.</w:t>
      </w:r>
      <w:r>
        <w:rPr>
          <w:rFonts w:ascii="Times New Roman" w:cs="Times New Roman" w:eastAsia="Times New Roman" w:hAnsi="Times New Roman"/>
          <w:sz w:val="18"/>
          <w:szCs w:val="18"/>
          <w:color w:val="auto"/>
        </w:rPr>
        <w:t xml:space="preserve"> (L.A. Super., filed Mar. 16, 2015). Each of these suits seeks damages in unspecified amounts and some seek various forms of injunctive relief. On October 7, 2016, the federal district court dismissed the consolidated class action with prejudice. On October 10, 2016 the plaintiffs appealed the consolidated class action to the United States Court of Appeals for the Ninth Circuit. The Weisman and Johnson derivative actions have been dismissed without prejudice. The Bernstein derivative action remains pending.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 With regard to legal fees, such as attorney fees related to these matters or any other legal matters, the Company recognizes such costs as incurred.</w:t>
      </w:r>
    </w:p>
    <w:p>
      <w:pPr>
        <w:spacing w:after="0" w:line="19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and certain executive officers were named as defendants in related putative securities class actions filed on November 15, 2016, December 2, 2016 and January 13, 2017 in the Central District of California and respectively captioned </w:t>
      </w:r>
      <w:r>
        <w:rPr>
          <w:rFonts w:ascii="Times New Roman" w:cs="Times New Roman" w:eastAsia="Times New Roman" w:hAnsi="Times New Roman"/>
          <w:sz w:val="18"/>
          <w:szCs w:val="18"/>
          <w:i w:val="1"/>
          <w:iCs w:val="1"/>
          <w:color w:val="auto"/>
        </w:rPr>
        <w:t>Meller v. Arrowhead Pharmaceuticals, Inc., et al.</w:t>
      </w:r>
      <w:r>
        <w:rPr>
          <w:rFonts w:ascii="Times New Roman" w:cs="Times New Roman" w:eastAsia="Times New Roman" w:hAnsi="Times New Roman"/>
          <w:sz w:val="18"/>
          <w:szCs w:val="18"/>
          <w:color w:val="auto"/>
        </w:rPr>
        <w:t xml:space="preserve">, No. 2:16-cv-08505, </w:t>
      </w:r>
      <w:r>
        <w:rPr>
          <w:rFonts w:ascii="Times New Roman" w:cs="Times New Roman" w:eastAsia="Times New Roman" w:hAnsi="Times New Roman"/>
          <w:sz w:val="18"/>
          <w:szCs w:val="18"/>
          <w:i w:val="1"/>
          <w:iCs w:val="1"/>
          <w:color w:val="auto"/>
        </w:rPr>
        <w:t>Siegel v. Arrowhead Pharmaceuticals, Inc., et al</w:t>
      </w:r>
      <w:r>
        <w:rPr>
          <w:rFonts w:ascii="Times New Roman" w:cs="Times New Roman" w:eastAsia="Times New Roman" w:hAnsi="Times New Roman"/>
          <w:sz w:val="18"/>
          <w:szCs w:val="18"/>
          <w:color w:val="auto"/>
        </w:rPr>
        <w:t xml:space="preserve">., No. 2:16-cv-8954, and </w:t>
      </w:r>
      <w:r>
        <w:rPr>
          <w:rFonts w:ascii="Times New Roman" w:cs="Times New Roman" w:eastAsia="Times New Roman" w:hAnsi="Times New Roman"/>
          <w:sz w:val="18"/>
          <w:szCs w:val="18"/>
          <w:i w:val="1"/>
          <w:iCs w:val="1"/>
          <w:color w:val="auto"/>
        </w:rPr>
        <w:t>Unz v. Arrowhead Pharmaceuticals, Inc., et al</w:t>
      </w:r>
      <w:r>
        <w:rPr>
          <w:rFonts w:ascii="Times New Roman" w:cs="Times New Roman" w:eastAsia="Times New Roman" w:hAnsi="Times New Roman"/>
          <w:sz w:val="18"/>
          <w:szCs w:val="18"/>
          <w:color w:val="auto"/>
        </w:rPr>
        <w:t xml:space="preserve">., No.2:17-cv-00310. The plaintiffs bring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Times New Roman" w:cs="Times New Roman" w:eastAsia="Times New Roman" w:hAnsi="Times New Roman"/>
          <w:sz w:val="18"/>
          <w:szCs w:val="18"/>
          <w:i w:val="1"/>
          <w:iCs w:val="1"/>
          <w:color w:val="auto"/>
        </w:rPr>
        <w:t>Johnson v. Anzalone, et al</w:t>
      </w:r>
      <w:r>
        <w:rPr>
          <w:rFonts w:ascii="Times New Roman" w:cs="Times New Roman" w:eastAsia="Times New Roman" w:hAnsi="Times New Roman"/>
          <w:sz w:val="18"/>
          <w:szCs w:val="18"/>
          <w:color w:val="auto"/>
        </w:rPr>
        <w:t>., (Los Angeles County Superior Court, filed January 19, 2017) asserting substantially similar claims is pending in Los Angeles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County Superior Court.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 With regard to legal fees, such as attorney fees related to these matters or any other legal matters, the Company recognizes such costs as incurred.</w:t>
      </w:r>
    </w:p>
    <w:p>
      <w:pPr>
        <w:spacing w:after="0" w:line="2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the manufacture of drug components, for toxicology studies, and for clinical studies. As of December 31, 2016, these future commitments were estimated at approximately $12.4 million, of which approximately $12.4 million is expected to be incurred in fiscal 2017, and $0 is expected to be incurred beyond fiscal 2017.</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i w:val="1"/>
          <w:iCs w:val="1"/>
          <w:color w:val="auto"/>
        </w:rPr>
        <w:t>Technology License Commitments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months ended December 31, 2016 and 2015, the Company did not reach any milestones requiring milestone payments. In certain agreements, the Company may be required to make mid to high single-digit percentage royalty payments based on a percentage of the sales of the relevant products.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Arrowhead has two plans that provide for equity-based compensation. Under the 2004 Equity Incentive Plan and 2013 Incentive Plan, as of December 31, 2016, 2,467,979 and 5,064,151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December 31, 2016, there were options granted and outstanding to purchase 2,467,979 and 3,212,743 shares of Common Stock under the 2004 Equity Incentive Plan and the 2013 Incentive Plan, respectively, and there were 783,334 restricted stock units granted and outstanding under the 2013 Incentive Plan. Also, as of December 31, 2016, there were 544,622 shares reserved for options and 23,333 restricted stock units issued as inducement grants to new employees outside of equity compensation plans. During the three months ended December 31, 2016, no options or restricted stock units were granted under the 2004 Equity Incentive Plan, 48,000 options were granted under the 2013 Incentive Plan, and no options or restricted stock units were granted as inducement awards to new employees outside of equity incentive plans.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6,691,200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48,000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(513,856)</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6,225,344</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8"/>
              </w:rPr>
              <w:t>6.2 years</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2016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4,152,293</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5.1 years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stock options for the three months ended December 31, 2016 and 2015 was $1,438,459 and $1,217,217,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0"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options granted by the Company for the three months ended December 31, 2016 and 2015 was $215,539 and $365,876,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intrinsic value of the options exercised during the three months ended December 31, 2016 and 2015 was $0 and $3,515, respectively.</w:t>
      </w:r>
    </w:p>
    <w:p>
      <w:pPr>
        <w:spacing w:after="0" w:line="225"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2016, the pre-tax compensation expense for all outstanding unvested stock options in the amount of approximately $8,112,217 will be recognized in the Company’s results of operations over a weighted average period of 2.3 years.</w:t>
      </w:r>
    </w:p>
    <w:p>
      <w:pPr>
        <w:spacing w:after="0" w:line="162"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assumptions used to value stock options are as follows:</w:t>
      </w:r>
    </w:p>
    <w:p>
      <w:pPr>
        <w:spacing w:after="0" w:line="313" w:lineRule="exact"/>
        <w:rPr>
          <w:sz w:val="20"/>
          <w:szCs w:val="20"/>
          <w:color w:val="auto"/>
        </w:rPr>
      </w:pPr>
    </w:p>
    <w:tbl>
      <w:tblPr>
        <w:tblLayout w:type="fixed"/>
        <w:tblInd w:w="7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3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0"/>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1.34 – 1.44%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 – 1.81%</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options granted</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is estimated based on volatility average of the Company’s Common Stock price.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right="180" w:firstLine="518"/>
        <w:spacing w:after="0" w:line="258" w:lineRule="auto"/>
        <w:rPr>
          <w:sz w:val="20"/>
          <w:szCs w:val="20"/>
          <w:color w:val="auto"/>
        </w:rPr>
      </w:pPr>
      <w:r>
        <w:rPr>
          <w:rFonts w:ascii="Times New Roman" w:cs="Times New Roman" w:eastAsia="Times New Roman" w:hAnsi="Times New Roman"/>
          <w:sz w:val="18"/>
          <w:szCs w:val="18"/>
          <w:color w:val="auto"/>
        </w:rPr>
        <w:t>Restricted stock units (RSUs), including time-based and performance-based awards, were granted under the Company’s 2013 Incentive Plan and as inducement grants granted outside of the Plan. During the three months ended December 31, 2016, the Company did not issue additional RSU awards. At vesting, each existing RSU will be exchanged for one share of the Company’s Common Stock. RSU recipients may elect to net share settle upon vesting, in which case the Company pays the employee’s income taxes withheld upon vesting and withholds a number of shares of equal value. RSU awards generally vest subject to the satisfaction of service requirements or the satisfaction of both service requirements and achievement of certain performance targets.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RSUs: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2016</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1,356,667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2016</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806,667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2016 and 2015, the Company recorded $985,983 and $1,163,126 of expense, respectively. Such expense is included in stock-based compensation expense in the Company’s Consolidated Statement of Operations and Comprehensive Loss.</w:t>
      </w:r>
    </w:p>
    <w:p>
      <w:pPr>
        <w:spacing w:after="0" w:line="162"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For RSUs, the grant date fair value of the award is based on the Company’s closing stock price at the grant date, with consideration given to the probability of achieving performance conditions for performance based awards.</w:t>
      </w:r>
    </w:p>
    <w:p>
      <w:pPr>
        <w:spacing w:after="0" w:line="16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2016, the pre-tax compensation expense for all unvested RSUs in the amount of approximately $1,604,377 will be recognized in the Company’s results of operations over a weighted average period of 1.5 years.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right="140" w:firstLine="518"/>
        <w:spacing w:after="0" w:line="313" w:lineRule="auto"/>
        <w:rPr>
          <w:sz w:val="20"/>
          <w:szCs w:val="20"/>
          <w:color w:val="auto"/>
        </w:rPr>
      </w:pPr>
      <w:r>
        <w:rPr>
          <w:rFonts w:ascii="Times New Roman" w:cs="Times New Roman" w:eastAsia="Times New Roman" w:hAnsi="Times New Roman"/>
          <w:sz w:val="17"/>
          <w:szCs w:val="17"/>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38"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fair value measurements at December 31, 2016 and September 30, 2016 for assets and liabilities measured at fair value on a recurring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5"/>
                <w:szCs w:val="15"/>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102,105,569</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102,105,569</w:t>
            </w:r>
          </w:p>
        </w:tc>
        <w:tc>
          <w:tcPr>
            <w:tcW w:w="60" w:type="dxa"/>
            <w:vAlign w:val="bottom"/>
            <w:tcBorders>
              <w:top w:val="single" w:sz="8" w:color="CFF0FC"/>
            </w:tcBorders>
            <w:shd w:val="clear" w:color="auto" w:fill="CFF0FC"/>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118,795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118,795</w:t>
            </w:r>
          </w:p>
        </w:tc>
      </w:tr>
      <w:tr>
        <w:trPr>
          <w:trHeight w:val="4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24"/>
                <w:szCs w:val="24"/>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60" w:type="dxa"/>
            <w:vAlign w:val="bottom"/>
            <w:tcBorders>
              <w:top w:val="single" w:sz="8" w:color="CFF0FC"/>
            </w:tcBorders>
            <w:shd w:val="clear" w:color="auto" w:fill="CFF0FC"/>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1,602,626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1,602,626</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As part of a financing in December 2012, Arrowhead issued warrants to purchase up to 912,543 shares of Common Stock (the “2012 Warrants”) of which 265,161 warrants were outstanding at December 31, 2016. Further, as part of a financing in January 2013, Arrowhead issued warrants to purchase up to 833,530 shares of Common Stock (the “2013 Warrants” and, together with the 2012 Warrants, the “Warrants”) of which 12,123 warrants were outstanding at December 31, 2016.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and Comprehensive Loss. During the three months ended December 31, 2016 and 2015, the Company recorded a non-cash gain/(loss) from the change in fair value of the derivative liability of $1,454,831 and $(21,574), respectively.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valuing the derivative liability were as follows:</w:t>
      </w:r>
    </w:p>
    <w:p>
      <w:pPr>
        <w:spacing w:after="0" w:line="239"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2012 Warrants</w:t>
            </w:r>
          </w:p>
        </w:tc>
        <w:tc>
          <w:tcPr>
            <w:tcW w:w="410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December 31, 2016</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September 30, 2016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100" w:type="dxa"/>
            <w:vAlign w:val="bottom"/>
            <w:gridSpan w:val="3"/>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0.85%</w:t>
            </w: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520" w:type="dxa"/>
            <w:vAlign w:val="bottom"/>
          </w:tcPr>
          <w:p>
            <w:pPr>
              <w:spacing w:after="0"/>
              <w:rPr>
                <w:sz w:val="18"/>
                <w:szCs w:val="18"/>
                <w:color w:val="auto"/>
              </w:rPr>
            </w:pPr>
          </w:p>
        </w:tc>
        <w:tc>
          <w:tcPr>
            <w:tcW w:w="258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0.9 Years</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10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79%</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2013 Warrants</w:t>
            </w:r>
          </w:p>
        </w:tc>
        <w:tc>
          <w:tcPr>
            <w:tcW w:w="4100" w:type="dxa"/>
            <w:vAlign w:val="bottom"/>
            <w:gridSpan w:val="3"/>
          </w:tcPr>
          <w:p>
            <w:pPr>
              <w:jc w:val="right"/>
              <w:ind w:right="1180"/>
              <w:spacing w:after="0" w:line="176" w:lineRule="exact"/>
              <w:rPr>
                <w:sz w:val="20"/>
                <w:szCs w:val="20"/>
                <w:color w:val="auto"/>
              </w:rPr>
            </w:pPr>
            <w:r>
              <w:rPr>
                <w:rFonts w:ascii="Times New Roman" w:cs="Times New Roman" w:eastAsia="Times New Roman" w:hAnsi="Times New Roman"/>
                <w:sz w:val="18"/>
                <w:szCs w:val="18"/>
                <w:color w:val="auto"/>
              </w:rPr>
              <w:t>December 31, 2016</w:t>
            </w:r>
          </w:p>
        </w:tc>
        <w:tc>
          <w:tcPr>
            <w:tcW w:w="168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w w:val="98"/>
              </w:rPr>
              <w:t>September 30, 2016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100" w:type="dxa"/>
            <w:vAlign w:val="bottom"/>
            <w:gridSpan w:val="3"/>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0.85%</w:t>
            </w: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520" w:type="dxa"/>
            <w:vAlign w:val="bottom"/>
          </w:tcPr>
          <w:p>
            <w:pPr>
              <w:spacing w:after="0"/>
              <w:rPr>
                <w:sz w:val="18"/>
                <w:szCs w:val="18"/>
                <w:color w:val="auto"/>
              </w:rPr>
            </w:pPr>
          </w:p>
        </w:tc>
        <w:tc>
          <w:tcPr>
            <w:tcW w:w="258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1.0 Years</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10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79%</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derivative liability related to these warrants: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2016</w:t>
            </w:r>
          </w:p>
        </w:tc>
        <w:tc>
          <w:tcPr>
            <w:tcW w:w="426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1,565,874</w:t>
            </w:r>
          </w:p>
        </w:tc>
        <w:tc>
          <w:tcPr>
            <w:tcW w:w="12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instruments</w:t>
            </w:r>
          </w:p>
        </w:tc>
        <w:tc>
          <w:tcPr>
            <w:tcW w:w="3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3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(1,454,831)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3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December 31, 2016</w:t>
            </w:r>
          </w:p>
        </w:tc>
        <w:tc>
          <w:tcPr>
            <w:tcW w:w="382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2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17" w:name="page18"/>
    <w:bookmarkEnd w:id="17"/>
    <w:p>
      <w:pPr>
        <w:ind w:firstLine="518"/>
        <w:spacing w:after="0" w:line="255" w:lineRule="auto"/>
        <w:rPr>
          <w:sz w:val="20"/>
          <w:szCs w:val="20"/>
          <w:color w:val="auto"/>
        </w:rPr>
      </w:pPr>
      <w:r>
        <w:rPr>
          <w:rFonts w:ascii="Times New Roman" w:cs="Times New Roman" w:eastAsia="Times New Roman" w:hAnsi="Times New Roman"/>
          <w:sz w:val="18"/>
          <w:szCs w:val="18"/>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and a current exchange ratio of 0.01. Exchange rights for 675,000 Ablaris shares were sold in fiscal 2011, and 500,000 remain outstanding at December 31, 2016.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and Comprehensive Loss. During the three months ended December 31, 2016 and 2015, the Company recorded a non-cash gain/(loss) from the change in fair value of the derivative liability of $29,000 and $(1,950), respectively.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valuing the derivative liability were as follows:</w:t>
      </w:r>
    </w:p>
    <w:p>
      <w:pPr>
        <w:spacing w:after="0" w:line="23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1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1.2 Years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the derivative liability related to these exchange rights:</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September 30, 2016</w:t>
            </w:r>
          </w:p>
        </w:tc>
        <w:tc>
          <w:tcPr>
            <w:tcW w:w="12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instruments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w:t>
            </w: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settlements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at December 31, 2016</w:t>
            </w:r>
          </w:p>
        </w:tc>
        <w:tc>
          <w:tcPr>
            <w:tcW w:w="64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518"/>
        <w:spacing w:after="0" w:line="271" w:lineRule="auto"/>
        <w:rPr>
          <w:sz w:val="20"/>
          <w:szCs w:val="20"/>
          <w:color w:val="auto"/>
        </w:rPr>
      </w:pPr>
      <w:r>
        <w:rPr>
          <w:rFonts w:ascii="Times New Roman" w:cs="Times New Roman" w:eastAsia="Times New Roman" w:hAnsi="Times New Roman"/>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is the Company’s stock price. Other inputs have a comparatively insignificant effect.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588"/>
        <w:spacing w:after="0" w:line="255" w:lineRule="auto"/>
        <w:rPr>
          <w:sz w:val="20"/>
          <w:szCs w:val="20"/>
          <w:color w:val="auto"/>
        </w:rPr>
      </w:pPr>
      <w:r>
        <w:rPr>
          <w:rFonts w:ascii="Times New Roman" w:cs="Times New Roman" w:eastAsia="Times New Roman" w:hAnsi="Times New Roman"/>
          <w:sz w:val="18"/>
          <w:szCs w:val="18"/>
          <w:color w:val="auto"/>
        </w:rPr>
        <w:t>Arrowhead Pharmaceuticals, Inc.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ARO-HBV for chronic hepatitis B virus, ARO-AAT for liver disease associated with alpha-1 antitrypsin deficiency (AATD), ARO-F12 for hereditary angioedema and thromboembolic disorders, ARO-HIF2 for renal cell carcinoma, and ARO-AMG1 for an undisclosed genetically validate cardiovascular target under a license and collaboration agreement with Amgen, Inc., a Delaware corporation (“Amgen”). ARO-LPA for cardiovascular disease was recently out-licensed to Amgen.</w:t>
      </w:r>
    </w:p>
    <w:p>
      <w:pPr>
        <w:spacing w:after="0" w:line="185" w:lineRule="exact"/>
        <w:rPr>
          <w:sz w:val="20"/>
          <w:szCs w:val="20"/>
          <w:color w:val="auto"/>
        </w:rPr>
      </w:pPr>
    </w:p>
    <w:p>
      <w:pPr>
        <w:ind w:right="220" w:firstLine="588"/>
        <w:spacing w:after="0" w:line="282" w:lineRule="auto"/>
        <w:rPr>
          <w:sz w:val="20"/>
          <w:szCs w:val="20"/>
          <w:color w:val="auto"/>
        </w:rPr>
      </w:pPr>
      <w:r>
        <w:rPr>
          <w:rFonts w:ascii="Times New Roman" w:cs="Times New Roman" w:eastAsia="Times New Roman" w:hAnsi="Times New Roman"/>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62" w:lineRule="exact"/>
        <w:rPr>
          <w:sz w:val="20"/>
          <w:szCs w:val="20"/>
          <w:color w:val="auto"/>
        </w:rPr>
      </w:pPr>
    </w:p>
    <w:p>
      <w:pPr>
        <w:ind w:right="40" w:firstLine="588"/>
        <w:spacing w:after="0" w:line="244" w:lineRule="auto"/>
        <w:rPr>
          <w:sz w:val="20"/>
          <w:szCs w:val="20"/>
          <w:color w:val="auto"/>
        </w:rPr>
      </w:pPr>
      <w:r>
        <w:rPr>
          <w:rFonts w:ascii="Times New Roman" w:cs="Times New Roman" w:eastAsia="Times New Roman" w:hAnsi="Times New Roman"/>
          <w:sz w:val="18"/>
          <w:szCs w:val="18"/>
          <w:color w:val="auto"/>
        </w:rPr>
        <w:t>During a portion of the first quarter of fiscal 2017, the Company continued to develop its clinical candidates, ARC-520 and ARC-521, for the treatment of chronic hepatitis B infection as well as its second clinical candidate, ARC-AAT, an RNAi therapeutic designed to treat liver disease associated with AATD. However, in November 2016, the Company announced that it would be discontinuing these clinical programs, and redeploying its resources and focus toward utilizing the Company’s new proprietary subcutaneous and extra-hepatic delivery systems. Each of these discontinued clinical candidates utilized the intravenously administered DPC</w:t>
      </w:r>
      <w:r>
        <w:rPr>
          <w:rFonts w:ascii="Times New Roman" w:cs="Times New Roman" w:eastAsia="Times New Roman" w:hAnsi="Times New Roman"/>
          <w:sz w:val="26"/>
          <w:szCs w:val="26"/>
          <w:color w:val="auto"/>
          <w:vertAlign w:val="subscript"/>
        </w:rPr>
        <w:t>iv</w:t>
      </w:r>
      <w:r>
        <w:rPr>
          <w:rFonts w:ascii="Times New Roman" w:cs="Times New Roman" w:eastAsia="Times New Roman" w:hAnsi="Times New Roman"/>
          <w:sz w:val="18"/>
          <w:szCs w:val="18"/>
          <w:color w:val="auto"/>
        </w:rPr>
        <w:t>, or EX1, delivery vehicle. The decision to discontinue development of EX1-containing programs was based primarily on two factors. First, 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Second, the Company has made substantial advances in RNA chemistry and targeting resulting in large potency gains for subcutaneous administered and extra-hepatic RNAi-based development programs. In preclinical studies with the subcutaneous platform, the Company has obtained depth and duration of target gene knockdown approaching that of intravenously administered EX1-containing candidates, at lower doses and with good safety margins. ARO-HBV and ARO-AAT are the Company’s subcutaneous administered preclinical candidates for chronic hepatitis B virus and liver disease associated with AATD, respectively. Because of the discontinuation of its existing clinical programs, the Company has also reduced its workforce by approximately 30%, while maintaining resources necessary to support current and potential future partner-based programs and the Company’s pipeline.</w:t>
      </w:r>
    </w:p>
    <w:p>
      <w:pPr>
        <w:spacing w:after="0" w:line="196" w:lineRule="exact"/>
        <w:rPr>
          <w:sz w:val="20"/>
          <w:szCs w:val="20"/>
          <w:color w:val="auto"/>
        </w:rPr>
      </w:pPr>
    </w:p>
    <w:p>
      <w:pPr>
        <w:ind w:right="140" w:firstLine="588"/>
        <w:spacing w:after="0" w:line="236" w:lineRule="auto"/>
        <w:rPr>
          <w:sz w:val="20"/>
          <w:szCs w:val="20"/>
          <w:color w:val="auto"/>
        </w:rPr>
      </w:pPr>
      <w:r>
        <w:rPr>
          <w:rFonts w:ascii="Times New Roman" w:cs="Times New Roman" w:eastAsia="Times New Roman" w:hAnsi="Times New Roman"/>
          <w:sz w:val="18"/>
          <w:szCs w:val="18"/>
          <w:color w:val="auto"/>
        </w:rPr>
        <w:t>The Company also continued progressing with its preclinical candidates including ARO-F12, ARO-HIF2 and ARO-LPA. The Company’s most significant development for its preclinical candidates was for ARO-LPA. On September 28, 2016, the Company entered into two Collaboration and License agreements and a Common Stock Purchase Agreement with Amgen. Under one of the license agreements (the “First Collaboration and License Agreement” or “ARO-AMG1 Agreement”), Amgen has received an option to a worldwide, exclusive license for an RNAi therapy for ARO-AMG1</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8"/>
          <w:szCs w:val="18"/>
          <w:color w:val="auto"/>
        </w:rPr>
        <w:t xml:space="preserve"> an undisclosed genetically validated cardiovascular target. Under the other license agreement (the “Second Collaboration and License Agreement” or “ARO-LPA Agreement”), Amgen has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9" w:name="page20"/>
    <w:bookmarkEnd w:id="19"/>
    <w:p>
      <w:pPr>
        <w:ind w:right="40"/>
        <w:spacing w:after="0" w:line="253" w:lineRule="auto"/>
        <w:rPr>
          <w:sz w:val="20"/>
          <w:szCs w:val="20"/>
          <w:color w:val="auto"/>
        </w:rPr>
      </w:pPr>
      <w:r>
        <w:rPr>
          <w:rFonts w:ascii="Times New Roman" w:cs="Times New Roman" w:eastAsia="Times New Roman" w:hAnsi="Times New Roman"/>
          <w:sz w:val="18"/>
          <w:szCs w:val="18"/>
          <w:color w:val="auto"/>
        </w:rPr>
        <w:t>received a worldwide, exclusive license to Arrowhead’s novel, RNAi ARO-LPA program. These RNAi molecules are designed to reduce elevated lipoprotein(a), which is a genetically validated, independent risk factor for atherosclerotic cardiovascular disease. In both agreements, Amgen is wholly responsible for clinical development and commercialization. Under the terms of the agreements taken together,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 Regarding ARO-F12, in November 2016, the Company presented data showing that its developed triggers gave greater than 95% reduction of serum F12 levels after a single subcutaneous administration with no increased bleeding risk in its preclinical studies. This data illustrates the Company’s advancements in its subcutaneous delivery systems. The Company is conducting relevant disease models and is considering other potential studies to support advancement of ARO-F12 into clinical trials. Regarding ARO-HIF2, in April 2016, the Company presented data showing that ARO-HIF2 inhibited renal cell carcinoma growth and promoted tumor cell death in its preclinical studies. ARO-HIF2 is the Company’s first RNAi therapeutic to target tissues outside the liver.</w:t>
      </w:r>
    </w:p>
    <w:p>
      <w:pPr>
        <w:spacing w:after="0" w:line="193" w:lineRule="exact"/>
        <w:rPr>
          <w:sz w:val="20"/>
          <w:szCs w:val="20"/>
          <w:color w:val="auto"/>
        </w:rPr>
      </w:pPr>
    </w:p>
    <w:p>
      <w:pPr>
        <w:ind w:right="20" w:firstLine="588"/>
        <w:spacing w:after="0" w:line="256" w:lineRule="auto"/>
        <w:rPr>
          <w:sz w:val="20"/>
          <w:szCs w:val="20"/>
          <w:color w:val="auto"/>
        </w:rPr>
      </w:pPr>
      <w:r>
        <w:rPr>
          <w:rFonts w:ascii="Times New Roman" w:cs="Times New Roman" w:eastAsia="Times New Roman" w:hAnsi="Times New Roman"/>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88" w:lineRule="exact"/>
        <w:rPr>
          <w:sz w:val="20"/>
          <w:szCs w:val="20"/>
          <w:color w:val="auto"/>
        </w:rPr>
      </w:pPr>
    </w:p>
    <w:p>
      <w:pPr>
        <w:ind w:right="160" w:firstLine="588"/>
        <w:spacing w:after="0" w:line="282" w:lineRule="auto"/>
        <w:rPr>
          <w:sz w:val="20"/>
          <w:szCs w:val="20"/>
          <w:color w:val="auto"/>
        </w:rPr>
      </w:pPr>
      <w:r>
        <w:rPr>
          <w:rFonts w:ascii="Times New Roman" w:cs="Times New Roman" w:eastAsia="Times New Roman" w:hAnsi="Times New Roman"/>
          <w:sz w:val="18"/>
          <w:szCs w:val="18"/>
          <w:color w:val="auto"/>
        </w:rPr>
        <w:t>Net losses were $12.1 million and $19.3 million during the three months ended December 31, 2016 and 2015, respectively. Diluted losses per share were $0.17 and $0.32 during the three months ended December 31, 2016 and 2015, respectively.</w:t>
      </w:r>
    </w:p>
    <w:p>
      <w:pPr>
        <w:spacing w:after="0" w:line="162" w:lineRule="exact"/>
        <w:rPr>
          <w:sz w:val="20"/>
          <w:szCs w:val="20"/>
          <w:color w:val="auto"/>
        </w:rPr>
      </w:pPr>
    </w:p>
    <w:p>
      <w:pPr>
        <w:ind w:right="80" w:firstLine="588"/>
        <w:spacing w:after="0" w:line="256" w:lineRule="auto"/>
        <w:rPr>
          <w:sz w:val="20"/>
          <w:szCs w:val="20"/>
          <w:color w:val="auto"/>
        </w:rPr>
      </w:pPr>
      <w:r>
        <w:rPr>
          <w:rFonts w:ascii="Times New Roman" w:cs="Times New Roman" w:eastAsia="Times New Roman" w:hAnsi="Times New Roman"/>
          <w:sz w:val="18"/>
          <w:szCs w:val="18"/>
          <w:color w:val="auto"/>
        </w:rPr>
        <w:t>The Company strengthened its liquidity and financial position through an equity offering completed in August 2016, which generated approximately $43.2 million of net cash proceeds for the Company. Additionally, the Company received $56.5 million in upfront payments and equity investments from Amgen. These cash proceeds secured the funding needed to continue to advance our preclinical candidates. The Company had $102.1 million of cash and cash equivalents and $144.3 million of total assets as of December 31, 2016, as compared to $85.4 million and $128.2 million as of September 30, 2016, respectively. Based upon the Company’s current cash resources and operating plan, the Company expects to have sufficient liquidity to fund operations for at least the next twelve months.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firstLine="588"/>
        <w:spacing w:after="0" w:line="255" w:lineRule="auto"/>
        <w:rPr>
          <w:sz w:val="20"/>
          <w:szCs w:val="20"/>
          <w:color w:val="auto"/>
        </w:rPr>
      </w:pPr>
      <w:r>
        <w:rPr>
          <w:rFonts w:ascii="Times New Roman" w:cs="Times New Roman" w:eastAsia="Times New Roman" w:hAnsi="Times New Roman"/>
          <w:sz w:val="18"/>
          <w:szCs w:val="18"/>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Times New Roman" w:cs="Times New Roman" w:eastAsia="Times New Roman" w:hAnsi="Times New Roman"/>
          <w:sz w:val="18"/>
          <w:szCs w:val="18"/>
          <w:i w:val="1"/>
          <w:iCs w:val="1"/>
          <w:color w:val="auto"/>
        </w:rPr>
        <w:t>Note 1, Organization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Consolidated Financial Statements, which outlines our application of significant accounting policies.</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340" w:firstLine="665"/>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62" w:lineRule="exact"/>
        <w:rPr>
          <w:sz w:val="20"/>
          <w:szCs w:val="20"/>
          <w:color w:val="auto"/>
        </w:rPr>
      </w:pPr>
    </w:p>
    <w:p>
      <w:pPr>
        <w:ind w:right="100" w:firstLine="665"/>
        <w:spacing w:after="0" w:line="261" w:lineRule="auto"/>
        <w:rPr>
          <w:sz w:val="20"/>
          <w:szCs w:val="20"/>
          <w:color w:val="auto"/>
        </w:rPr>
      </w:pPr>
      <w:r>
        <w:rPr>
          <w:rFonts w:ascii="Times New Roman" w:cs="Times New Roman" w:eastAsia="Times New Roman" w:hAnsi="Times New Roman"/>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180" w:lineRule="exact"/>
        <w:rPr>
          <w:sz w:val="20"/>
          <w:szCs w:val="20"/>
          <w:color w:val="auto"/>
        </w:rPr>
      </w:pPr>
    </w:p>
    <w:p>
      <w:pPr>
        <w:ind w:right="60" w:firstLine="588"/>
        <w:spacing w:after="0" w:line="266" w:lineRule="auto"/>
        <w:rPr>
          <w:sz w:val="20"/>
          <w:szCs w:val="20"/>
          <w:color w:val="auto"/>
        </w:rPr>
      </w:pPr>
      <w:r>
        <w:rPr>
          <w:rFonts w:ascii="Times New Roman" w:cs="Times New Roman" w:eastAsia="Times New Roman" w:hAnsi="Times New Roman"/>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right="340"/>
        <w:spacing w:after="0" w:line="282" w:lineRule="auto"/>
        <w:rPr>
          <w:sz w:val="20"/>
          <w:szCs w:val="20"/>
          <w:color w:val="auto"/>
        </w:rPr>
      </w:pPr>
      <w:r>
        <w:rPr>
          <w:rFonts w:ascii="Times New Roman" w:cs="Times New Roman" w:eastAsia="Times New Roman" w:hAnsi="Times New Roman"/>
          <w:sz w:val="18"/>
          <w:szCs w:val="18"/>
          <w:color w:val="auto"/>
        </w:rPr>
        <w:t>value to the customer on a standalone basis and if the arrangement includes a general right of return for the delivered item, delivery or performance of the undelivered item is considered probable and substantially in the control of the vendor.</w:t>
      </w:r>
    </w:p>
    <w:p>
      <w:pPr>
        <w:spacing w:after="0" w:line="162" w:lineRule="exact"/>
        <w:rPr>
          <w:sz w:val="20"/>
          <w:szCs w:val="20"/>
          <w:color w:val="auto"/>
        </w:rPr>
      </w:pPr>
    </w:p>
    <w:p>
      <w:pPr>
        <w:ind w:right="100" w:firstLine="588"/>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right="40" w:firstLine="588"/>
        <w:spacing w:after="0" w:line="254"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9" w:lineRule="exact"/>
        <w:rPr>
          <w:sz w:val="20"/>
          <w:szCs w:val="20"/>
          <w:color w:val="auto"/>
        </w:rPr>
      </w:pPr>
    </w:p>
    <w:p>
      <w:pPr>
        <w:ind w:firstLine="530"/>
        <w:spacing w:after="0" w:line="254" w:lineRule="auto"/>
        <w:rPr>
          <w:sz w:val="20"/>
          <w:szCs w:val="20"/>
          <w:color w:val="auto"/>
        </w:rPr>
      </w:pPr>
      <w:r>
        <w:rPr>
          <w:rFonts w:ascii="Times New Roman" w:cs="Times New Roman" w:eastAsia="Times New Roman" w:hAnsi="Times New Roman"/>
          <w:sz w:val="18"/>
          <w:szCs w:val="18"/>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then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then the Company will recognize the milestone payment as revenue in its entirety in the period the milestone was achieved.</w:t>
      </w:r>
    </w:p>
    <w:p>
      <w:pPr>
        <w:spacing w:after="0" w:line="189" w:lineRule="exact"/>
        <w:rPr>
          <w:sz w:val="20"/>
          <w:szCs w:val="20"/>
          <w:color w:val="auto"/>
        </w:rPr>
      </w:pPr>
    </w:p>
    <w:p>
      <w:pPr>
        <w:ind w:right="300" w:firstLine="588"/>
        <w:spacing w:after="0" w:line="261" w:lineRule="auto"/>
        <w:rPr>
          <w:sz w:val="20"/>
          <w:szCs w:val="20"/>
          <w:color w:val="auto"/>
        </w:rPr>
      </w:pPr>
      <w:r>
        <w:rPr>
          <w:rFonts w:ascii="Times New Roman" w:cs="Times New Roman" w:eastAsia="Times New Roman" w:hAnsi="Times New Roman"/>
          <w:sz w:val="18"/>
          <w:szCs w:val="18"/>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2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220" w:firstLine="588"/>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119" w:lineRule="exact"/>
        <w:rPr>
          <w:sz w:val="20"/>
          <w:szCs w:val="20"/>
          <w:color w:val="auto"/>
        </w:rPr>
      </w:pPr>
    </w:p>
    <w:p>
      <w:pPr>
        <w:ind w:firstLine="588"/>
        <w:spacing w:after="0" w:line="258" w:lineRule="auto"/>
        <w:rPr>
          <w:sz w:val="20"/>
          <w:szCs w:val="20"/>
          <w:color w:val="auto"/>
        </w:rPr>
      </w:pPr>
      <w:r>
        <w:rPr>
          <w:rFonts w:ascii="Times New Roman" w:cs="Times New Roman" w:eastAsia="Times New Roman" w:hAnsi="Times New Roman"/>
          <w:sz w:val="18"/>
          <w:szCs w:val="18"/>
          <w:color w:val="auto"/>
        </w:rPr>
        <w:t>Intangible assets consist of in-process research and development,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right="140" w:firstLine="588"/>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expense for stock options based on the grant date fair value using the Black-Scholes options pricing model, which requires us to make assumptions regarding certain variables including the risk-free interest rate, expected stock price volatility, assumed forfeitures, and the expected life of the award. The grant date fair value of restricted stock units granted is based upon the quoted closing market price per share on the date of grant, adjusted for assumed forfeitures. For performance-based stock awards, the value of the award is measured at the grant date. Expense for stock options and restricted stock units is recognized over the requisite service period.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Derivative Assets and Liabilities</w:t>
      </w:r>
    </w:p>
    <w:p>
      <w:pPr>
        <w:spacing w:after="0" w:line="119" w:lineRule="exact"/>
        <w:rPr>
          <w:sz w:val="20"/>
          <w:szCs w:val="20"/>
          <w:color w:val="auto"/>
        </w:rPr>
      </w:pPr>
    </w:p>
    <w:p>
      <w:pPr>
        <w:ind w:firstLine="588"/>
        <w:spacing w:after="0" w:line="254" w:lineRule="auto"/>
        <w:rPr>
          <w:sz w:val="20"/>
          <w:szCs w:val="20"/>
          <w:color w:val="auto"/>
        </w:rPr>
      </w:pPr>
      <w:r>
        <w:rPr>
          <w:rFonts w:ascii="Times New Roman" w:cs="Times New Roman" w:eastAsia="Times New Roman" w:hAnsi="Times New Roman"/>
          <w:sz w:val="18"/>
          <w:szCs w:val="18"/>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120" w:firstLine="588"/>
        <w:spacing w:after="0" w:line="253" w:lineRule="auto"/>
        <w:rPr>
          <w:sz w:val="20"/>
          <w:szCs w:val="20"/>
          <w:color w:val="auto"/>
        </w:rPr>
      </w:pPr>
      <w:r>
        <w:rPr>
          <w:rFonts w:ascii="Times New Roman" w:cs="Times New Roman" w:eastAsia="Times New Roman" w:hAnsi="Times New Roman"/>
          <w:sz w:val="18"/>
          <w:szCs w:val="18"/>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data summarize our results of operations for the following periods indicated:</w:t>
      </w:r>
    </w:p>
    <w:p>
      <w:pPr>
        <w:spacing w:after="0" w:line="259"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Pr>
          <w:p>
            <w:pPr>
              <w:spacing w:after="0"/>
              <w:rPr>
                <w:sz w:val="15"/>
                <w:szCs w:val="15"/>
                <w:color w:val="auto"/>
              </w:rPr>
            </w:pP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4,365,496</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43,750</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(14,901,887)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(19,341,270)</w:t>
            </w: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(12,086,108)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(19,264,414)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(0.32)</w:t>
            </w:r>
          </w:p>
        </w:tc>
      </w:tr>
    </w:tbl>
    <w:p>
      <w:pPr>
        <w:spacing w:after="0" w:line="193"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increase in our Revenue during the three months ended December 31, 2016 was driven by the upfront payments received from Amgen that we are beginning to recognize in the period as performance is completed for the ARO-LPA and ARO-AMG1 agreements. This was also the key driver of the decrease in our Operating Loss, Net Loss and Loss per Share.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Total revenue was $4,365,496 and $43,750 for the three months ended December 31, 2016 and 2015, respectively. Revenue in the current period is primarily related to the upfront payments received from Amgen that we are beginning to recognize as performance is completed for the ARO-LPA and ARO-AMG1 agreements.</w:t>
      </w:r>
    </w:p>
    <w:p>
      <w:pPr>
        <w:spacing w:after="0" w:line="68"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Under the terms of the ARO-LPA Agreement, the Company has granted a worldwide, exclusive license to ARO-LPA. The collaboration between the Company and Amgen is governed by a joint research committee comprised of an equal number of representatives from each party; however, Amgen has the final decision making authority regarding ARO-LPA in this committee. The Company is also responsible for assisting Amgen in the oversight of certain development and manufacturing activities, most of which are to be covered at Amgen’s cost. The Company has determined that the significant deliverables under the ARO-LPA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November 18, 2016 (the Hart-Scott-Rodino clearance date) through October 31, 2017, which is the date where the significant development and manufacturing related deliverables are anticipated to be completed. The Company received the upfront payment of $30 million due under this agreement in November 2016. The initial $30 million payment was recorded as Deferred Revenue, and $3.7 million of this was amortized into Revenue in the current period.</w:t>
      </w:r>
    </w:p>
    <w:p>
      <w:pPr>
        <w:spacing w:after="0" w:line="83"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Under the terms of the ARO-AMG1 Agreement, the Company has granted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initial $5 million payment was recorded as Deferred Revenue, and $0.6 million of this was amortized into Revenue in the current period.</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months ended December 31, 2016 and 2015 are shown in the tables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 Three months ended December 31, 2016 compared to the three months ended December 31, 2015</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R&amp;D expenses are related to the Company’s on-going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540" w:type="dxa"/>
            <w:vAlign w:val="bottom"/>
          </w:tcPr>
          <w:p>
            <w:pPr>
              <w:spacing w:after="0"/>
              <w:rPr>
                <w:sz w:val="14"/>
                <w:szCs w:val="14"/>
                <w:color w:val="auto"/>
              </w:rPr>
            </w:pPr>
          </w:p>
        </w:tc>
        <w:tc>
          <w:tcPr>
            <w:tcW w:w="13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60" w:type="dxa"/>
            <w:vAlign w:val="bottom"/>
            <w:tcBorders>
              <w:bottom w:val="single" w:sz="8" w:color="B6EAFC"/>
            </w:tcBorders>
          </w:tcPr>
          <w:p>
            <w:pPr>
              <w:spacing w:after="0"/>
              <w:rPr>
                <w:sz w:val="15"/>
                <w:szCs w:val="15"/>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40" w:type="dxa"/>
            <w:vAlign w:val="bottom"/>
            <w:tcBorders>
              <w:bottom w:val="single" w:sz="8" w:color="B6EA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60" w:type="dxa"/>
            <w:vAlign w:val="bottom"/>
            <w:tcBorders>
              <w:bottom w:val="single" w:sz="8" w:color="B6EA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Borders>
              <w:bottom w:val="single" w:sz="8" w:color="B6EAFC"/>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B6EA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Laboratory supplies &amp; services</w:t>
            </w: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shd w:val="clear" w:color="auto" w:fill="B6EAFC"/>
          </w:tcPr>
          <w:p>
            <w:pPr>
              <w:jc w:val="right"/>
              <w:ind w:right="37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 vivo studies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Toxicity/efficacy studies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(2,584)</w:t>
            </w:r>
          </w:p>
        </w:tc>
        <w:tc>
          <w:tcPr>
            <w:tcW w:w="6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Drug manufacturing</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(875)</w:t>
            </w:r>
          </w:p>
        </w:tc>
        <w:tc>
          <w:tcPr>
            <w:tcW w:w="62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Other research expenses</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Laboratory supplies and services expense increased by $235,000 from $602,000 during the three months ended December 31, 2015 to $837,000 during the current period. The increase in laboratory supplies and services is a result of additional supply purchases necessary to support the expansion of the Company’s preclinical pipeline as well as the development of the subcutaneous versions of its drug candidates.</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vivo studies expense increased by $172,000 from $289,000 during the three months ended December 31, 2015 to $461,000 during the current period. In vivo expense can vary depending on the stage of preclinical candidates, the nature and amount of testing required and the cost variation of different in vivo testing models. The increase in in vivo studies in the current period is a result of additional discovery studies being conducted for the Company’s subcutaneous candidates.</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Outside labs and contract services expense increased by $67,000 from $65,000 during the three months ended December 31, 2015 to $132,000 during the current period. The increase in outside labs and contract services in the current period is a result of additional discovery work being conducted for the Company’s subcutaneous candidates</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Toxicity/efficacy studies expense decreased by $2,584,000 from $3,099,000 during the three months ended December 31, 2015 to $515,000 during the current period. This category includes IND-enabling toxicology studies as well as post-IND toxicology studies, such as long-term toxicology studies, and other efficacy studies. The decrease primarily relates to toxicology studies related to one of our discontinued drug candidates, ARC-521. We anticipate this expense to remain lower in the near term due to the discontinuation of our clinical candidates.</w:t>
      </w:r>
    </w:p>
    <w:p>
      <w:pPr>
        <w:spacing w:after="0" w:line="180"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Drug manufacturing expense decreased by $875,000 from $3,100,000 during the three months ended December 31, 2015 to $2,225,000 during the current period. The decrease is primarily due to the timing of a manufacturing batch that was completed in fiscal 2016 for one of our preclinical candidates. We anticipate this expense to decrease in the near term due to the discontinuation of our clinical candidates.</w:t>
      </w:r>
    </w:p>
    <w:p>
      <w:pPr>
        <w:spacing w:after="0" w:line="176" w:lineRule="exact"/>
        <w:rPr>
          <w:sz w:val="20"/>
          <w:szCs w:val="20"/>
          <w:color w:val="auto"/>
        </w:rPr>
      </w:pPr>
    </w:p>
    <w:p>
      <w:pPr>
        <w:jc w:val="both"/>
        <w:ind w:right="180" w:firstLine="518"/>
        <w:spacing w:after="0" w:line="261" w:lineRule="auto"/>
        <w:rPr>
          <w:sz w:val="20"/>
          <w:szCs w:val="20"/>
          <w:color w:val="auto"/>
        </w:rPr>
      </w:pPr>
      <w:r>
        <w:rPr>
          <w:rFonts w:ascii="Times New Roman" w:cs="Times New Roman" w:eastAsia="Times New Roman" w:hAnsi="Times New Roman"/>
          <w:sz w:val="18"/>
          <w:szCs w:val="18"/>
          <w:color w:val="auto"/>
        </w:rPr>
        <w:t>Clinical trials expense increased by $1,844,000 from $2,835,000 during the three months ended December 31, 2015 to $4,679,000 during the current period. The increase is primarily driven by the fact that our ARC-521 study was initiated in fiscal 2015, so minimal expenses had been incurred during the three months ended December 31, 2015 for this study as compared to the current period. We anticipate this expense to decrease in the near term due to the discontinuation of our clinical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4" w:name="page25"/>
    <w:bookmarkEnd w:id="24"/>
    <w:p>
      <w:pPr>
        <w:ind w:right="500" w:firstLine="518"/>
        <w:spacing w:after="0" w:line="266" w:lineRule="auto"/>
        <w:rPr>
          <w:sz w:val="20"/>
          <w:szCs w:val="20"/>
          <w:color w:val="auto"/>
        </w:rPr>
      </w:pPr>
      <w:r>
        <w:rPr>
          <w:rFonts w:ascii="Times New Roman" w:cs="Times New Roman" w:eastAsia="Times New Roman" w:hAnsi="Times New Roman"/>
          <w:sz w:val="18"/>
          <w:szCs w:val="18"/>
          <w:color w:val="auto"/>
        </w:rPr>
        <w:t>License, royalty and milestones expense decreased by $21,000 from $21,000 during the three months ended December 31, 2015 to $0 during the current period. This category can include milestone payments which can vary from period to period depending on the nature of our various license agreements, and the timing of reaching various development milestones requiring payment. No significant milestones were achieved in either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Facilities expense increased by $311,000 from $281,000 during the three months ended December 31, 2015 to $592,000 during the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The increase relates to increased rental costs for our new lease and larger facility in Madison, Wisconsin, which was entered into in October 2016.</w:t>
      </w:r>
    </w:p>
    <w:p>
      <w:pPr>
        <w:spacing w:after="0" w:line="207" w:lineRule="exact"/>
        <w:rPr>
          <w:sz w:val="20"/>
          <w:szCs w:val="20"/>
          <w:color w:val="auto"/>
        </w:rPr>
      </w:pPr>
    </w:p>
    <w:p>
      <w:pPr>
        <w:ind w:right="780" w:firstLine="518"/>
        <w:spacing w:after="0" w:line="266" w:lineRule="auto"/>
        <w:rPr>
          <w:sz w:val="20"/>
          <w:szCs w:val="20"/>
          <w:color w:val="auto"/>
        </w:rPr>
      </w:pPr>
      <w:r>
        <w:rPr>
          <w:rFonts w:ascii="Times New Roman" w:cs="Times New Roman" w:eastAsia="Times New Roman" w:hAnsi="Times New Roman"/>
          <w:sz w:val="18"/>
          <w:szCs w:val="18"/>
          <w:color w:val="auto"/>
        </w:rPr>
        <w:t>Other research expense increased by $39,000 from $47,000 during the three months ended December 31, 2015 to $86,000 during the current period. The increase primarily relates to additional miscellaneous supplies purchased to support increased efforts at our larger facility in Madison, Wisconsin.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 Three months ended December 31, 2016 compared to the three months ended December 31, 2015</w:t>
      </w:r>
    </w:p>
    <w:p>
      <w:pPr>
        <w:spacing w:after="0" w:line="121" w:lineRule="exact"/>
        <w:rPr>
          <w:sz w:val="20"/>
          <w:szCs w:val="20"/>
          <w:color w:val="auto"/>
        </w:rPr>
      </w:pPr>
    </w:p>
    <w:p>
      <w:pPr>
        <w:ind w:right="620" w:firstLine="518"/>
        <w:spacing w:after="0" w:line="261" w:lineRule="auto"/>
        <w:rPr>
          <w:sz w:val="20"/>
          <w:szCs w:val="20"/>
          <w:color w:val="auto"/>
        </w:rPr>
      </w:pPr>
      <w:r>
        <w:rPr>
          <w:rFonts w:ascii="Times New Roman" w:cs="Times New Roman" w:eastAsia="Times New Roman" w:hAnsi="Times New Roman"/>
          <w:sz w:val="18"/>
          <w:szCs w:val="18"/>
          <w:color w:val="auto"/>
        </w:rPr>
        <w:t>The Company employs scientific, technical and administrative staff at its corporate offices and its research facility. Salaries and payroll-related expense consists of salary, bonuses, payroll taxes and related benefits. Salary and payroll-related expenses include two major categories: general and administrative (G&amp;A) compensation expense, and research and development (R&amp;D) compensation expense, based on the primary activities of each employee. The following table provides details of salary and payroll-related expenses for the periods indicated: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Pr>
          <w:p>
            <w:pPr>
              <w:spacing w:after="0"/>
              <w:rPr>
                <w:sz w:val="16"/>
                <w:szCs w:val="16"/>
                <w:color w:val="auto"/>
              </w:rPr>
            </w:pP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Three Months</w:t>
            </w:r>
          </w:p>
        </w:tc>
        <w:tc>
          <w:tcPr>
            <w:tcW w:w="8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 of</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Three Months</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 of</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780" w:type="dxa"/>
            <w:vAlign w:val="bottom"/>
          </w:tcPr>
          <w:p>
            <w:pPr>
              <w:jc w:val="center"/>
              <w:ind w:left="304"/>
              <w:spacing w:after="0"/>
              <w:rPr>
                <w:sz w:val="20"/>
                <w:szCs w:val="20"/>
                <w:color w:val="auto"/>
              </w:rPr>
            </w:pPr>
            <w:r>
              <w:rPr>
                <w:rFonts w:ascii="Times New Roman" w:cs="Times New Roman" w:eastAsia="Times New Roman" w:hAnsi="Times New Roman"/>
                <w:sz w:val="14"/>
                <w:szCs w:val="14"/>
                <w:color w:val="auto"/>
              </w:rPr>
              <w:t>Ended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Ended</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Increase (Decrease)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700" w:type="dxa"/>
            <w:vAlign w:val="bottom"/>
            <w:tcBorders>
              <w:bottom w:val="single" w:sz="8" w:color="B6EAFC"/>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2016</w:t>
            </w:r>
          </w:p>
        </w:tc>
        <w:tc>
          <w:tcPr>
            <w:tcW w:w="280" w:type="dxa"/>
            <w:vAlign w:val="bottom"/>
            <w:tcBorders>
              <w:bottom w:val="single" w:sz="8" w:color="B6EAFC"/>
            </w:tcBorders>
          </w:tcPr>
          <w:p>
            <w:pPr>
              <w:spacing w:after="0"/>
              <w:rPr>
                <w:sz w:val="16"/>
                <w:szCs w:val="16"/>
                <w:color w:val="auto"/>
              </w:rPr>
            </w:pPr>
          </w:p>
        </w:tc>
        <w:tc>
          <w:tcPr>
            <w:tcW w:w="88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Category</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December 31, 2015</w:t>
            </w:r>
          </w:p>
        </w:tc>
        <w:tc>
          <w:tcPr>
            <w:tcW w:w="300" w:type="dxa"/>
            <w:vAlign w:val="bottom"/>
            <w:tcBorders>
              <w:bottom w:val="single" w:sz="8" w:color="B6EAFC"/>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Category</w:t>
            </w: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B6EA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R&amp;D - compensation-related</w:t>
            </w:r>
          </w:p>
        </w:tc>
        <w:tc>
          <w:tcPr>
            <w:tcW w:w="78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99"/>
              </w:rPr>
              <w:t>3,249</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B6EAFC"/>
          </w:tcPr>
          <w:p>
            <w:pPr>
              <w:spacing w:after="0"/>
              <w:rPr>
                <w:sz w:val="18"/>
                <w:szCs w:val="18"/>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B6EAFC"/>
          </w:tcPr>
          <w:p>
            <w:pPr>
              <w:spacing w:after="0"/>
              <w:rPr>
                <w:sz w:val="18"/>
                <w:szCs w:val="18"/>
                <w:color w:val="auto"/>
              </w:rPr>
            </w:pPr>
          </w:p>
        </w:tc>
        <w:tc>
          <w:tcPr>
            <w:tcW w:w="300" w:type="dxa"/>
            <w:vAlign w:val="bottom"/>
            <w:shd w:val="clear" w:color="auto" w:fill="B6EA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8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8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G&amp;A - compensation-related</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1,027</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vMerge w:val="continue"/>
            <w:shd w:val="clear" w:color="auto" w:fill="B6EAFC"/>
          </w:tcPr>
          <w:p>
            <w:pPr>
              <w:spacing w:after="0"/>
              <w:rPr>
                <w:sz w:val="18"/>
                <w:szCs w:val="18"/>
                <w:color w:val="auto"/>
              </w:rPr>
            </w:pPr>
          </w:p>
        </w:tc>
        <w:tc>
          <w:tcPr>
            <w:tcW w:w="78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w w:val="99"/>
              </w:rPr>
              <w:t>4,276</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vMerge w:val="continue"/>
            <w:shd w:val="clear" w:color="auto" w:fill="B6EAFC"/>
          </w:tcPr>
          <w:p>
            <w:pPr>
              <w:spacing w:after="0"/>
              <w:rPr>
                <w:sz w:val="18"/>
                <w:szCs w:val="18"/>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3,920</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vMerge w:val="continue"/>
            <w:shd w:val="clear" w:color="auto" w:fill="B6EAFC"/>
          </w:tcPr>
          <w:p>
            <w:pPr>
              <w:spacing w:after="0"/>
              <w:rPr>
                <w:sz w:val="18"/>
                <w:szCs w:val="18"/>
                <w:color w:val="auto"/>
              </w:rPr>
            </w:pPr>
          </w:p>
        </w:tc>
        <w:tc>
          <w:tcPr>
            <w:tcW w:w="300" w:type="dxa"/>
            <w:vAlign w:val="bottom"/>
            <w:shd w:val="clear" w:color="auto" w:fill="B6EA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8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8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R&amp;D compensation expense increased by $303,000 from $2,946,000 during the three months ended December 31, 2015 to $3,249,000 during the current period. Annual merit increases accounted for the majority of the change in compensation-related expense.</w:t>
      </w:r>
    </w:p>
    <w:p>
      <w:pPr>
        <w:spacing w:after="0" w:line="162"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G&amp;A compensation expense increased by $53,000 from $974,000 during the three months ended December 31, 2015 to $1,027,000 during the current period. Annual merit increases accounted for the majority of the change in the current period.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Expenses – Three months ended December 31, 2016 compared to the three months ended December 31, 2015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our general and administrative expenses for the periods indicated: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of Expense</w:t>
            </w:r>
          </w:p>
        </w:tc>
        <w:tc>
          <w:tcPr>
            <w:tcW w:w="540" w:type="dxa"/>
            <w:vAlign w:val="bottom"/>
          </w:tcPr>
          <w:p>
            <w:pPr>
              <w:spacing w:after="0"/>
              <w:rPr>
                <w:sz w:val="14"/>
                <w:szCs w:val="14"/>
                <w:color w:val="auto"/>
              </w:rPr>
            </w:pPr>
          </w:p>
        </w:tc>
        <w:tc>
          <w:tcPr>
            <w:tcW w:w="140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60" w:type="dxa"/>
            <w:vAlign w:val="bottom"/>
            <w:tcBorders>
              <w:bottom w:val="single" w:sz="8" w:color="B6EAFC"/>
            </w:tcBorders>
          </w:tcPr>
          <w:p>
            <w:pPr>
              <w:spacing w:after="0"/>
              <w:rPr>
                <w:sz w:val="15"/>
                <w:szCs w:val="15"/>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40" w:type="dxa"/>
            <w:vAlign w:val="bottom"/>
            <w:tcBorders>
              <w:bottom w:val="single" w:sz="8" w:color="B6EA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tcBorders>
              <w:bottom w:val="single" w:sz="8" w:color="B6EAFC"/>
            </w:tcBorders>
          </w:tcPr>
          <w:p>
            <w:pPr>
              <w:spacing w:after="0"/>
              <w:rPr>
                <w:sz w:val="15"/>
                <w:szCs w:val="15"/>
                <w:color w:val="auto"/>
              </w:rPr>
            </w:pPr>
          </w:p>
        </w:tc>
        <w:tc>
          <w:tcPr>
            <w:tcW w:w="80" w:type="dxa"/>
            <w:vAlign w:val="bottom"/>
            <w:tcBorders>
              <w:bottom w:val="single" w:sz="8" w:color="B6EAFC"/>
            </w:tcBorders>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60" w:type="dxa"/>
            <w:vAlign w:val="bottom"/>
            <w:tcBorders>
              <w:bottom w:val="single" w:sz="8" w:color="B6EA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Borders>
              <w:bottom w:val="single" w:sz="8" w:color="B6EAFC"/>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B6EAFC"/>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B6EA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Professional/outside services</w:t>
            </w: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shd w:val="clear" w:color="auto" w:fill="B6EAFC"/>
          </w:tcPr>
          <w:p>
            <w:pPr>
              <w:jc w:val="right"/>
              <w:ind w:right="37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6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Business insurance</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and Technology</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120" w:type="dxa"/>
            <w:vAlign w:val="bottom"/>
            <w:shd w:val="clear" w:color="auto" w:fill="B6EAFC"/>
          </w:tcPr>
          <w:p>
            <w:pPr>
              <w:spacing w:after="0"/>
              <w:rPr>
                <w:sz w:val="19"/>
                <w:szCs w:val="19"/>
                <w:color w:val="auto"/>
              </w:rPr>
            </w:pP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6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B6EA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40" w:type="dxa"/>
            <w:vAlign w:val="bottom"/>
            <w:shd w:val="clear" w:color="auto" w:fill="B6EAFC"/>
          </w:tcPr>
          <w:p>
            <w:pPr>
              <w:spacing w:after="0"/>
              <w:rPr>
                <w:sz w:val="19"/>
                <w:szCs w:val="19"/>
                <w:color w:val="auto"/>
              </w:rPr>
            </w:pPr>
          </w:p>
        </w:tc>
        <w:tc>
          <w:tcPr>
            <w:tcW w:w="1280" w:type="dxa"/>
            <w:vAlign w:val="bottom"/>
            <w:gridSpan w:val="2"/>
            <w:shd w:val="clear" w:color="auto" w:fill="B6EA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shd w:val="clear" w:color="auto" w:fill="B6EAFC"/>
          </w:tcPr>
          <w:p>
            <w:pPr>
              <w:jc w:val="right"/>
              <w:ind w:right="37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B6EA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vMerge w:val="continue"/>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5" w:name="page26"/>
    <w:bookmarkEnd w:id="25"/>
    <w:p>
      <w:pPr>
        <w:ind w:firstLine="518"/>
        <w:spacing w:after="0" w:line="261" w:lineRule="auto"/>
        <w:rPr>
          <w:sz w:val="20"/>
          <w:szCs w:val="20"/>
          <w:color w:val="auto"/>
        </w:rPr>
      </w:pPr>
      <w:r>
        <w:rPr>
          <w:rFonts w:ascii="Times New Roman" w:cs="Times New Roman" w:eastAsia="Times New Roman" w:hAnsi="Times New Roman"/>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decreased by $155,000 from $850,000 during the three months ended December 31, 2015 to $695,000 during the current period. The decrease primarily related to higher legal fees in 2015 related to litigation cases.</w:t>
      </w:r>
    </w:p>
    <w:p>
      <w:pPr>
        <w:spacing w:after="0" w:line="180"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Patent expense remained consistent at $281,000 during the three months ended December 31, 2015 and $287,000 during the current period. The Company continues to invest in patent protection for its product candidates and other RNAi technology through patent filings in numerous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80"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Facilities-related expense remained consistent at $76,000 and $81,000 in the three months ended December 31, 2015 and 2016, respectively. Facilities expense relates to recurring expenses associated with our corporate headquarters in Pasadena.</w:t>
      </w:r>
    </w:p>
    <w:p>
      <w:pPr>
        <w:spacing w:after="0" w:line="162"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Travel expense decreased by $70,000 from $250,000 during the three months ended December 31, 2015 to $180,000 during the current period. Travel expense decreased due to the discontinuation of our clinical trials in November 2016 and reduction in R&amp;D headcount. We anticipate this expense to decrease in the near term.</w:t>
      </w:r>
    </w:p>
    <w:p>
      <w:pPr>
        <w:spacing w:after="0" w:line="17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Business insurance expense increased by $10,000 from $138,000 during the three months ended December 31, 2015 to $148,000 during the current period. Business insurance costs increased primarily due to increases in corporate liability insurance.</w:t>
      </w:r>
    </w:p>
    <w:p>
      <w:pPr>
        <w:spacing w:after="0" w:line="162" w:lineRule="exact"/>
        <w:rPr>
          <w:sz w:val="20"/>
          <w:szCs w:val="20"/>
          <w:color w:val="auto"/>
        </w:rPr>
      </w:pPr>
    </w:p>
    <w:p>
      <w:pPr>
        <w:ind w:right="480" w:firstLine="518"/>
        <w:spacing w:after="0" w:line="266" w:lineRule="auto"/>
        <w:rPr>
          <w:sz w:val="20"/>
          <w:szCs w:val="20"/>
          <w:color w:val="auto"/>
        </w:rPr>
      </w:pPr>
      <w:r>
        <w:rPr>
          <w:rFonts w:ascii="Times New Roman" w:cs="Times New Roman" w:eastAsia="Times New Roman" w:hAnsi="Times New Roman"/>
          <w:sz w:val="18"/>
          <w:szCs w:val="18"/>
          <w:color w:val="auto"/>
        </w:rPr>
        <w:t>Communication and technology decreased by $15,000 from $149,000 during the three months ended December 31, 2015 to $134,000 during the current period. This category includes costs associated with the Company’s IT infrastructure. The decrease was primarily due to several IT consulting projects completed during fiscal 2016.</w:t>
      </w:r>
    </w:p>
    <w:p>
      <w:pPr>
        <w:spacing w:after="0" w:line="176"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Office expense increased by $220,000 from $94,000 during the three months ended December 31, 2015 to $314,000 during the current period. These expenses relate to conferences/training, office supplies, miscellaneous administrative expenses, and expenses related to office expansions at our R&amp;D facility in Madison and our corporate headquarters in Pasadena. The increase is primarily related to moving expenses for the Company’s move to its new facility in Madison, Wisconsin.</w:t>
      </w:r>
    </w:p>
    <w:p>
      <w:pPr>
        <w:spacing w:after="0" w:line="180"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Other expense decreased by $98,000 from $113,000 during the three months ended December 31, 2015 to $15,000 during the current period. This category consists primarily of conference attendance fees, franchise and property tax expenses and marketing expenses. The decrease in other expense is primarily related to conference attendance fees recorded during the three months ended December 31,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a noncash expense, was $2,424,442 and $2,380,343 during the three months ended December 31, 2016 and 2015, respectively. Stock-based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Due to additional options and restricted stock units granted to new and existing employees, compensation expense has increased from the prior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a noncash expense, was $1,185,611 and $794,349 during the three months ended December 31, 2016 and 2015, respectively. The majority of depreciation and amortization expense relates to depreciation on lab equipment at our Madison research facility. In addition, the Company records depreciation on leasehold improvements at its Madison research facility and its Pasadena corporate headquarters. The increase in depreciation and amortization expense is primarily due to the depreciation on leasehold improvements at the Company’s Madison research facility in the current period.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Other income / expense was income of $2,815,779 and $76,856 during the three months ended December 31, 2016 and 2015, respectively. The primary component of other income during the three months ended December 31, 2016 was a change in the value of derivative liabilities related to certain warrants with a price adjustment feature, necessitating derivative accounting. The fluctuations were primarily driven by changes in the Company’s stock price, which had a corresponding impact to the valuation of the underlying warrants. Additionally, the Company recorded $1.3 million in other income due to an insurance settlement related to one of the Company’s recent litigation cases. The settlement amount was received during the current period.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Cash Resources</w:t>
      </w:r>
    </w:p>
    <w:p>
      <w:pPr>
        <w:spacing w:after="0" w:line="121"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Arrowhead has historically financed its operations through the sale of its securities. Research and development activities have required significant capital investment since the Company’s inception and are expected to continue to require significant cash investment.</w:t>
      </w:r>
    </w:p>
    <w:p>
      <w:pPr>
        <w:spacing w:after="0" w:line="162"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At December 31, 2016, the Company had cash on hand of approximately $102.1 million as compared to $85.4 million at September 30, 2016. The Company believes its current financial resources are sufficient to fund its operations through at least the next twelve months.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cash flows for the three months ended December 31, 2016 and 2015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Ended December 31, 2016</w:t>
            </w:r>
          </w:p>
        </w:tc>
        <w:tc>
          <w:tcPr>
            <w:tcW w:w="120" w:type="dxa"/>
            <w:vAlign w:val="bottom"/>
          </w:tcPr>
          <w:p>
            <w:pPr>
              <w:spacing w:after="0"/>
              <w:rPr>
                <w:sz w:val="15"/>
                <w:szCs w:val="15"/>
                <w:color w:val="auto"/>
              </w:rPr>
            </w:pP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Ended December 31, 2015</w:t>
            </w: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Continuing Operations:</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10,000,191</w:t>
            </w:r>
          </w:p>
        </w:tc>
        <w:tc>
          <w:tcPr>
            <w:tcW w:w="160" w:type="dxa"/>
            <w:vAlign w:val="bottom"/>
          </w:tcPr>
          <w:p>
            <w:pPr>
              <w:spacing w:after="0"/>
              <w:rPr>
                <w:sz w:val="19"/>
                <w:szCs w:val="19"/>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(21,148,069)</w:t>
            </w: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(5,296,653)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2,593,388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12,035,583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(494,585)</w:t>
            </w: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16,739,121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(19,049,266)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85,366,448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81,214,354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102,105,569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62,165,088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2016, the Company generated $10.0 million in cash from operating activities, primarily driven by the $30 million upfront payment received from Amgen. This was partially offset by cash used for on-going expenses of its research and development programs and corporate overhead. Cash used in investing activities was $5.3 million, which was primarily related to capital expenditures for leasehold improvements on the Company’s Madison research facility and lab equipment purchases. Cash generated by financing activities of $12.0 million was driven by the $12.5 million equity investment received from Amgen, and was partially offset by cash paid for employee taxes on net share settlements of restricted stock units that vested during the period.</w:t>
      </w:r>
    </w:p>
    <w:p>
      <w:pPr>
        <w:spacing w:after="0" w:line="18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2015, the Company used $21.1 million in cash for operating activities, which represents the on-going expenses of its research and development programs and corporate overhead. Cash provided by investing activities was $2.6 million, primarily related to maturities on fixed income securities of $3.0 million, partially offset by capital expenditures of $0.4 million. Cash used by financing activities of $0.5 million was driven by cash paid for employee taxes on net share settlements of restricted stock units that vested during the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exposure to market risk from that described in Item 7A of our Annual Report on Form 10-K for the year ended September 30, 2016, filed with the Securities and Exchange Commission on December 14, 2016.</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40" w:firstLine="518"/>
        <w:spacing w:after="0" w:line="266" w:lineRule="auto"/>
        <w:rPr>
          <w:sz w:val="20"/>
          <w:szCs w:val="20"/>
          <w:color w:val="auto"/>
        </w:rPr>
      </w:pPr>
      <w:r>
        <w:rPr>
          <w:rFonts w:ascii="Times New Roman" w:cs="Times New Roman" w:eastAsia="Times New Roman" w:hAnsi="Times New Roman"/>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We believe there is no litigation pending that, individually or in the aggregate, will have a material adverse effect on our results of operations or financial condition. The information contained in Note 6 to the Consolidated Financial Statements under the heading “Litigation” in Part I, Item 1 is incorporated herein by reference.</w:t>
      </w:r>
    </w:p>
    <w:p>
      <w:pPr>
        <w:spacing w:after="0" w:line="28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our Annual Report on Form 10-K for the year ended September 30, 2016. Please carefully consider the information set forth in this Quarterly Report on Form 10-Q and the risk factors discussed in Part I, “Item 1A. Risk Factors” in our Annual Report on Form 10-K for the year ended September 30, 2016,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82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319"/>
        </w:trPr>
        <w:tc>
          <w:tcPr>
            <w:tcW w:w="8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319"/>
        </w:trPr>
        <w:tc>
          <w:tcPr>
            <w:tcW w:w="8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319"/>
        </w:trPr>
        <w:tc>
          <w:tcPr>
            <w:tcW w:w="8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5"/>
              </w:rPr>
              <w:t>32.2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20" w:right="520" w:hanging="912"/>
        <w:spacing w:after="0" w:line="266"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Registrant’s Quarterly Report on Form 10-Q for the quarter ended December 31, 2016,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00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6"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9" w:name="page30"/>
    <w:bookmarkEnd w:id="29"/>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6, 2017</w:t>
      </w:r>
    </w:p>
    <w:p>
      <w:pPr>
        <w:spacing w:after="0" w:line="25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Kenneth A. Myszkowski</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240" w:top="117" w:right="4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PURSUANT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Arrowhead Pharmaceuticals, Inc.;</w:t>
      </w:r>
    </w:p>
    <w:p>
      <w:pPr>
        <w:spacing w:after="0" w:line="171"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520" w:right="460" w:firstLine="499"/>
        <w:spacing w:after="0" w:line="282" w:lineRule="auto"/>
        <w:tabs>
          <w:tab w:leader="none" w:pos="12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20" w:right="420" w:firstLine="499"/>
        <w:spacing w:after="0" w:line="266" w:lineRule="auto"/>
        <w:tabs>
          <w:tab w:leader="none" w:pos="12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520" w:right="680" w:firstLine="499"/>
        <w:spacing w:after="0" w:line="282" w:lineRule="auto"/>
        <w:tabs>
          <w:tab w:leader="none" w:pos="12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520" w:right="360" w:firstLine="499"/>
        <w:spacing w:after="0" w:line="282" w:lineRule="auto"/>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2017</w:t>
      </w:r>
    </w:p>
    <w:p>
      <w:pPr>
        <w:spacing w:after="0" w:line="131" w:lineRule="exact"/>
        <w:rPr>
          <w:sz w:val="20"/>
          <w:szCs w:val="20"/>
          <w:color w:val="auto"/>
        </w:rPr>
      </w:pPr>
    </w:p>
    <w:p>
      <w:pPr>
        <w:jc w:val="center"/>
        <w:ind w:right="538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HRISTOPHER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34290</wp:posOffset>
            </wp:positionV>
            <wp:extent cx="1260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509"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PURSUANT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Arrowhead Pharmaceuticals, Inc.;</w:t>
      </w:r>
    </w:p>
    <w:p>
      <w:pPr>
        <w:spacing w:after="0" w:line="171"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40" w:firstLine="526"/>
        <w:spacing w:after="0" w:line="266"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520" w:right="460" w:firstLine="499"/>
        <w:spacing w:after="0" w:line="282" w:lineRule="auto"/>
        <w:tabs>
          <w:tab w:leader="none" w:pos="12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20" w:right="420" w:firstLine="499"/>
        <w:spacing w:after="0" w:line="266" w:lineRule="auto"/>
        <w:tabs>
          <w:tab w:leader="none" w:pos="12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520" w:right="680" w:firstLine="499"/>
        <w:spacing w:after="0" w:line="282" w:lineRule="auto"/>
        <w:tabs>
          <w:tab w:leader="none" w:pos="12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520" w:right="360" w:firstLine="499"/>
        <w:spacing w:after="0" w:line="282" w:lineRule="auto"/>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2017</w:t>
      </w:r>
    </w:p>
    <w:p>
      <w:pPr>
        <w:spacing w:after="0" w:line="1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34290</wp:posOffset>
            </wp:positionV>
            <wp:extent cx="1277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5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3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34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7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December 31, 2016,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2017</w:t>
      </w:r>
    </w:p>
    <w:p>
      <w:pPr>
        <w:spacing w:after="0" w:line="131" w:lineRule="exact"/>
        <w:rPr>
          <w:sz w:val="20"/>
          <w:szCs w:val="20"/>
          <w:color w:val="auto"/>
        </w:rPr>
      </w:pPr>
    </w:p>
    <w:p>
      <w:pPr>
        <w:jc w:val="center"/>
        <w:ind w:right="538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HRISTOPHER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1260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8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4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360" w:firstLine="518"/>
        <w:spacing w:after="0" w:line="272" w:lineRule="auto"/>
        <w:rPr>
          <w:sz w:val="20"/>
          <w:szCs w:val="20"/>
          <w:color w:val="auto"/>
        </w:rPr>
      </w:pPr>
      <w:r>
        <w:rPr>
          <w:rFonts w:ascii="Times New Roman" w:cs="Times New Roman" w:eastAsia="Times New Roman" w:hAnsi="Times New Roman"/>
          <w:sz w:val="17"/>
          <w:szCs w:val="17"/>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December 31, 2016, fully complies with the requirements of Section 13(a) or 15(d) of the Securities Exchange Act of 1934, and</w:t>
      </w:r>
    </w:p>
    <w:p>
      <w:pPr>
        <w:spacing w:after="0" w:line="2" w:lineRule="exact"/>
        <w:rPr>
          <w:sz w:val="20"/>
          <w:szCs w:val="20"/>
          <w:color w:val="auto"/>
        </w:rPr>
      </w:pPr>
    </w:p>
    <w:p>
      <w:pPr>
        <w:ind w:right="180" w:firstLine="8"/>
        <w:spacing w:after="0" w:line="261"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Quarterly Report on Form 10-Q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2017</w:t>
      </w:r>
    </w:p>
    <w:p>
      <w:pPr>
        <w:spacing w:after="0" w:line="1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1277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5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3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8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0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2019-12-29T08:54:42Z</dcterms:created>
  <dcterms:modified xsi:type="dcterms:W3CDTF">2019-12-29T08:54:42Z</dcterms:modified>
</cp:coreProperties>
</file>