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8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UNDER SECTION 13 OR 15(d) OF THE SECURITIES EXCHANGE ACT OF 1934</w:t>
      </w:r>
    </w:p>
    <w:p>
      <w:pPr>
        <w:spacing w:after="0" w:line="18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ARROWHEAD PHARMACEUTICALS,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1" w:lineRule="exact"/>
        <w:rPr>
          <w:sz w:val="24"/>
          <w:szCs w:val="24"/>
          <w:color w:val="auto"/>
        </w:rPr>
      </w:pPr>
    </w:p>
    <w:tbl>
      <w:tblPr>
        <w:tblLayout w:type="fixed"/>
        <w:tblInd w:w="2140" w:type="dxa"/>
        <w:tblCellMar>
          <w:top w:w="0" w:type="dxa"/>
          <w:left w:w="0" w:type="dxa"/>
          <w:bottom w:w="0" w:type="dxa"/>
          <w:right w:w="0" w:type="dxa"/>
        </w:tblCellMar>
      </w:tblPr>
      <w:tr>
        <w:trPr>
          <w:trHeight w:val="212"/>
        </w:trPr>
        <w:tc>
          <w:tcPr>
            <w:tcW w:w="1560" w:type="dxa"/>
            <w:vAlign w:val="bottom"/>
          </w:tcPr>
          <w:p>
            <w:pPr>
              <w:jc w:val="center"/>
              <w:ind w:right="39"/>
              <w:spacing w:after="0"/>
              <w:rPr>
                <w:sz w:val="20"/>
                <w:szCs w:val="20"/>
                <w:color w:val="auto"/>
              </w:rPr>
            </w:pPr>
            <w:r>
              <w:rPr>
                <w:rFonts w:ascii="Arial" w:cs="Arial" w:eastAsia="Arial" w:hAnsi="Arial"/>
                <w:sz w:val="18"/>
                <w:szCs w:val="18"/>
                <w:b w:val="1"/>
                <w:bCs w:val="1"/>
                <w:color w:val="auto"/>
                <w:w w:val="91"/>
              </w:rPr>
              <w:t>Delaware</w:t>
            </w:r>
          </w:p>
        </w:tc>
        <w:tc>
          <w:tcPr>
            <w:tcW w:w="6020" w:type="dxa"/>
            <w:vAlign w:val="bottom"/>
            <w:gridSpan w:val="3"/>
          </w:tcPr>
          <w:p>
            <w:pPr>
              <w:jc w:val="right"/>
              <w:ind w:right="588"/>
              <w:spacing w:after="0"/>
              <w:rPr>
                <w:sz w:val="20"/>
                <w:szCs w:val="20"/>
                <w:color w:val="auto"/>
              </w:rPr>
            </w:pPr>
            <w:r>
              <w:rPr>
                <w:rFonts w:ascii="Arial" w:cs="Arial" w:eastAsia="Arial" w:hAnsi="Arial"/>
                <w:sz w:val="18"/>
                <w:szCs w:val="18"/>
                <w:b w:val="1"/>
                <w:bCs w:val="1"/>
                <w:color w:val="auto"/>
              </w:rPr>
              <w:t>46-0408024</w:t>
            </w:r>
          </w:p>
        </w:tc>
      </w:tr>
      <w:tr>
        <w:trPr>
          <w:trHeight w:val="186"/>
        </w:trPr>
        <w:tc>
          <w:tcPr>
            <w:tcW w:w="156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(State of incorporation)</w:t>
            </w:r>
          </w:p>
        </w:tc>
        <w:tc>
          <w:tcPr>
            <w:tcW w:w="8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60" w:type="dxa"/>
            <w:vAlign w:val="bottom"/>
          </w:tcPr>
          <w:p>
            <w:pPr>
              <w:jc w:val="center"/>
              <w:ind w:left="588"/>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1560" w:type="dxa"/>
            <w:vAlign w:val="bottom"/>
          </w:tcPr>
          <w:p>
            <w:pPr>
              <w:spacing w:after="0"/>
              <w:rPr>
                <w:sz w:val="24"/>
                <w:szCs w:val="24"/>
                <w:color w:val="auto"/>
              </w:rPr>
            </w:pPr>
          </w:p>
        </w:tc>
        <w:tc>
          <w:tcPr>
            <w:tcW w:w="6020" w:type="dxa"/>
            <w:vAlign w:val="bottom"/>
            <w:gridSpan w:val="3"/>
          </w:tcPr>
          <w:p>
            <w:pPr>
              <w:jc w:val="center"/>
              <w:ind w:right="1908"/>
              <w:spacing w:after="0"/>
              <w:rPr>
                <w:sz w:val="20"/>
                <w:szCs w:val="20"/>
                <w:color w:val="auto"/>
              </w:rPr>
            </w:pPr>
            <w:r>
              <w:rPr>
                <w:rFonts w:ascii="Arial" w:cs="Arial" w:eastAsia="Arial" w:hAnsi="Arial"/>
                <w:sz w:val="18"/>
                <w:szCs w:val="18"/>
                <w:b w:val="1"/>
                <w:bCs w:val="1"/>
                <w:color w:val="auto"/>
                <w:w w:val="89"/>
              </w:rPr>
              <w:t>225 S. Lake Avenue, Suite 1050</w:t>
            </w:r>
          </w:p>
        </w:tc>
      </w:tr>
      <w:tr>
        <w:trPr>
          <w:trHeight w:val="216"/>
        </w:trPr>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140" w:type="dxa"/>
            <w:vAlign w:val="bottom"/>
            <w:gridSpan w:val="2"/>
          </w:tcPr>
          <w:p>
            <w:pPr>
              <w:jc w:val="center"/>
              <w:ind w:right="2808"/>
              <w:spacing w:after="0"/>
              <w:rPr>
                <w:sz w:val="20"/>
                <w:szCs w:val="20"/>
                <w:color w:val="auto"/>
              </w:rPr>
            </w:pPr>
            <w:r>
              <w:rPr>
                <w:rFonts w:ascii="Arial" w:cs="Arial" w:eastAsia="Arial" w:hAnsi="Arial"/>
                <w:sz w:val="18"/>
                <w:szCs w:val="18"/>
                <w:b w:val="1"/>
                <w:bCs w:val="1"/>
                <w:color w:val="auto"/>
                <w:w w:val="90"/>
              </w:rPr>
              <w:t>Pasadena, California 91101</w:t>
            </w:r>
          </w:p>
        </w:tc>
      </w:tr>
      <w:tr>
        <w:trPr>
          <w:trHeight w:val="212"/>
        </w:trPr>
        <w:tc>
          <w:tcPr>
            <w:tcW w:w="1560" w:type="dxa"/>
            <w:vAlign w:val="bottom"/>
          </w:tcPr>
          <w:p>
            <w:pPr>
              <w:spacing w:after="0"/>
              <w:rPr>
                <w:sz w:val="18"/>
                <w:szCs w:val="18"/>
                <w:color w:val="auto"/>
              </w:rPr>
            </w:pPr>
          </w:p>
        </w:tc>
        <w:tc>
          <w:tcPr>
            <w:tcW w:w="3160" w:type="dxa"/>
            <w:vAlign w:val="bottom"/>
            <w:gridSpan w:val="2"/>
          </w:tcPr>
          <w:p>
            <w:pPr>
              <w:jc w:val="center"/>
              <w:ind w:left="794"/>
              <w:spacing w:after="0"/>
              <w:rPr>
                <w:sz w:val="20"/>
                <w:szCs w:val="20"/>
                <w:color w:val="auto"/>
              </w:rPr>
            </w:pPr>
            <w:r>
              <w:rPr>
                <w:rFonts w:ascii="Arial" w:cs="Arial" w:eastAsia="Arial" w:hAnsi="Arial"/>
                <w:sz w:val="18"/>
                <w:szCs w:val="18"/>
                <w:b w:val="1"/>
                <w:bCs w:val="1"/>
                <w:color w:val="auto"/>
                <w:w w:val="90"/>
              </w:rPr>
              <w:t>(626) 304-3400</w:t>
            </w:r>
          </w:p>
        </w:tc>
        <w:tc>
          <w:tcPr>
            <w:tcW w:w="2860" w:type="dxa"/>
            <w:vAlign w:val="bottom"/>
          </w:tcPr>
          <w:p>
            <w:pPr>
              <w:spacing w:after="0"/>
              <w:rPr>
                <w:sz w:val="18"/>
                <w:szCs w:val="18"/>
                <w:color w:val="auto"/>
              </w:rPr>
            </w:pPr>
          </w:p>
        </w:tc>
      </w:tr>
      <w:tr>
        <w:trPr>
          <w:trHeight w:val="186"/>
        </w:trPr>
        <w:tc>
          <w:tcPr>
            <w:tcW w:w="1560" w:type="dxa"/>
            <w:vAlign w:val="bottom"/>
          </w:tcPr>
          <w:p>
            <w:pPr>
              <w:spacing w:after="0"/>
              <w:rPr>
                <w:sz w:val="16"/>
                <w:szCs w:val="16"/>
                <w:color w:val="auto"/>
              </w:rPr>
            </w:pPr>
          </w:p>
        </w:tc>
        <w:tc>
          <w:tcPr>
            <w:tcW w:w="6020" w:type="dxa"/>
            <w:vAlign w:val="bottom"/>
            <w:gridSpan w:val="3"/>
          </w:tcPr>
          <w:p>
            <w:pPr>
              <w:jc w:val="center"/>
              <w:ind w:right="1908"/>
              <w:spacing w:after="0"/>
              <w:rPr>
                <w:sz w:val="20"/>
                <w:szCs w:val="20"/>
                <w:color w:val="auto"/>
              </w:rPr>
            </w:pPr>
            <w:r>
              <w:rPr>
                <w:rFonts w:ascii="Arial" w:cs="Arial" w:eastAsia="Arial" w:hAnsi="Arial"/>
                <w:sz w:val="14"/>
                <w:szCs w:val="14"/>
                <w:b w:val="1"/>
                <w:bCs w:val="1"/>
                <w:color w:val="auto"/>
                <w:w w:val="91"/>
              </w:rPr>
              <w:t>(Address and telephone number of principal executive offices)</w:t>
            </w:r>
          </w:p>
        </w:tc>
      </w:tr>
      <w:tr>
        <w:trPr>
          <w:trHeight w:val="147"/>
        </w:trPr>
        <w:tc>
          <w:tcPr>
            <w:tcW w:w="1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2860" w:type="dxa"/>
            <w:vAlign w:val="bottom"/>
          </w:tcPr>
          <w:p>
            <w:pPr>
              <w:spacing w:after="0"/>
              <w:rPr>
                <w:sz w:val="12"/>
                <w:szCs w:val="12"/>
                <w:color w:val="auto"/>
              </w:rPr>
            </w:pPr>
          </w:p>
        </w:tc>
      </w:tr>
    </w:tbl>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w:t>
            </w:r>
          </w:p>
        </w:tc>
        <w:tc>
          <w:tcPr>
            <w:tcW w:w="4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8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4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20" w:type="dxa"/>
            <w:vAlign w:val="bottom"/>
          </w:tcPr>
          <w:p>
            <w:pPr>
              <w:ind w:left="8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8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right="1840"/>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August 1, 2017 was 74,772,103.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588010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0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680" w:type="dxa"/>
            <w:vAlign w:val="bottom"/>
            <w:gridSpan w:val="10"/>
            <w:vMerge w:val="restart"/>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00" w:type="dxa"/>
            <w:vAlign w:val="bottom"/>
            <w:tcBorders>
              <w:bottom w:val="single" w:sz="8" w:color="0000EE"/>
            </w:tcBorders>
            <w:gridSpan w:val="9"/>
            <w:vMerge w:val="continue"/>
          </w:tcPr>
          <w:p>
            <w:pPr>
              <w:spacing w:after="0"/>
              <w:rPr>
                <w:sz w:val="12"/>
                <w:szCs w:val="12"/>
                <w:color w:val="auto"/>
              </w:rPr>
            </w:pPr>
          </w:p>
        </w:tc>
        <w:tc>
          <w:tcPr>
            <w:tcW w:w="7680" w:type="dxa"/>
            <w:vAlign w:val="bottom"/>
            <w:gridSpan w:val="10"/>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3"/>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260" w:type="dxa"/>
            <w:vAlign w:val="bottom"/>
            <w:gridSpan w:val="6"/>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Borders>
              <w:bottom w:val="single" w:sz="8" w:color="0000EE"/>
            </w:tcBorders>
            <w:gridSpan w:val="8"/>
          </w:tcPr>
          <w:p>
            <w:pPr>
              <w:spacing w:after="0"/>
              <w:rPr>
                <w:rFonts w:ascii="Arial" w:cs="Arial" w:eastAsia="Arial" w:hAnsi="Arial"/>
                <w:sz w:val="17"/>
                <w:szCs w:val="17"/>
                <w:color w:val="0000EE"/>
                <w:w w:val="89"/>
              </w:rPr>
            </w:pPr>
            <w:hyperlink w:anchor="page4">
              <w:r>
                <w:rPr>
                  <w:rFonts w:ascii="Arial" w:cs="Arial" w:eastAsia="Arial" w:hAnsi="Arial"/>
                  <w:sz w:val="17"/>
                  <w:szCs w:val="17"/>
                  <w:color w:val="0000EE"/>
                  <w:w w:val="89"/>
                </w:rPr>
                <w:t>Consolidated Statements of Operations</w:t>
              </w:r>
            </w:hyperlink>
          </w:p>
        </w:tc>
        <w:tc>
          <w:tcPr>
            <w:tcW w:w="7660" w:type="dxa"/>
            <w:vAlign w:val="bottom"/>
            <w:gridSpan w:val="9"/>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3"/>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7040" w:type="dxa"/>
            <w:vAlign w:val="bottom"/>
            <w:gridSpan w:val="4"/>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10"/>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Notes to Consolidated Financial Statements</w:t>
              </w:r>
            </w:hyperlink>
          </w:p>
        </w:tc>
        <w:tc>
          <w:tcPr>
            <w:tcW w:w="7340" w:type="dxa"/>
            <w:vAlign w:val="bottom"/>
            <w:gridSpan w:val="7"/>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rFonts w:ascii="Arial" w:cs="Arial" w:eastAsia="Arial" w:hAnsi="Arial"/>
                <w:sz w:val="17"/>
                <w:szCs w:val="17"/>
                <w:color w:val="0000EE"/>
                <w:w w:val="97"/>
              </w:rPr>
            </w:pPr>
            <w:hyperlink w:anchor="page21">
              <w:r>
                <w:rPr>
                  <w:rFonts w:ascii="Arial" w:cs="Arial" w:eastAsia="Arial" w:hAnsi="Arial"/>
                  <w:sz w:val="17"/>
                  <w:szCs w:val="17"/>
                  <w:color w:val="0000EE"/>
                  <w:w w:val="97"/>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7"/>
          </w:tcPr>
          <w:p>
            <w:pPr>
              <w:spacing w:after="0"/>
              <w:rPr>
                <w:rFonts w:ascii="Arial" w:cs="Arial" w:eastAsia="Arial" w:hAnsi="Arial"/>
                <w:sz w:val="17"/>
                <w:szCs w:val="17"/>
                <w:color w:val="0000EE"/>
                <w:w w:val="98"/>
              </w:rPr>
            </w:pPr>
            <w:hyperlink w:anchor="page30">
              <w:r>
                <w:rPr>
                  <w:rFonts w:ascii="Arial" w:cs="Arial" w:eastAsia="Arial" w:hAnsi="Arial"/>
                  <w:sz w:val="17"/>
                  <w:szCs w:val="17"/>
                  <w:color w:val="0000EE"/>
                  <w:w w:val="98"/>
                </w:rPr>
                <w:t>ITEM 3. QUANTITATIVE AND QUALITATIVE DISCLOSURES ABOUT MARKET RISK</w:t>
              </w:r>
            </w:hyperlink>
          </w:p>
        </w:tc>
        <w:tc>
          <w:tcPr>
            <w:tcW w:w="4300" w:type="dxa"/>
            <w:vAlign w:val="bottom"/>
            <w:gridSpan w:val="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4. CONTROLS AND PROCEDURES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310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31">
              <w:r>
                <w:rPr>
                  <w:rFonts w:ascii="Arial" w:cs="Arial" w:eastAsia="Arial" w:hAnsi="Arial"/>
                  <w:sz w:val="17"/>
                  <w:szCs w:val="17"/>
                  <w:b w:val="1"/>
                  <w:bCs w:val="1"/>
                  <w:color w:val="0000EE"/>
                </w:rPr>
                <w:t>PART II — OTHER INFORMATION</w:t>
              </w:r>
            </w:hyperlink>
          </w:p>
        </w:tc>
        <w:tc>
          <w:tcPr>
            <w:tcW w:w="76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6"/>
              </w:rPr>
            </w:pPr>
            <w:hyperlink w:anchor="page31">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1A. RISK FACTORS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2. UNREGISTERED SALES OF EQUITY SECURITIES AND USE OF PROCEEDS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6"/>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31">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6"/>
          </w:tcPr>
          <w:p>
            <w:pPr>
              <w:spacing w:after="0"/>
              <w:rPr>
                <w:sz w:val="24"/>
                <w:szCs w:val="24"/>
                <w:color w:val="auto"/>
              </w:rPr>
            </w:pPr>
          </w:p>
        </w:tc>
        <w:tc>
          <w:tcPr>
            <w:tcW w:w="7120" w:type="dxa"/>
            <w:vAlign w:val="bottom"/>
            <w:gridSpan w:val="5"/>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5. OTHER INFORMATION</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8"/>
              </w:rPr>
            </w:pPr>
            <w:hyperlink w:anchor="page32">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304"/>
        </w:trPr>
        <w:tc>
          <w:tcPr>
            <w:tcW w:w="10780" w:type="dxa"/>
            <w:vAlign w:val="bottom"/>
            <w:gridSpan w:val="19"/>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SIGNATURE</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216"/>
        </w:trPr>
        <w:tc>
          <w:tcPr>
            <w:tcW w:w="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8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w w:val="91"/>
              </w:rPr>
              <w:t>Arrowhead Pharmaceuticals, Inc.</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7120" w:type="dxa"/>
            <w:vAlign w:val="bottom"/>
          </w:tcPr>
          <w:p>
            <w:pPr>
              <w:jc w:val="center"/>
              <w:ind w:left="2842"/>
              <w:spacing w:after="0"/>
              <w:rPr>
                <w:sz w:val="20"/>
                <w:szCs w:val="20"/>
                <w:color w:val="auto"/>
              </w:rPr>
            </w:pPr>
            <w:r>
              <w:rPr>
                <w:rFonts w:ascii="Arial" w:cs="Arial" w:eastAsia="Arial" w:hAnsi="Arial"/>
                <w:sz w:val="18"/>
                <w:szCs w:val="18"/>
                <w:b w:val="1"/>
                <w:bCs w:val="1"/>
                <w:color w:val="auto"/>
                <w:w w:val="87"/>
              </w:rPr>
              <w:t>Consolidated Balance Sheets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7"/>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8"/>
        </w:trPr>
        <w:tc>
          <w:tcPr>
            <w:tcW w:w="70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2017</w:t>
            </w:r>
          </w:p>
        </w:tc>
        <w:tc>
          <w:tcPr>
            <w:tcW w:w="14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September 30, 2016</w:t>
            </w: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7120" w:type="dxa"/>
            <w:vAlign w:val="bottom"/>
            <w:tcBorders>
              <w:top w:val="single" w:sz="8" w:color="CFF0FC"/>
            </w:tcBorders>
            <w:shd w:val="clear" w:color="auto" w:fill="CFF0FC"/>
          </w:tcPr>
          <w:p>
            <w:pPr>
              <w:ind w:left="2940"/>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38,383,135</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85,366,448</w:t>
            </w:r>
          </w:p>
        </w:tc>
        <w:tc>
          <w:tcPr>
            <w:tcW w:w="100" w:type="dxa"/>
            <w:vAlign w:val="bottom"/>
            <w:shd w:val="clear" w:color="auto" w:fill="CFF0FC"/>
          </w:tcPr>
          <w:p>
            <w:pPr>
              <w:spacing w:after="0"/>
              <w:rPr>
                <w:sz w:val="14"/>
                <w:szCs w:val="14"/>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937,313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4"/>
                <w:szCs w:val="14"/>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Prepaid expenses</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931,042</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1,289,923</w:t>
            </w:r>
          </w:p>
        </w:tc>
        <w:tc>
          <w:tcPr>
            <w:tcW w:w="100" w:type="dxa"/>
            <w:vAlign w:val="bottom"/>
            <w:shd w:val="clear" w:color="auto" w:fill="CFF0FC"/>
          </w:tcPr>
          <w:p>
            <w:pPr>
              <w:spacing w:after="0"/>
              <w:rPr>
                <w:sz w:val="14"/>
                <w:szCs w:val="14"/>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896,150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3,771,172</w:t>
            </w:r>
          </w:p>
        </w:tc>
        <w:tc>
          <w:tcPr>
            <w:tcW w:w="100" w:type="dxa"/>
            <w:vAlign w:val="bottom"/>
          </w:tcPr>
          <w:p>
            <w:pPr>
              <w:spacing w:after="0"/>
              <w:rPr>
                <w:sz w:val="14"/>
                <w:szCs w:val="14"/>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Short term investments</w:t>
            </w:r>
          </w:p>
        </w:tc>
        <w:tc>
          <w:tcPr>
            <w:tcW w:w="22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36,754,754</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77,902,394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90,502,543</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16,134,991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15,386,761</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20,889,546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22,164,868</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154,618</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122,333</w:t>
            </w:r>
          </w:p>
        </w:tc>
        <w:tc>
          <w:tcPr>
            <w:tcW w:w="100" w:type="dxa"/>
            <w:vAlign w:val="bottom"/>
            <w:shd w:val="clear" w:color="auto" w:fill="CFF0FC"/>
          </w:tcPr>
          <w:p>
            <w:pPr>
              <w:spacing w:after="0"/>
              <w:rPr>
                <w:sz w:val="15"/>
                <w:szCs w:val="15"/>
                <w:color w:val="auto"/>
              </w:rPr>
            </w:pPr>
          </w:p>
        </w:tc>
      </w:tr>
      <w:tr>
        <w:trPr>
          <w:trHeight w:val="209"/>
        </w:trPr>
        <w:tc>
          <w:tcPr>
            <w:tcW w:w="700" w:type="dxa"/>
            <w:vAlign w:val="bottom"/>
            <w:tcBorders>
              <w:bottom w:val="single" w:sz="8" w:color="CFF0FC"/>
            </w:tcBorders>
          </w:tcPr>
          <w:p>
            <w:pPr>
              <w:spacing w:after="0"/>
              <w:rPr>
                <w:sz w:val="18"/>
                <w:szCs w:val="18"/>
                <w:color w:val="auto"/>
              </w:rPr>
            </w:pPr>
          </w:p>
        </w:tc>
        <w:tc>
          <w:tcPr>
            <w:tcW w:w="7120" w:type="dxa"/>
            <w:vAlign w:val="bottom"/>
            <w:tcBorders>
              <w:bottom w:val="single" w:sz="8" w:color="CFF0FC"/>
            </w:tcBorders>
          </w:tcPr>
          <w:p>
            <w:pPr>
              <w:ind w:left="30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115,081,549</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128,176,505</w:t>
            </w:r>
          </w:p>
        </w:tc>
        <w:tc>
          <w:tcPr>
            <w:tcW w:w="100" w:type="dxa"/>
            <w:vAlign w:val="bottom"/>
            <w:tcBorders>
              <w:bottom w:val="single" w:sz="8" w:color="CFF0FC"/>
            </w:tcBorders>
          </w:tcPr>
          <w:p>
            <w:pPr>
              <w:spacing w:after="0"/>
              <w:rPr>
                <w:sz w:val="18"/>
                <w:szCs w:val="18"/>
                <w:color w:val="auto"/>
              </w:rPr>
            </w:pPr>
          </w:p>
        </w:tc>
      </w:tr>
      <w:tr>
        <w:trPr>
          <w:trHeight w:val="156"/>
        </w:trPr>
        <w:tc>
          <w:tcPr>
            <w:tcW w:w="700" w:type="dxa"/>
            <w:vAlign w:val="bottom"/>
            <w:shd w:val="clear" w:color="auto" w:fill="CFF0FC"/>
          </w:tcPr>
          <w:p>
            <w:pPr>
              <w:spacing w:after="0"/>
              <w:rPr>
                <w:sz w:val="13"/>
                <w:szCs w:val="13"/>
                <w:color w:val="auto"/>
              </w:rPr>
            </w:pPr>
          </w:p>
        </w:tc>
        <w:tc>
          <w:tcPr>
            <w:tcW w:w="7120" w:type="dxa"/>
            <w:vAlign w:val="bottom"/>
            <w:shd w:val="clear" w:color="auto" w:fill="CFF0FC"/>
          </w:tcPr>
          <w:p>
            <w:pPr>
              <w:ind w:left="164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3,233,421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12,232,906</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1,993,674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4,587,467</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Accrued payroll and benefits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1,034,569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3,969,706</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Deferred rent</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440,580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440,580</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13,283,006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2,569,792</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Derivative liabilities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83,113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1,602,626</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Note Payable</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204,844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194,310</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w:t>
            </w:r>
          </w:p>
        </w:tc>
        <w:tc>
          <w:tcPr>
            <w:tcW w:w="100" w:type="dxa"/>
            <w:vAlign w:val="bottom"/>
            <w:tcBorders>
              <w:bottom w:val="single" w:sz="8" w:color="CFF0FC"/>
            </w:tcBorders>
          </w:tcPr>
          <w:p>
            <w:pPr>
              <w:spacing w:after="0"/>
              <w:rPr>
                <w:sz w:val="15"/>
                <w:szCs w:val="15"/>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20,319,614</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25,643,794</w:t>
            </w:r>
          </w:p>
        </w:tc>
        <w:tc>
          <w:tcPr>
            <w:tcW w:w="100" w:type="dxa"/>
            <w:vAlign w:val="bottom"/>
            <w:shd w:val="clear" w:color="auto" w:fill="CFF0FC"/>
          </w:tcPr>
          <w:p>
            <w:pPr>
              <w:spacing w:after="0"/>
              <w:rPr>
                <w:sz w:val="14"/>
                <w:szCs w:val="14"/>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LONG-TERM LIABILITIES</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rent, net of current portion</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2,016,113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2,274,997</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Deferred revenue, net of current portion</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625,000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2,500,000</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Note Payable, net of current portion</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2,378,538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2,533,455</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FF0FC"/>
            </w:tcBorders>
          </w:tcPr>
          <w:p>
            <w:pPr>
              <w:spacing w:after="0"/>
              <w:rPr>
                <w:sz w:val="15"/>
                <w:szCs w:val="15"/>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LONG-TERM LIABILITIES</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5,219,651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7,508,452</w:t>
            </w:r>
          </w:p>
        </w:tc>
        <w:tc>
          <w:tcPr>
            <w:tcW w:w="100" w:type="dxa"/>
            <w:vAlign w:val="bottom"/>
            <w:shd w:val="clear" w:color="auto" w:fill="CFF0FC"/>
          </w:tcPr>
          <w:p>
            <w:pPr>
              <w:spacing w:after="0"/>
              <w:rPr>
                <w:sz w:val="14"/>
                <w:szCs w:val="14"/>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Commitments and contingencies (Note 7)</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Arrowhead Pharmaceuticals, Inc. stockholders' equity:</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820" w:type="dxa"/>
            <w:vAlign w:val="bottom"/>
            <w:gridSpan w:val="2"/>
            <w:shd w:val="clear" w:color="auto" w:fill="CFF0FC"/>
          </w:tcPr>
          <w:p>
            <w:pPr>
              <w:ind w:left="500"/>
              <w:spacing w:after="0" w:line="143" w:lineRule="exact"/>
              <w:rPr>
                <w:sz w:val="20"/>
                <w:szCs w:val="20"/>
                <w:color w:val="auto"/>
              </w:rPr>
            </w:pPr>
            <w:r>
              <w:rPr>
                <w:rFonts w:ascii="Arial" w:cs="Arial" w:eastAsia="Arial" w:hAnsi="Arial"/>
                <w:sz w:val="14"/>
                <w:szCs w:val="14"/>
                <w:color w:val="auto"/>
              </w:rPr>
              <w:t>Preferred stock, $0.001 par value; 5,000,000 shares authorized; 0 and 15,652 shares issued and</w:t>
            </w: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782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outstanding as of June 30, 2017 and September 30, 2016</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4"/>
                <w:szCs w:val="14"/>
                <w:color w:val="auto"/>
              </w:rPr>
            </w:pPr>
          </w:p>
        </w:tc>
      </w:tr>
      <w:tr>
        <w:trPr>
          <w:trHeight w:val="143"/>
        </w:trPr>
        <w:tc>
          <w:tcPr>
            <w:tcW w:w="7820" w:type="dxa"/>
            <w:vAlign w:val="bottom"/>
            <w:gridSpan w:val="2"/>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74,772,103 and 69,746,685 shares</w:t>
            </w: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7820" w:type="dxa"/>
            <w:vAlign w:val="bottom"/>
            <w:gridSpan w:val="2"/>
          </w:tcPr>
          <w:p>
            <w:pPr>
              <w:ind w:left="600"/>
              <w:spacing w:after="0"/>
              <w:rPr>
                <w:sz w:val="20"/>
                <w:szCs w:val="20"/>
                <w:color w:val="auto"/>
              </w:rPr>
            </w:pPr>
            <w:r>
              <w:rPr>
                <w:rFonts w:ascii="Arial" w:cs="Arial" w:eastAsia="Arial" w:hAnsi="Arial"/>
                <w:sz w:val="14"/>
                <w:szCs w:val="14"/>
                <w:color w:val="auto"/>
              </w:rPr>
              <w:t>issued and outstanding as of June 30, 2017 and September 30, 2016, respectively</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167,142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162,116</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512,032,168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493,844,909</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tcPr>
          <w:p>
            <w:pPr>
              <w:spacing w:after="0"/>
              <w:rPr>
                <w:sz w:val="15"/>
                <w:szCs w:val="15"/>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(18,386)</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7,449</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(422,083,452)</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(398,435,043)</w:t>
            </w:r>
          </w:p>
        </w:tc>
      </w:tr>
      <w:tr>
        <w:trPr>
          <w:trHeight w:val="169"/>
        </w:trPr>
        <w:tc>
          <w:tcPr>
            <w:tcW w:w="7820" w:type="dxa"/>
            <w:vAlign w:val="bottom"/>
            <w:gridSpan w:val="2"/>
          </w:tcPr>
          <w:p>
            <w:pPr>
              <w:ind w:left="620"/>
              <w:spacing w:after="0"/>
              <w:rPr>
                <w:sz w:val="20"/>
                <w:szCs w:val="20"/>
                <w:color w:val="auto"/>
              </w:rPr>
            </w:pPr>
            <w:r>
              <w:rPr>
                <w:rFonts w:ascii="Arial" w:cs="Arial" w:eastAsia="Arial" w:hAnsi="Arial"/>
                <w:sz w:val="14"/>
                <w:szCs w:val="14"/>
                <w:color w:val="auto"/>
              </w:rPr>
              <w:t>Total Arrowhead Pharmaceuticals, Inc. stockholders' equity</w:t>
            </w: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90,097,472</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95,579,447</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Noncontrolling interest</w:t>
            </w:r>
          </w:p>
        </w:tc>
        <w:tc>
          <w:tcPr>
            <w:tcW w:w="2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(555,188)</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(555,188)</w:t>
            </w:r>
          </w:p>
        </w:tc>
      </w:tr>
      <w:tr>
        <w:trPr>
          <w:trHeight w:val="169"/>
        </w:trPr>
        <w:tc>
          <w:tcPr>
            <w:tcW w:w="700" w:type="dxa"/>
            <w:vAlign w:val="bottom"/>
            <w:tcBorders>
              <w:bottom w:val="single" w:sz="8" w:color="CFF0FC"/>
            </w:tcBorders>
          </w:tcPr>
          <w:p>
            <w:pPr>
              <w:spacing w:after="0"/>
              <w:rPr>
                <w:sz w:val="14"/>
                <w:szCs w:val="14"/>
                <w:color w:val="auto"/>
              </w:rPr>
            </w:pPr>
          </w:p>
        </w:tc>
        <w:tc>
          <w:tcPr>
            <w:tcW w:w="7120" w:type="dxa"/>
            <w:vAlign w:val="bottom"/>
            <w:tcBorders>
              <w:bottom w:val="single" w:sz="8" w:color="CFF0FC"/>
            </w:tcBorders>
          </w:tcPr>
          <w:p>
            <w:pPr>
              <w:ind w:left="4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89,542,284</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95,024,259</w:t>
            </w:r>
          </w:p>
        </w:tc>
        <w:tc>
          <w:tcPr>
            <w:tcW w:w="100" w:type="dxa"/>
            <w:vAlign w:val="bottom"/>
            <w:tcBorders>
              <w:bottom w:val="single" w:sz="8" w:color="CFF0FC"/>
            </w:tcBorders>
          </w:tcPr>
          <w:p>
            <w:pPr>
              <w:spacing w:after="0"/>
              <w:rPr>
                <w:sz w:val="14"/>
                <w:szCs w:val="14"/>
                <w:color w:val="auto"/>
              </w:rPr>
            </w:pPr>
          </w:p>
        </w:tc>
      </w:tr>
      <w:tr>
        <w:trPr>
          <w:trHeight w:val="169"/>
        </w:trPr>
        <w:tc>
          <w:tcPr>
            <w:tcW w:w="700" w:type="dxa"/>
            <w:vAlign w:val="bottom"/>
            <w:tcBorders>
              <w:bottom w:val="single" w:sz="8" w:color="CFF0FC"/>
            </w:tcBorders>
            <w:shd w:val="clear" w:color="auto" w:fill="CFF0FC"/>
          </w:tcPr>
          <w:p>
            <w:pPr>
              <w:spacing w:after="0"/>
              <w:rPr>
                <w:sz w:val="14"/>
                <w:szCs w:val="14"/>
                <w:color w:val="auto"/>
              </w:rPr>
            </w:pPr>
          </w:p>
        </w:tc>
        <w:tc>
          <w:tcPr>
            <w:tcW w:w="7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115,081,549</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128,176,505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Three Months</w:t>
            </w:r>
          </w:p>
        </w:tc>
        <w:tc>
          <w:tcPr>
            <w:tcW w:w="12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Nine Months</w:t>
            </w:r>
          </w:p>
        </w:tc>
        <w:tc>
          <w:tcPr>
            <w:tcW w:w="14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Nine Months</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ended</w:t>
            </w:r>
          </w:p>
        </w:tc>
        <w:tc>
          <w:tcPr>
            <w:tcW w:w="14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19"/>
        </w:trPr>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2017</w:t>
            </w:r>
          </w:p>
        </w:tc>
        <w:tc>
          <w:tcPr>
            <w:tcW w:w="12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 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2017</w:t>
            </w:r>
          </w:p>
        </w:tc>
        <w:tc>
          <w:tcPr>
            <w:tcW w:w="14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 2016</w:t>
            </w:r>
          </w:p>
        </w:tc>
        <w:tc>
          <w:tcPr>
            <w:tcW w:w="0" w:type="dxa"/>
            <w:vAlign w:val="bottom"/>
          </w:tcPr>
          <w:p>
            <w:pPr>
              <w:spacing w:after="0"/>
              <w:rPr>
                <w:sz w:val="1"/>
                <w:szCs w:val="1"/>
                <w:color w:val="auto"/>
              </w:rPr>
            </w:pPr>
          </w:p>
        </w:tc>
      </w:tr>
      <w:tr>
        <w:trPr>
          <w:trHeight w:val="226"/>
        </w:trPr>
        <w:tc>
          <w:tcPr>
            <w:tcW w:w="54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9,342,498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39,583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22,693,923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127,083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6,906,016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9,423,195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23,409,892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29,782,854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Salaries and payroll-related costs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3,421,089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4,113,262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11,281,194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12,281,841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1,853,669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2,275,628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5,330,717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8,045,571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1,713,228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2,750,785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5,881,901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7,547,967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1,162,660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818,200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3,535,915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15,056,662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19,381,070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49,439,619</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60,074,694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(5,714,164)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(19,341,487)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(26,745,696)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(59,947,611)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 (expense), net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131,358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Change in value of derivatives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63,065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(113,359)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1,519,513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233,052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1,312,524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194,423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(79,256)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3,097,287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446,595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(5,519,741)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(19,420,743)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(23,648,409)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(59,501,016)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(5,519,741)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(19,420,743)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(23,648,409)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(59,501,016)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140"/>
              <w:spacing w:after="0"/>
              <w:rPr>
                <w:sz w:val="20"/>
                <w:szCs w:val="20"/>
                <w:color w:val="auto"/>
              </w:rPr>
            </w:pPr>
            <w:r>
              <w:rPr>
                <w:rFonts w:ascii="Arial" w:cs="Arial" w:eastAsia="Arial" w:hAnsi="Arial"/>
                <w:sz w:val="18"/>
                <w:szCs w:val="18"/>
                <w:color w:val="auto"/>
              </w:rPr>
              <w:t>NET LOSS PER SHARE - BASIC &amp;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4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basic and diluted</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74,772,103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59,966,955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73,603,852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59,764,129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(90,625)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(25,835)</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(5,507,432)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(19,511,368</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(23,674,244</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(59,395,303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center"/>
              <w:ind w:right="228"/>
              <w:spacing w:after="0"/>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Preferred</w:t>
            </w: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12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vMerge w:val="continue"/>
          </w:tcPr>
          <w:p>
            <w:pPr>
              <w:spacing w:after="0"/>
              <w:rPr>
                <w:sz w:val="12"/>
                <w:szCs w:val="12"/>
                <w:color w:val="auto"/>
              </w:rPr>
            </w:pPr>
          </w:p>
        </w:tc>
        <w:tc>
          <w:tcPr>
            <w:tcW w:w="9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2016</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50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0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40" w:type="dxa"/>
            <w:vAlign w:val="bottom"/>
            <w:vMerge w:val="continue"/>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15,652</w:t>
            </w:r>
          </w:p>
        </w:tc>
        <w:tc>
          <w:tcPr>
            <w:tcW w:w="200" w:type="dxa"/>
            <w:vAlign w:val="bottom"/>
          </w:tcPr>
          <w:p>
            <w:pPr>
              <w:spacing w:after="0"/>
              <w:rPr>
                <w:sz w:val="13"/>
                <w:szCs w:val="13"/>
                <w:color w:val="auto"/>
              </w:rPr>
            </w:pPr>
          </w:p>
        </w:tc>
        <w:tc>
          <w:tcPr>
            <w:tcW w:w="140" w:type="dxa"/>
            <w:vAlign w:val="bottom"/>
            <w:tcBorders>
              <w:top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69,746,685</w:t>
            </w:r>
          </w:p>
        </w:tc>
        <w:tc>
          <w:tcPr>
            <w:tcW w:w="2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162,116</w:t>
            </w:r>
          </w:p>
        </w:tc>
        <w:tc>
          <w:tcPr>
            <w:tcW w:w="20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$ 493,844,909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5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7,449</w:t>
            </w:r>
          </w:p>
        </w:tc>
        <w:tc>
          <w:tcPr>
            <w:tcW w:w="20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 (398,435,043)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(555,188)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95,024,259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5,881,901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5,881,901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135,730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271,795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271,931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Restricted Stock Units</w:t>
            </w: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vesting</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472,889</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(382,036)</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(381,563)</w:t>
            </w:r>
          </w:p>
        </w:tc>
        <w:tc>
          <w:tcPr>
            <w:tcW w:w="0" w:type="dxa"/>
            <w:vAlign w:val="bottom"/>
          </w:tcPr>
          <w:p>
            <w:pPr>
              <w:spacing w:after="0"/>
              <w:rPr>
                <w:sz w:val="1"/>
                <w:szCs w:val="1"/>
                <w:color w:val="auto"/>
              </w:rPr>
            </w:pPr>
          </w:p>
        </w:tc>
      </w:tr>
      <w:tr>
        <w:trPr>
          <w:trHeight w:val="143"/>
        </w:trPr>
        <w:tc>
          <w:tcPr>
            <w:tcW w:w="2740" w:type="dxa"/>
            <w:vAlign w:val="bottom"/>
          </w:tcPr>
          <w:p>
            <w:pPr>
              <w:ind w:left="140"/>
              <w:spacing w:after="0" w:line="143" w:lineRule="exact"/>
              <w:rPr>
                <w:sz w:val="20"/>
                <w:szCs w:val="20"/>
                <w:color w:val="auto"/>
              </w:rPr>
            </w:pPr>
            <w:r>
              <w:rPr>
                <w:rFonts w:ascii="Arial" w:cs="Arial" w:eastAsia="Arial" w:hAnsi="Arial"/>
                <w:sz w:val="14"/>
                <w:szCs w:val="14"/>
                <w:color w:val="auto"/>
                <w:w w:val="92"/>
              </w:rPr>
              <w:t>Common stock issued to Amgen at $7.16 per</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140"/>
              <w:spacing w:after="0"/>
              <w:rPr>
                <w:sz w:val="20"/>
                <w:szCs w:val="20"/>
                <w:color w:val="auto"/>
              </w:rPr>
            </w:pPr>
            <w:r>
              <w:rPr>
                <w:rFonts w:ascii="Arial" w:cs="Arial" w:eastAsia="Arial" w:hAnsi="Arial"/>
                <w:sz w:val="14"/>
                <w:szCs w:val="14"/>
                <w:color w:val="auto"/>
              </w:rPr>
              <w:t>share</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1,745,810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1,746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12,418,254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12,420,000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5"/>
              </w:rPr>
              <w:t>Preferred stock converted to common stock</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(15,652)</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2,670,989</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2,671</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(2,655)</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(25,835)</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(25,835)</w:t>
            </w:r>
          </w:p>
        </w:tc>
        <w:tc>
          <w:tcPr>
            <w:tcW w:w="0" w:type="dxa"/>
            <w:vAlign w:val="bottom"/>
          </w:tcPr>
          <w:p>
            <w:pPr>
              <w:spacing w:after="0"/>
              <w:rPr>
                <w:sz w:val="1"/>
                <w:szCs w:val="1"/>
                <w:color w:val="auto"/>
              </w:rPr>
            </w:pPr>
          </w:p>
        </w:tc>
      </w:tr>
      <w:tr>
        <w:trPr>
          <w:trHeight w:val="143"/>
        </w:trPr>
        <w:tc>
          <w:tcPr>
            <w:tcW w:w="274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3"/>
              </w:rPr>
              <w:t>Net loss for the nine months ended June 30,</w:t>
            </w: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2017</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(23,648,409)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5"/>
              </w:rPr>
              <w:t>(23,648,409)</w:t>
            </w:r>
          </w:p>
        </w:tc>
        <w:tc>
          <w:tcPr>
            <w:tcW w:w="0" w:type="dxa"/>
            <w:vAlign w:val="bottom"/>
          </w:tcPr>
          <w:p>
            <w:pPr>
              <w:spacing w:after="0"/>
              <w:rPr>
                <w:sz w:val="1"/>
                <w:szCs w:val="1"/>
                <w:color w:val="auto"/>
              </w:rPr>
            </w:pPr>
          </w:p>
        </w:tc>
      </w:tr>
      <w:tr>
        <w:trPr>
          <w:trHeight w:val="156"/>
        </w:trPr>
        <w:tc>
          <w:tcPr>
            <w:tcW w:w="27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2017</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74,772,103</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167,142</w:t>
            </w: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$ 512,032,168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(18,386)</w:t>
            </w:r>
          </w:p>
        </w:tc>
        <w:tc>
          <w:tcPr>
            <w:tcW w:w="20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 (422,083,452</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w w:val="84"/>
              </w:rPr>
              <w:t>)</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89,542,284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Nine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Nine Months ended</w:t>
            </w:r>
          </w:p>
        </w:tc>
      </w:tr>
      <w:tr>
        <w:trPr>
          <w:trHeight w:val="188"/>
        </w:trPr>
        <w:tc>
          <w:tcPr>
            <w:tcW w:w="7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 2016</w:t>
            </w:r>
          </w:p>
        </w:tc>
      </w:tr>
      <w:tr>
        <w:trPr>
          <w:trHeight w:val="156"/>
        </w:trPr>
        <w:tc>
          <w:tcPr>
            <w:tcW w:w="7800" w:type="dxa"/>
            <w:vAlign w:val="bottom"/>
            <w:tcBorders>
              <w:top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tcBorders>
              <w:top w:val="single" w:sz="8" w:color="auto"/>
            </w:tcBorders>
            <w:shd w:val="clear" w:color="auto" w:fill="CFF0FC"/>
          </w:tcPr>
          <w:p>
            <w:pPr>
              <w:spacing w:after="0"/>
              <w:rPr>
                <w:sz w:val="13"/>
                <w:szCs w:val="13"/>
                <w:color w:val="auto"/>
              </w:rPr>
            </w:pPr>
          </w:p>
        </w:tc>
        <w:tc>
          <w:tcPr>
            <w:tcW w:w="15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76"/>
        </w:trPr>
        <w:tc>
          <w:tcPr>
            <w:tcW w:w="7800" w:type="dxa"/>
            <w:vAlign w:val="bottom"/>
          </w:tcPr>
          <w:p>
            <w:pPr>
              <w:ind w:left="380"/>
              <w:spacing w:after="0"/>
              <w:rPr>
                <w:sz w:val="20"/>
                <w:szCs w:val="20"/>
                <w:color w:val="auto"/>
              </w:rPr>
            </w:pPr>
            <w:r>
              <w:rPr>
                <w:rFonts w:ascii="Arial" w:cs="Arial" w:eastAsia="Arial" w:hAnsi="Arial"/>
                <w:sz w:val="14"/>
                <w:szCs w:val="14"/>
                <w:color w:val="auto"/>
              </w:rPr>
              <w:t>Net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(23,648,409)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(59,501,016)</w:t>
            </w:r>
          </w:p>
        </w:tc>
      </w:tr>
      <w:tr>
        <w:trPr>
          <w:trHeight w:val="162"/>
        </w:trPr>
        <w:tc>
          <w:tcPr>
            <w:tcW w:w="7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 in value of derivatives</w:t>
            </w:r>
          </w:p>
        </w:tc>
        <w:tc>
          <w:tcPr>
            <w:tcW w:w="1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(1,519,513)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(233,052)</w:t>
            </w:r>
          </w:p>
        </w:tc>
      </w:tr>
      <w:tr>
        <w:trPr>
          <w:trHeight w:val="162"/>
        </w:trPr>
        <w:tc>
          <w:tcPr>
            <w:tcW w:w="780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5,881,901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7,547,967</w:t>
            </w:r>
          </w:p>
        </w:tc>
        <w:tc>
          <w:tcPr>
            <w:tcW w:w="120" w:type="dxa"/>
            <w:vAlign w:val="bottom"/>
          </w:tcPr>
          <w:p>
            <w:pPr>
              <w:spacing w:after="0"/>
              <w:rPr>
                <w:sz w:val="14"/>
                <w:szCs w:val="14"/>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3,535,915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2,416,461</w:t>
            </w:r>
          </w:p>
        </w:tc>
        <w:tc>
          <w:tcPr>
            <w:tcW w:w="120" w:type="dxa"/>
            <w:vAlign w:val="bottom"/>
            <w:shd w:val="clear" w:color="auto" w:fill="CFF0FC"/>
          </w:tcPr>
          <w:p>
            <w:pPr>
              <w:spacing w:after="0"/>
              <w:rPr>
                <w:sz w:val="14"/>
                <w:szCs w:val="14"/>
                <w:color w:val="auto"/>
              </w:rPr>
            </w:pPr>
          </w:p>
        </w:tc>
      </w:tr>
      <w:tr>
        <w:trPr>
          <w:trHeight w:val="162"/>
        </w:trPr>
        <w:tc>
          <w:tcPr>
            <w:tcW w:w="7800" w:type="dxa"/>
            <w:vAlign w:val="bottom"/>
          </w:tcPr>
          <w:p>
            <w:pPr>
              <w:ind w:left="380"/>
              <w:spacing w:after="0"/>
              <w:rPr>
                <w:sz w:val="20"/>
                <w:szCs w:val="20"/>
                <w:color w:val="auto"/>
              </w:rPr>
            </w:pPr>
            <w:r>
              <w:rPr>
                <w:rFonts w:ascii="Arial" w:cs="Arial" w:eastAsia="Arial" w:hAnsi="Arial"/>
                <w:sz w:val="14"/>
                <w:szCs w:val="14"/>
                <w:color w:val="auto"/>
              </w:rPr>
              <w:t>Amortization/(accretion) of note premiums</w:t>
            </w:r>
          </w:p>
        </w:tc>
        <w:tc>
          <w:tcPr>
            <w:tcW w:w="140" w:type="dxa"/>
            <w:vAlign w:val="bottom"/>
          </w:tcPr>
          <w:p>
            <w:pPr>
              <w:spacing w:after="0"/>
              <w:rPr>
                <w:sz w:val="14"/>
                <w:szCs w:val="1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(140,041)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201,346</w:t>
            </w:r>
          </w:p>
        </w:tc>
        <w:tc>
          <w:tcPr>
            <w:tcW w:w="120" w:type="dxa"/>
            <w:vAlign w:val="bottom"/>
          </w:tcPr>
          <w:p>
            <w:pPr>
              <w:spacing w:after="0"/>
              <w:rPr>
                <w:sz w:val="14"/>
                <w:szCs w:val="14"/>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800" w:type="dxa"/>
            <w:vAlign w:val="bottom"/>
          </w:tcPr>
          <w:p>
            <w:pPr>
              <w:ind w:left="620"/>
              <w:spacing w:after="0"/>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4"/>
                <w:szCs w:val="1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(862,313)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780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3,176,551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(887,426)</w:t>
            </w:r>
          </w:p>
        </w:tc>
      </w:tr>
      <w:tr>
        <w:trPr>
          <w:trHeight w:val="162"/>
        </w:trPr>
        <w:tc>
          <w:tcPr>
            <w:tcW w:w="7800" w:type="dxa"/>
            <w:vAlign w:val="bottom"/>
          </w:tcPr>
          <w:p>
            <w:pPr>
              <w:ind w:left="620"/>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8,796,246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780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(4,353,087)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913,664</w:t>
            </w:r>
          </w:p>
        </w:tc>
        <w:tc>
          <w:tcPr>
            <w:tcW w:w="120" w:type="dxa"/>
            <w:vAlign w:val="bottom"/>
            <w:shd w:val="clear" w:color="auto" w:fill="CFF0FC"/>
          </w:tcPr>
          <w:p>
            <w:pPr>
              <w:spacing w:after="0"/>
              <w:rPr>
                <w:sz w:val="14"/>
                <w:szCs w:val="14"/>
                <w:color w:val="auto"/>
              </w:rPr>
            </w:pPr>
          </w:p>
        </w:tc>
      </w:tr>
      <w:tr>
        <w:trPr>
          <w:trHeight w:val="162"/>
        </w:trPr>
        <w:tc>
          <w:tcPr>
            <w:tcW w:w="7800" w:type="dxa"/>
            <w:vAlign w:val="bottom"/>
          </w:tcPr>
          <w:p>
            <w:pPr>
              <w:ind w:left="62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4"/>
                <w:szCs w:val="1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(5,337,827)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(4,728,300)</w:t>
            </w:r>
          </w:p>
        </w:tc>
      </w:tr>
      <w:tr>
        <w:trPr>
          <w:trHeight w:val="162"/>
        </w:trPr>
        <w:tc>
          <w:tcPr>
            <w:tcW w:w="780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(264,921)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24,249</w:t>
            </w:r>
          </w:p>
        </w:tc>
        <w:tc>
          <w:tcPr>
            <w:tcW w:w="120" w:type="dxa"/>
            <w:vAlign w:val="bottom"/>
            <w:shd w:val="clear" w:color="auto" w:fill="CFF0FC"/>
          </w:tcPr>
          <w:p>
            <w:pPr>
              <w:spacing w:after="0"/>
              <w:rPr>
                <w:sz w:val="14"/>
                <w:szCs w:val="14"/>
                <w:color w:val="auto"/>
              </w:rPr>
            </w:pPr>
          </w:p>
        </w:tc>
      </w:tr>
      <w:tr>
        <w:trPr>
          <w:trHeight w:val="156"/>
        </w:trPr>
        <w:tc>
          <w:tcPr>
            <w:tcW w:w="7800" w:type="dxa"/>
            <w:vAlign w:val="bottom"/>
          </w:tcPr>
          <w:p>
            <w:pPr>
              <w:ind w:left="3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(14,735,498)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(54,246,107)</w:t>
            </w:r>
          </w:p>
        </w:tc>
        <w:tc>
          <w:tcPr>
            <w:tcW w:w="120" w:type="dxa"/>
            <w:vAlign w:val="bottom"/>
          </w:tcPr>
          <w:p>
            <w:pPr>
              <w:spacing w:after="0"/>
              <w:rPr>
                <w:sz w:val="13"/>
                <w:szCs w:val="13"/>
                <w:color w:val="auto"/>
              </w:rPr>
            </w:pPr>
          </w:p>
        </w:tc>
      </w:tr>
      <w:tr>
        <w:trPr>
          <w:trHeight w:val="162"/>
        </w:trPr>
        <w:tc>
          <w:tcPr>
            <w:tcW w:w="7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80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tcPr>
          <w:p>
            <w:pPr>
              <w:spacing w:after="0"/>
              <w:rPr>
                <w:sz w:val="14"/>
                <w:szCs w:val="1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(7,810,754)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(1,147,748)</w:t>
            </w:r>
          </w:p>
        </w:tc>
      </w:tr>
      <w:tr>
        <w:trPr>
          <w:trHeight w:val="162"/>
        </w:trPr>
        <w:tc>
          <w:tcPr>
            <w:tcW w:w="7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marketable securities</w:t>
            </w:r>
          </w:p>
        </w:tc>
        <w:tc>
          <w:tcPr>
            <w:tcW w:w="1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(39,904,676)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62"/>
        </w:trPr>
        <w:tc>
          <w:tcPr>
            <w:tcW w:w="780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3,289,963</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16,308,000</w:t>
            </w:r>
          </w:p>
        </w:tc>
        <w:tc>
          <w:tcPr>
            <w:tcW w:w="120" w:type="dxa"/>
            <w:vAlign w:val="bottom"/>
            <w:tcBorders>
              <w:bottom w:val="single" w:sz="8" w:color="CFF0FC"/>
            </w:tcBorders>
          </w:tcPr>
          <w:p>
            <w:pPr>
              <w:spacing w:after="0"/>
              <w:rPr>
                <w:sz w:val="14"/>
                <w:szCs w:val="14"/>
                <w:color w:val="auto"/>
              </w:rPr>
            </w:pPr>
          </w:p>
        </w:tc>
      </w:tr>
      <w:tr>
        <w:trPr>
          <w:trHeight w:val="156"/>
        </w:trPr>
        <w:tc>
          <w:tcPr>
            <w:tcW w:w="780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(44,425,467)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15,160,252</w:t>
            </w:r>
          </w:p>
        </w:tc>
        <w:tc>
          <w:tcPr>
            <w:tcW w:w="120" w:type="dxa"/>
            <w:vAlign w:val="bottom"/>
            <w:shd w:val="clear" w:color="auto" w:fill="CFF0FC"/>
          </w:tcPr>
          <w:p>
            <w:pPr>
              <w:spacing w:after="0"/>
              <w:rPr>
                <w:sz w:val="13"/>
                <w:szCs w:val="13"/>
                <w:color w:val="auto"/>
              </w:rPr>
            </w:pPr>
          </w:p>
        </w:tc>
      </w:tr>
      <w:tr>
        <w:trPr>
          <w:trHeight w:val="162"/>
        </w:trPr>
        <w:tc>
          <w:tcPr>
            <w:tcW w:w="7800" w:type="dxa"/>
            <w:vAlign w:val="bottom"/>
          </w:tcPr>
          <w:p>
            <w:pPr>
              <w:ind w:left="140"/>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Principal payments on capital leases and notes payable</w:t>
            </w:r>
          </w:p>
        </w:tc>
        <w:tc>
          <w:tcPr>
            <w:tcW w:w="1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(97,145)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(162,824)</w:t>
            </w:r>
          </w:p>
        </w:tc>
      </w:tr>
      <w:tr>
        <w:trPr>
          <w:trHeight w:val="162"/>
        </w:trPr>
        <w:tc>
          <w:tcPr>
            <w:tcW w:w="7800" w:type="dxa"/>
            <w:vAlign w:val="bottom"/>
          </w:tcPr>
          <w:p>
            <w:pPr>
              <w:ind w:left="380"/>
              <w:spacing w:after="0"/>
              <w:rPr>
                <w:sz w:val="20"/>
                <w:szCs w:val="20"/>
                <w:color w:val="auto"/>
              </w:rPr>
            </w:pPr>
            <w:r>
              <w:rPr>
                <w:rFonts w:ascii="Arial" w:cs="Arial" w:eastAsia="Arial" w:hAnsi="Arial"/>
                <w:sz w:val="14"/>
                <w:szCs w:val="14"/>
                <w:color w:val="auto"/>
              </w:rPr>
              <w:t>Payments of taxes for net share settled restricted stock unit issuances</w:t>
            </w:r>
          </w:p>
        </w:tc>
        <w:tc>
          <w:tcPr>
            <w:tcW w:w="140" w:type="dxa"/>
            <w:vAlign w:val="bottom"/>
          </w:tcPr>
          <w:p>
            <w:pPr>
              <w:spacing w:after="0"/>
              <w:rPr>
                <w:sz w:val="14"/>
                <w:szCs w:val="1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(417,140)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(634,187)</w:t>
            </w:r>
          </w:p>
        </w:tc>
      </w:tr>
      <w:tr>
        <w:trPr>
          <w:trHeight w:val="162"/>
        </w:trPr>
        <w:tc>
          <w:tcPr>
            <w:tcW w:w="7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the exercises of warrants and stock options</w:t>
            </w:r>
          </w:p>
        </w:tc>
        <w:tc>
          <w:tcPr>
            <w:tcW w:w="14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272,818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2,285,055</w:t>
            </w:r>
          </w:p>
        </w:tc>
        <w:tc>
          <w:tcPr>
            <w:tcW w:w="120" w:type="dxa"/>
            <w:vAlign w:val="bottom"/>
            <w:shd w:val="clear" w:color="auto" w:fill="CFF0FC"/>
          </w:tcPr>
          <w:p>
            <w:pPr>
              <w:spacing w:after="0"/>
              <w:rPr>
                <w:sz w:val="14"/>
                <w:szCs w:val="14"/>
                <w:color w:val="auto"/>
              </w:rPr>
            </w:pPr>
          </w:p>
        </w:tc>
      </w:tr>
      <w:tr>
        <w:trPr>
          <w:trHeight w:val="162"/>
        </w:trPr>
        <w:tc>
          <w:tcPr>
            <w:tcW w:w="780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the issuance of common stock</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12,419,119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4"/>
                <w:szCs w:val="14"/>
                <w:color w:val="auto"/>
              </w:rPr>
            </w:pPr>
          </w:p>
        </w:tc>
      </w:tr>
      <w:tr>
        <w:trPr>
          <w:trHeight w:val="156"/>
        </w:trPr>
        <w:tc>
          <w:tcPr>
            <w:tcW w:w="780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4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12,177,652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1,488,044</w:t>
            </w:r>
          </w:p>
        </w:tc>
        <w:tc>
          <w:tcPr>
            <w:tcW w:w="120" w:type="dxa"/>
            <w:vAlign w:val="bottom"/>
            <w:shd w:val="clear" w:color="auto" w:fill="CFF0FC"/>
          </w:tcPr>
          <w:p>
            <w:pPr>
              <w:spacing w:after="0"/>
              <w:rPr>
                <w:sz w:val="13"/>
                <w:szCs w:val="13"/>
                <w:color w:val="auto"/>
              </w:rPr>
            </w:pPr>
          </w:p>
        </w:tc>
      </w:tr>
      <w:tr>
        <w:trPr>
          <w:trHeight w:val="162"/>
        </w:trPr>
        <w:tc>
          <w:tcPr>
            <w:tcW w:w="7800" w:type="dxa"/>
            <w:vAlign w:val="bottom"/>
          </w:tcPr>
          <w:p>
            <w:pPr>
              <w:ind w:left="380"/>
              <w:spacing w:after="0"/>
              <w:rPr>
                <w:sz w:val="20"/>
                <w:szCs w:val="20"/>
                <w:color w:val="auto"/>
              </w:rPr>
            </w:pPr>
            <w:r>
              <w:rPr>
                <w:rFonts w:ascii="Arial" w:cs="Arial" w:eastAsia="Arial" w:hAnsi="Arial"/>
                <w:sz w:val="14"/>
                <w:szCs w:val="14"/>
                <w:color w:val="auto"/>
              </w:rPr>
              <w:t>NET INCREASE (DECREASE) IN CASH</w:t>
            </w:r>
          </w:p>
        </w:tc>
        <w:tc>
          <w:tcPr>
            <w:tcW w:w="140" w:type="dxa"/>
            <w:vAlign w:val="bottom"/>
          </w:tcPr>
          <w:p>
            <w:pPr>
              <w:spacing w:after="0"/>
              <w:rPr>
                <w:sz w:val="14"/>
                <w:szCs w:val="14"/>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(46,983,313)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(37,597,811)</w:t>
            </w:r>
          </w:p>
        </w:tc>
      </w:tr>
      <w:tr>
        <w:trPr>
          <w:trHeight w:val="162"/>
        </w:trPr>
        <w:tc>
          <w:tcPr>
            <w:tcW w:w="7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AT BEGINNING OF PERIOD</w:t>
            </w:r>
          </w:p>
        </w:tc>
        <w:tc>
          <w:tcPr>
            <w:tcW w:w="14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85,366,448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81,214,354</w:t>
            </w:r>
          </w:p>
        </w:tc>
        <w:tc>
          <w:tcPr>
            <w:tcW w:w="120" w:type="dxa"/>
            <w:vAlign w:val="bottom"/>
            <w:shd w:val="clear" w:color="auto" w:fill="CFF0FC"/>
          </w:tcPr>
          <w:p>
            <w:pPr>
              <w:spacing w:after="0"/>
              <w:rPr>
                <w:sz w:val="14"/>
                <w:szCs w:val="14"/>
                <w:color w:val="auto"/>
              </w:rPr>
            </w:pPr>
          </w:p>
        </w:tc>
      </w:tr>
      <w:tr>
        <w:trPr>
          <w:trHeight w:val="196"/>
        </w:trPr>
        <w:tc>
          <w:tcPr>
            <w:tcW w:w="780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CASH AT END OF PERIOD</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38,383,135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43,616,543</w:t>
            </w:r>
          </w:p>
        </w:tc>
        <w:tc>
          <w:tcPr>
            <w:tcW w:w="120" w:type="dxa"/>
            <w:vAlign w:val="bottom"/>
            <w:tcBorders>
              <w:bottom w:val="single" w:sz="8" w:color="CFF0FC"/>
            </w:tcBorders>
          </w:tcPr>
          <w:p>
            <w:pPr>
              <w:spacing w:after="0"/>
              <w:rPr>
                <w:sz w:val="17"/>
                <w:szCs w:val="17"/>
                <w:color w:val="auto"/>
              </w:rPr>
            </w:pPr>
          </w:p>
        </w:tc>
      </w:tr>
      <w:tr>
        <w:trPr>
          <w:trHeight w:val="143"/>
        </w:trPr>
        <w:tc>
          <w:tcPr>
            <w:tcW w:w="78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Supplementary disclosures:</w:t>
            </w:r>
          </w:p>
        </w:tc>
        <w:tc>
          <w:tcPr>
            <w:tcW w:w="14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780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(142,033)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(8,906)</w:t>
            </w:r>
          </w:p>
        </w:tc>
      </w:tr>
      <w:tr>
        <w:trPr>
          <w:trHeight w:val="162"/>
        </w:trPr>
        <w:tc>
          <w:tcPr>
            <w:tcW w:w="7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Property and equipment purchased through tenant improvement allowance financing</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(4,849,360)</w:t>
            </w:r>
          </w:p>
        </w:tc>
      </w:tr>
      <w:tr>
        <w:trPr>
          <w:trHeight w:val="162"/>
        </w:trPr>
        <w:tc>
          <w:tcPr>
            <w:tcW w:w="7800" w:type="dxa"/>
            <w:vAlign w:val="bottom"/>
          </w:tcPr>
          <w:p>
            <w:pPr>
              <w:ind w:left="380"/>
              <w:spacing w:after="0"/>
              <w:rPr>
                <w:sz w:val="20"/>
                <w:szCs w:val="20"/>
                <w:color w:val="auto"/>
              </w:rPr>
            </w:pPr>
            <w:r>
              <w:rPr>
                <w:rFonts w:ascii="Arial" w:cs="Arial" w:eastAsia="Arial" w:hAnsi="Arial"/>
                <w:sz w:val="14"/>
                <w:szCs w:val="14"/>
                <w:color w:val="auto"/>
              </w:rPr>
              <w:t>Income Tax Credits Refunded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3,635,016</w:t>
            </w:r>
          </w:p>
        </w:tc>
        <w:tc>
          <w:tcPr>
            <w:tcW w:w="1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1,365,288</w:t>
            </w:r>
          </w:p>
        </w:tc>
        <w:tc>
          <w:tcPr>
            <w:tcW w:w="120" w:type="dxa"/>
            <w:vAlign w:val="bottom"/>
          </w:tcPr>
          <w:p>
            <w:pPr>
              <w:spacing w:after="0"/>
              <w:rPr>
                <w:sz w:val="14"/>
                <w:szCs w:val="14"/>
                <w:color w:val="auto"/>
              </w:rPr>
            </w:pPr>
          </w:p>
        </w:tc>
      </w:tr>
      <w:tr>
        <w:trPr>
          <w:trHeight w:val="162"/>
        </w:trPr>
        <w:tc>
          <w:tcPr>
            <w:tcW w:w="7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 Paid</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(2,400)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(2,400)</w:t>
            </w: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03" w:lineRule="exact"/>
        <w:rPr>
          <w:sz w:val="20"/>
          <w:szCs w:val="20"/>
          <w:color w:val="auto"/>
        </w:rPr>
      </w:pPr>
    </w:p>
    <w:p>
      <w:pPr>
        <w:ind w:right="5560"/>
        <w:spacing w:after="0" w:line="407"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spacing w:after="0" w:line="166"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Arrowhead develops novel drugs to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ARO-HBV for chronic hepatitis B virus, ARO-AAT for liver disease associated with alpha-1 antitrypsin deficiency (AATD), ARO-F12 for hereditary angioedema and thromboembolic disorders, ARO-HIF2 for renal cell carcinoma, and ARO-AMG1 for an undisclosed genetically validated cardiovascular target under a license and collaboration agreement with Amgen, Inc., a Delaware corporation (“Amgen”). ARO-LPA for cardiovascular disease was recently out-licensed to Amgen.</w:t>
      </w:r>
    </w:p>
    <w:p>
      <w:pPr>
        <w:spacing w:after="0" w:line="84"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During a portion of the first quarter of fiscal 2017, the Company continued to develop its former clinical candidates, ARC-520 and ARC-521, for the treatment of chronic hepatitis B infection as well as ARC-AAT, an RNAi therapeutic designed to treat liver disease associated with AATD. However, in November 2016, the Company announced that it would be discontinuing these clinical programs, and redeploying its resources and focus toward utilizing the Company’s new proprietary subcutaneous and extra-hepatic delivery systems. Each of these former clinical candidates utilized the intravenously administered DPC</w:t>
      </w:r>
      <w:r>
        <w:rPr>
          <w:rFonts w:ascii="Arial" w:cs="Arial" w:eastAsia="Arial" w:hAnsi="Arial"/>
          <w:sz w:val="13"/>
          <w:szCs w:val="13"/>
          <w:color w:val="auto"/>
        </w:rPr>
        <w:t>iv</w:t>
      </w:r>
      <w:r>
        <w:rPr>
          <w:rFonts w:ascii="Arial" w:cs="Arial" w:eastAsia="Arial" w:hAnsi="Arial"/>
          <w:sz w:val="16"/>
          <w:szCs w:val="16"/>
          <w:color w:val="auto"/>
        </w:rPr>
        <w:t>, or EX1, delivery vehicle. The decision to discontinue development of EX1-containing programs was based primarily on two factors. First, during ongoing discussions with regulatory agencies and outside experts, it became apparent that there would be substantial delays in all clinical programs that utilize EX1, while the Company further explored the cause of deaths in a non-clinical toxicology study in non-human primates. Second, the Company has made substantial advances in RNA chemistry and targeting resulting in large potency gains for subcutaneous administered and extra-hepatic RNAi-based development programs. In preclinical studies with the subcutaneous platform, the Company has obtained depth and duration of target gene knockdown approaching that of intravenously administered EX1-containing candidates, at lower doses and with good safety margins. ARO-HBV and ARO-AAT are the Company’s subcutaneous administered preclinical candidates for chronic hepatitis B virus and liver disease associated with AATD,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At June 30, 2017, the Company had $38.4 million in cash to fund operations. In addition to its cash resources, the Company has invested excess cash in investment grade commercial bonds maturing in less than 12 months. At June 30, 2017, the Company had invested $36.8 million in bonds. During the nine months ended June 30, 2017, the Company’s cash and investments balances combined decreased by $10.2 million, which was the result of $44.7 million in cash outflows related to operating activities (excluding the upfront payment from Amgen), and $7.8 million of capital expenditures, offset by $42.5 million in upfront payments and equity investments from Amgen.</w:t>
      </w:r>
    </w:p>
    <w:p>
      <w:pPr>
        <w:spacing w:after="0" w:line="188"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On November 18, 2016, the Company and Amgen received Hart-Scott-Rodino clearance with regard to the ARO-LPA Agreement discussed in Note 2 below. Based on the terms of the ARO-LPA Agreement, and the Common Stock Purchase Agreement discussed in Note 2 below, on November 18, 2016, the Company issued 1,745,810 shares of Common Stock to Amgen, and received proceeds of approximately $12.5 million. Additionally, the Company received a $30 million upfront payment due under the ARO-LPA Agreement discussed below.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8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Additionally, certain reclassifications have been made to prior period financial statements to conform to the current period presentation.</w:t>
      </w:r>
    </w:p>
    <w:p>
      <w:pPr>
        <w:spacing w:after="0" w:line="19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an original maturity of three months or less to be cash equivalents. The Company had no restricted cash at June 30, 2017 and September 30, 2016.</w:t>
      </w:r>
    </w:p>
    <w:p>
      <w:pPr>
        <w:spacing w:after="0" w:line="170" w:lineRule="exact"/>
        <w:rPr>
          <w:sz w:val="20"/>
          <w:szCs w:val="20"/>
          <w:color w:val="auto"/>
        </w:rPr>
      </w:pPr>
    </w:p>
    <w:p>
      <w:pPr>
        <w:ind w:right="500" w:firstLine="518"/>
        <w:spacing w:after="0" w:line="286" w:lineRule="auto"/>
        <w:rPr>
          <w:sz w:val="20"/>
          <w:szCs w:val="20"/>
          <w:color w:val="auto"/>
        </w:rPr>
      </w:pPr>
      <w:r>
        <w:rPr>
          <w:rFonts w:ascii="Arial" w:cs="Arial" w:eastAsia="Arial" w:hAnsi="Arial"/>
          <w:sz w:val="17"/>
          <w:szCs w:val="17"/>
          <w:color w:val="auto"/>
        </w:rPr>
        <w:t>Concentration of Credit Risk—The Company maintains several bank accounts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66"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and other debt instruments. Investments may include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 Company classifies its investments in marketable debt securities based on the facts and circumstances present at the time of purchase of the securities.</w:t>
      </w:r>
    </w:p>
    <w:p>
      <w:pPr>
        <w:spacing w:after="0" w:line="170"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firstLine="518"/>
        <w:spacing w:after="0" w:line="268" w:lineRule="auto"/>
        <w:rPr>
          <w:sz w:val="20"/>
          <w:szCs w:val="20"/>
          <w:color w:val="auto"/>
        </w:rPr>
      </w:pPr>
      <w:r>
        <w:rPr>
          <w:rFonts w:ascii="Arial" w:cs="Arial" w:eastAsia="Arial" w:hAnsi="Arial"/>
          <w:sz w:val="17"/>
          <w:szCs w:val="17"/>
          <w:color w:val="auto"/>
        </w:rPr>
        <w:t>Contingent Consideration - The consideration for the Company’s acquisitions may include potential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June 30, 2017 and September 30, 2016, given the discontinuation of its clinical trials.</w:t>
      </w:r>
    </w:p>
    <w:p>
      <w:pPr>
        <w:spacing w:after="0" w:line="183" w:lineRule="exact"/>
        <w:rPr>
          <w:sz w:val="20"/>
          <w:szCs w:val="20"/>
          <w:color w:val="auto"/>
        </w:rPr>
      </w:pPr>
    </w:p>
    <w:p>
      <w:pPr>
        <w:ind w:right="40" w:firstLine="575"/>
        <w:spacing w:after="0" w:line="277" w:lineRule="auto"/>
        <w:rPr>
          <w:sz w:val="20"/>
          <w:szCs w:val="20"/>
          <w:color w:val="auto"/>
        </w:rPr>
      </w:pPr>
      <w:r>
        <w:rPr>
          <w:rFonts w:ascii="Arial" w:cs="Arial" w:eastAsia="Arial" w:hAnsi="Arial"/>
          <w:sz w:val="18"/>
          <w:szCs w:val="18"/>
          <w:color w:val="auto"/>
        </w:rPr>
        <w:t>Revenue Recognition— Revenue from product sales is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ind w:right="60" w:firstLine="588"/>
        <w:spacing w:after="0" w:line="259" w:lineRule="auto"/>
        <w:rPr>
          <w:sz w:val="20"/>
          <w:szCs w:val="20"/>
          <w:color w:val="auto"/>
        </w:rPr>
      </w:pPr>
      <w:r>
        <w:rPr>
          <w:rFonts w:ascii="Arial" w:cs="Arial" w:eastAsia="Arial" w:hAnsi="Arial"/>
          <w:sz w:val="18"/>
          <w:szCs w:val="18"/>
          <w:color w:val="auto"/>
        </w:rPr>
        <w:t>The Company may generate revenue from technology licenses, collaborative research and development arrangements,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considered to be multiple element arrangements.</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if the arrangement includes a general right of return for the delivered item, and if delivery or performance of the undelivered item is considered probable and substantially in the control of the vendor.</w:t>
      </w:r>
    </w:p>
    <w:p>
      <w:pPr>
        <w:spacing w:after="0" w:line="188"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has standalone value from any undelivered performance obligations and that value can be determined. The undelivered performance obligations typically include manufacturing or development services or research and/or steering committee services. If the fair value of the undelivered performance obligations can be determined, then these obligations would be accounted for separately.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189"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6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agreement,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ind w:right="640"/>
        <w:spacing w:after="0" w:line="277" w:lineRule="auto"/>
        <w:rPr>
          <w:sz w:val="20"/>
          <w:szCs w:val="20"/>
          <w:color w:val="auto"/>
        </w:rPr>
      </w:pPr>
      <w:r>
        <w:rPr>
          <w:rFonts w:ascii="Arial" w:cs="Arial" w:eastAsia="Arial" w:hAnsi="Arial"/>
          <w:sz w:val="18"/>
          <w:szCs w:val="18"/>
          <w:color w:val="auto"/>
        </w:rPr>
        <w:t>achieved after the performance period has completed and all performance obligations have been delivered, the Company will recognize the milestone payment as revenue in its entirety in the period the milestone was achieved.</w:t>
      </w:r>
    </w:p>
    <w:p>
      <w:pPr>
        <w:spacing w:after="0" w:line="170"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171"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three and nine months ended June 30, 2017 and 2016 have been excluded from the calculation of Diluted earnings (loss) per share due to their anti-dilutive effect.</w:t>
      </w:r>
    </w:p>
    <w:p>
      <w:pPr>
        <w:spacing w:after="0" w:line="173"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67"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Derivative Assets and Liabilities – The Company accounts for warrants and other derivative financial instruments as either equity or assets/liabilities based upon the characteristics and provisions of each instrument. Warrants classified as equity are recorded as Additional Paid-In Capital on the Company’s Consolidated Balance Sheet. Some of the Company’s warrants were determined to be ineligible for equity classification due to provisions that may result in an adjustment to their exercise price. Warrants classified as derivative liabilities and other derivative financial instruments that require separate accounting as assets or liabilities are recorded on the Company’s Consolidated Balance Sheet at their fair value on the date of issuance and are revalued on each subsequent balance sheet date until such instruments are exercised or expire, with any changes in the fair value between reporting periods recorded as Other Income or Expense. The Company estimates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66"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620" w:firstLine="407"/>
        <w:spacing w:after="0" w:line="277" w:lineRule="auto"/>
        <w:rPr>
          <w:sz w:val="20"/>
          <w:szCs w:val="20"/>
          <w:color w:val="auto"/>
        </w:rPr>
      </w:pPr>
      <w:r>
        <w:rPr>
          <w:rFonts w:ascii="Arial" w:cs="Arial" w:eastAsia="Arial" w:hAnsi="Arial"/>
          <w:sz w:val="18"/>
          <w:szCs w:val="18"/>
          <w:color w:val="auto"/>
        </w:rPr>
        <w:t>In May 2014, the FASB issued ASU No. 2014-09 Revenue from Contracts with Customers (Topic 606), which will supersede nearly all existing revenue recognition guidance under GAAP. ASU No. 2014-09 provides that an entity recognize revenue when 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right="120"/>
        <w:spacing w:after="0" w:line="255" w:lineRule="auto"/>
        <w:rPr>
          <w:sz w:val="20"/>
          <w:szCs w:val="20"/>
          <w:color w:val="auto"/>
        </w:rPr>
      </w:pPr>
      <w:r>
        <w:rPr>
          <w:rFonts w:ascii="Arial" w:cs="Arial" w:eastAsia="Arial" w:hAnsi="Arial"/>
          <w:sz w:val="18"/>
          <w:szCs w:val="18"/>
          <w:color w:val="auto"/>
        </w:rPr>
        <w:t>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fiscal 2019. In April 2016, the FASB issued an amendment to ASU No. 2014-09 with update ASU 2016-10 which provided more specific guidance around the identification of performance obligations and licensing arrangements. The Company is evaluating the potential effects of the adoption of this update on its financial statements.</w:t>
      </w:r>
    </w:p>
    <w:p>
      <w:pPr>
        <w:spacing w:after="0" w:line="189" w:lineRule="exact"/>
        <w:rPr>
          <w:sz w:val="20"/>
          <w:szCs w:val="20"/>
          <w:color w:val="auto"/>
        </w:rPr>
      </w:pPr>
    </w:p>
    <w:p>
      <w:pPr>
        <w:ind w:right="120" w:firstLine="407"/>
        <w:spacing w:after="0" w:line="255" w:lineRule="auto"/>
        <w:rPr>
          <w:sz w:val="20"/>
          <w:szCs w:val="20"/>
          <w:color w:val="auto"/>
        </w:rPr>
      </w:pPr>
      <w:r>
        <w:rPr>
          <w:rFonts w:ascii="Arial" w:cs="Arial" w:eastAsia="Arial" w:hAnsi="Arial"/>
          <w:sz w:val="18"/>
          <w:szCs w:val="18"/>
          <w:color w:val="auto"/>
        </w:rPr>
        <w:t>In March 2016, the FASB issued ASU No. 2016-02, Leases.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 in Madison, Wisconsin.</w:t>
      </w:r>
    </w:p>
    <w:p>
      <w:pPr>
        <w:spacing w:after="0" w:line="193" w:lineRule="exact"/>
        <w:rPr>
          <w:sz w:val="20"/>
          <w:szCs w:val="20"/>
          <w:color w:val="auto"/>
        </w:rPr>
      </w:pPr>
    </w:p>
    <w:p>
      <w:pPr>
        <w:ind w:right="20" w:firstLine="407"/>
        <w:spacing w:after="0" w:line="279" w:lineRule="auto"/>
        <w:rPr>
          <w:sz w:val="20"/>
          <w:szCs w:val="20"/>
          <w:color w:val="auto"/>
        </w:rPr>
      </w:pPr>
      <w:r>
        <w:rPr>
          <w:rFonts w:ascii="Arial" w:cs="Arial" w:eastAsia="Arial" w:hAnsi="Arial"/>
          <w:sz w:val="17"/>
          <w:szCs w:val="17"/>
          <w:color w:val="auto"/>
        </w:rPr>
        <w:t>In May 2017, the FASB issued ASU No. 2017-09, which is an update to Topic 718, Compensation - Stock Compensation. The update provides guidance on determining which changes to the terms and conditions of share-based payment awards, including stock options, require an entity to apply modification accounting under Topic 718. ASU 2017-09 becomes effective for the Company in the first quarter of fiscal 2019. The Company does not expect that ASU 2017-09 will have a material impact on the Company's results of operations and consolidated financial statements.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 – AMGEN, INC.</w:t>
      </w:r>
    </w:p>
    <w:p>
      <w:pPr>
        <w:spacing w:after="0" w:line="121" w:lineRule="exact"/>
        <w:rPr>
          <w:sz w:val="20"/>
          <w:szCs w:val="20"/>
          <w:color w:val="auto"/>
        </w:rPr>
      </w:pPr>
    </w:p>
    <w:p>
      <w:pPr>
        <w:jc w:val="both"/>
        <w:ind w:firstLine="305"/>
        <w:spacing w:after="0" w:line="255" w:lineRule="auto"/>
        <w:rPr>
          <w:sz w:val="20"/>
          <w:szCs w:val="20"/>
          <w:color w:val="auto"/>
        </w:rPr>
      </w:pPr>
      <w:r>
        <w:rPr>
          <w:rFonts w:ascii="Arial" w:cs="Arial" w:eastAsia="Arial" w:hAnsi="Arial"/>
          <w:sz w:val="18"/>
          <w:szCs w:val="18"/>
          <w:color w:val="auto"/>
        </w:rPr>
        <w:t>On September 28, 2016, the Company entered into two Collaboration and License agreements, and a Common Stock Purchase Agreement with Amgen. Under one of the license agreements (the “Second Collaboration and License Agreement” or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will be wholly responsible for clinical development and commercialization.</w:t>
      </w:r>
    </w:p>
    <w:p>
      <w:pPr>
        <w:spacing w:after="0" w:line="189" w:lineRule="exact"/>
        <w:rPr>
          <w:sz w:val="20"/>
          <w:szCs w:val="20"/>
          <w:color w:val="auto"/>
        </w:rPr>
      </w:pPr>
    </w:p>
    <w:p>
      <w:pPr>
        <w:jc w:val="both"/>
        <w:ind w:firstLine="305"/>
        <w:spacing w:after="0" w:line="302" w:lineRule="auto"/>
        <w:rPr>
          <w:sz w:val="20"/>
          <w:szCs w:val="20"/>
          <w:color w:val="auto"/>
        </w:rPr>
      </w:pPr>
      <w:r>
        <w:rPr>
          <w:rFonts w:ascii="Arial" w:cs="Arial" w:eastAsia="Arial" w:hAnsi="Arial"/>
          <w:sz w:val="16"/>
          <w:szCs w:val="16"/>
          <w:color w:val="auto"/>
        </w:rPr>
        <w:t>Under the Common Stock Purchase Agreement, the Company has sold 3,002,793 shares of Common Stock to Amgen at a price of $7.16 per share, which represents the 30-day volume-weighted average price of the Common Stock on the NASDAQ stock market over the 30 trading days preceding contract execution. Subject to Amgen’s exercise of the Option, as defined in the ARO-AMG1 Agreement, Amgen has agreed to purchase, and the Company has agreed to sell, an additional $5 million worth of shares of Common Stock based on a 30 trading day formula surrounding the date of the Option exercise.</w:t>
      </w:r>
    </w:p>
    <w:p>
      <w:pPr>
        <w:spacing w:after="0" w:line="154" w:lineRule="exact"/>
        <w:rPr>
          <w:sz w:val="20"/>
          <w:szCs w:val="20"/>
          <w:color w:val="auto"/>
        </w:rPr>
      </w:pPr>
    </w:p>
    <w:p>
      <w:pPr>
        <w:jc w:val="both"/>
        <w:ind w:firstLine="305"/>
        <w:spacing w:after="0" w:line="259" w:lineRule="auto"/>
        <w:rPr>
          <w:sz w:val="20"/>
          <w:szCs w:val="20"/>
          <w:color w:val="auto"/>
        </w:rPr>
      </w:pPr>
      <w:r>
        <w:rPr>
          <w:rFonts w:ascii="Arial" w:cs="Arial" w:eastAsia="Arial" w:hAnsi="Arial"/>
          <w:sz w:val="18"/>
          <w:szCs w:val="18"/>
          <w:color w:val="auto"/>
        </w:rPr>
        <w:t>Under the terms of the agreements taken together, the Company has received $35 million in upfront payments,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Agreement.</w:t>
      </w:r>
    </w:p>
    <w:p>
      <w:pPr>
        <w:spacing w:after="0" w:line="187" w:lineRule="exact"/>
        <w:rPr>
          <w:sz w:val="20"/>
          <w:szCs w:val="20"/>
          <w:color w:val="auto"/>
        </w:rPr>
      </w:pPr>
    </w:p>
    <w:p>
      <w:pPr>
        <w:jc w:val="both"/>
        <w:ind w:firstLine="305"/>
        <w:spacing w:after="0" w:line="270" w:lineRule="auto"/>
        <w:rPr>
          <w:sz w:val="20"/>
          <w:szCs w:val="20"/>
          <w:color w:val="auto"/>
        </w:rPr>
      </w:pPr>
      <w:r>
        <w:rPr>
          <w:rFonts w:ascii="Arial" w:cs="Arial" w:eastAsia="Arial" w:hAnsi="Arial"/>
          <w:sz w:val="17"/>
          <w:szCs w:val="17"/>
          <w:color w:val="auto"/>
        </w:rPr>
        <w:t>Under the terms of the First Collaboration and License Agreement, the Company has granted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First Collaboration and License Agreement include the license, the joint research committee and the development and manufacturing activities toward achieving the Arrowhead Deliverable. The Company also determined that, pursuant to the accounting guidance governing revenue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7"/>
          <w:szCs w:val="17"/>
          <w:color w:val="auto"/>
        </w:rPr>
        <w:t>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 Arrowhead Deliverable is September 28, 2018. The Company received the upfront payment of $5 million due under this agreement in September 2016. The initial $5 million payment was recorded as Deferred Revenue, and $0.6 million and $1.9 million of this was amortized into revenue during the three and nine months ended June 30, 2017, respectively. Should the Company achieve the Arrowhead Deliverable prior to the due date, unrecognized revenue will be accelerated and recognized.</w:t>
      </w:r>
    </w:p>
    <w:p>
      <w:pPr>
        <w:spacing w:after="0" w:line="178" w:lineRule="exact"/>
        <w:rPr>
          <w:sz w:val="20"/>
          <w:szCs w:val="20"/>
          <w:color w:val="auto"/>
        </w:rPr>
      </w:pPr>
    </w:p>
    <w:p>
      <w:pPr>
        <w:jc w:val="both"/>
        <w:ind w:firstLine="305"/>
        <w:spacing w:after="0" w:line="268" w:lineRule="auto"/>
        <w:rPr>
          <w:sz w:val="20"/>
          <w:szCs w:val="20"/>
          <w:color w:val="auto"/>
        </w:rPr>
      </w:pPr>
      <w:r>
        <w:rPr>
          <w:rFonts w:ascii="Arial" w:cs="Arial" w:eastAsia="Arial" w:hAnsi="Arial"/>
          <w:sz w:val="17"/>
          <w:szCs w:val="17"/>
          <w:color w:val="auto"/>
        </w:rPr>
        <w:t>Under the terms of the Second Collaboration and License Agreement, the Company has granted a worldwide, exclusive license to ARO-LPA. The collaboration between the Company and Amgen is governed by a joint research committee comprised of an equal number of representatives from each party, however Amgen has the final decision making authority regarding ARO-LPA in this committee. The Company is also responsible for assisting Amgen in the oversight of certain development and manufacturing activities, most of which are to be covered at Amgen’s cost. The Company has determined that the significant deliverables under the Second Collaboration and License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November 18, 2016 (the Hart-Scott-Rodino clearance date), through October 31, 2017, which is the date where the significant development and manufacturing related deliverables are anticipated to be completed. The Company received the upfront payment of $30 million due under this agreement in November 2016. The initial $30 million payment was recorded as Deferred Revenue, and $7.9 million and $19.4 million of this was amortized into Revenue during the three and nine months ended June 30, 2017, respectively.</w:t>
      </w:r>
    </w:p>
    <w:p>
      <w:pPr>
        <w:spacing w:after="0" w:line="188" w:lineRule="exact"/>
        <w:rPr>
          <w:sz w:val="20"/>
          <w:szCs w:val="20"/>
          <w:color w:val="auto"/>
        </w:rPr>
      </w:pPr>
    </w:p>
    <w:p>
      <w:pPr>
        <w:jc w:val="both"/>
        <w:ind w:firstLine="305"/>
        <w:spacing w:after="0" w:line="286" w:lineRule="auto"/>
        <w:rPr>
          <w:sz w:val="20"/>
          <w:szCs w:val="20"/>
          <w:color w:val="auto"/>
        </w:rPr>
      </w:pPr>
      <w:r>
        <w:rPr>
          <w:rFonts w:ascii="Arial" w:cs="Arial" w:eastAsia="Arial" w:hAnsi="Arial"/>
          <w:sz w:val="17"/>
          <w:szCs w:val="17"/>
          <w:color w:val="auto"/>
        </w:rPr>
        <w:t>In January 2017, the Company also entered into a separate services agreement with Amgen to provide certain services related to process development, manufacturing, materials supply, discovery studies, and other consulting services related to ARO-LPA. During the three and nine months ended June 30, 2017, work orders under this services agreement generated approximately $0.8 million and $1.4 million of revenue, respectively.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debt securities and may, from time to time, also invest in long-term debt securities. Investments at June 30, 2017 consisted of corporate bonds with maturities remaining of less than one year. The Company may also invest excess cash balances in certificates of deposits, money market accounts, government-sponsored enterprise securities, corporate bonds and/or commercial paper. The Company accounts for its investments in accordance with FASB ASC 320, Investments – Debt and Equity Securities. At June 30, 2017, all investments were classified as held-to-maturity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short-term investments as of June 30, 2017, and September 30,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As of June 30, 2017</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36,754,754</w:t>
            </w: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(303,620)</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36,451,134</w:t>
            </w: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36,754,754</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36,451,134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September 30, 2016</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600,334</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442,915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Research equipment</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9,600,062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7,490,400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12,161,833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11,885,365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22,494,307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19,899,521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(6,359,316)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(4,512,760)</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16,134,991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15,386,761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305"/>
        <w:spacing w:after="0" w:line="277" w:lineRule="auto"/>
        <w:rPr>
          <w:sz w:val="20"/>
          <w:szCs w:val="20"/>
          <w:color w:val="auto"/>
        </w:rPr>
      </w:pPr>
      <w:r>
        <w:rPr>
          <w:rFonts w:ascii="Arial" w:cs="Arial" w:eastAsia="Arial" w:hAnsi="Arial"/>
          <w:sz w:val="18"/>
          <w:szCs w:val="18"/>
          <w:color w:val="auto"/>
        </w:rPr>
        <w:t>During the nine months ended June 30, 2017, the Company’s Research equipment increased as the Company continues to build out its new research facility in Madison, Wisconsin.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22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approximately $346,279. The patents associated with the Novartis RNAi asset acquisition are being amortized over the estimated life remaining at the time of acquisition, which was 14 years, and the accumulated amortization of the assets is approximately $3,621,389. Amortization expense for the three and nine months ended June 30, 2017 was $425,107 and $1,275,322, respectively. Amortization expense for the three and nine months ended June 30, 2016 was $425,107 and $1,289,206, respectively. Amortization expense is expected to be approximately $425,107 for the remainder of fiscal year 2017, $1,700,429 in 2018, $1,700,429 in 2019, $1,700,429 in 2020, $1,700,429 in 2021, $1,700,429 in 2022, and $11,962,294 thereafter.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31"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Intangible assets</w:t>
            </w: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rPr>
              <w:t>subject to</w:t>
            </w: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6"/>
              </w:rPr>
              <w:t>amortization</w:t>
            </w: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2016</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22,164,868</w:t>
            </w:r>
          </w:p>
        </w:tc>
        <w:tc>
          <w:tcPr>
            <w:tcW w:w="1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(1,275,322)</w:t>
            </w: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Balance at June 30, 2017</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20,889,546</w:t>
            </w:r>
          </w:p>
        </w:tc>
        <w:tc>
          <w:tcPr>
            <w:tcW w:w="18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680" w:firstLine="518"/>
        <w:spacing w:after="0" w:line="308" w:lineRule="auto"/>
        <w:rPr>
          <w:sz w:val="20"/>
          <w:szCs w:val="20"/>
          <w:color w:val="auto"/>
        </w:rPr>
      </w:pPr>
      <w:r>
        <w:rPr>
          <w:rFonts w:ascii="Arial" w:cs="Arial" w:eastAsia="Arial" w:hAnsi="Arial"/>
          <w:sz w:val="17"/>
          <w:szCs w:val="17"/>
          <w:color w:val="auto"/>
        </w:rPr>
        <w:t>At June 30, 2017, the Company had a total of 150,000,000 shares of capital stock authorized for issuance, consisting of 145,000,000 shares of Common Stock, par value $0.001 per share, and 5,000,000 shares of Preferred Stock, par value $0.001 per share.</w:t>
      </w:r>
    </w:p>
    <w:p>
      <w:pPr>
        <w:spacing w:after="0" w:line="14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At June 30, 2017, 74,772,103 shares of Common Stock were outstanding. At June 30, 2017, 8,978,823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During the nine months ended June 30, 2017, 15,652 shares of Series C Preferred Stock were converted into 2,670,990 shares of Common Stock. No preferred stock was outstanding as of June 30,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right="40" w:firstLine="518"/>
        <w:spacing w:after="0" w:line="286" w:lineRule="auto"/>
        <w:rPr>
          <w:sz w:val="20"/>
          <w:szCs w:val="20"/>
          <w:color w:val="auto"/>
        </w:rPr>
      </w:pPr>
      <w:r>
        <w:rPr>
          <w:rFonts w:ascii="Arial" w:cs="Arial" w:eastAsia="Arial" w:hAnsi="Arial"/>
          <w:sz w:val="16"/>
          <w:szCs w:val="16"/>
          <w:color w:val="auto"/>
        </w:rPr>
        <w:t>On March 21, 2017, the Board of Directors (the “Board”) of the Company authorized and declared a dividend distribution of one right (a “Right”) for each outstanding share of Common Stock of the Company to stockholders of record at the close of business on March 22, 2017 (the “Record Date”). Each Right entitles the registered holder to purchase from the Company one one-thousandth of a share of Series D Junior Participating Preferred Stock, par value $0.001 per share (the “Preferred Shares”), of the Company at a purchase price of $20 per one one-thousandth of a Preferred Share (the “Purchase Price”). This portion of a share of Preferred Stock would give the holder thereof approximately the same dividend, voting and liquidation rights as would one share of Common Stock, with any variations set forth in the Certificate of Designation, Preferences, and Rights of Series D Junior Participating Preferred Stock attached hereto as Exhibit 3.1. The Rights become exercisable on the earlier of (i) 10 business days following a public announcement that a person has become an “Acquiring Person” by acquiring beneficial ownership of 15% or more of the Common Stock then outstanding, other than as a result of repurchases of Common Stock by the Company or certain inadvertent acquisitions; or (ii) 10 business days (or such later date as the Board shall determine prior to the time a person becomes an Acquiring Person) after the commencement of a tender offer or an exchange offer by or on behalf of any person (other than the Company and certain related entities) that, if completed, would result in such person becoming an Acquiring Person. In the event that a person becomes an Acquiring Person, each holder of a Right shall thereafter have the right to receive, upon exercise, Common Stock (or, in certain circumstances, other securities, cash, or other assets of the Company) having a value equal to two times the Purchase Price. The Rights expire on March 21, 2018.</w:t>
      </w:r>
    </w:p>
    <w:p>
      <w:pPr>
        <w:spacing w:after="0" w:line="175"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On November 18, 2016, a tranche of 1,745,810 shares was sold to Amgen at a price of $7.16 per share as part of the ARO-LPA Agreement discussed in Note 2 above. The Company received proceeds of $12.5 million in November 2016.</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warrants outstanding at June 30, 2017:</w:t>
      </w:r>
    </w:p>
    <w:p>
      <w:pPr>
        <w:spacing w:after="0" w:line="231"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1000" w:type="dxa"/>
            <w:vAlign w:val="bottom"/>
          </w:tcPr>
          <w:p>
            <w:pPr>
              <w:jc w:val="right"/>
              <w:ind w:right="156"/>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71"/>
        </w:trPr>
        <w:tc>
          <w:tcPr>
            <w:tcW w:w="3840" w:type="dxa"/>
            <w:vAlign w:val="bottom"/>
            <w:gridSpan w:val="4"/>
            <w:vMerge w:val="continue"/>
          </w:tcPr>
          <w:p>
            <w:pPr>
              <w:spacing w:after="0"/>
              <w:rPr>
                <w:sz w:val="14"/>
                <w:szCs w:val="14"/>
                <w:color w:val="auto"/>
              </w:rPr>
            </w:pPr>
          </w:p>
        </w:tc>
        <w:tc>
          <w:tcPr>
            <w:tcW w:w="1000" w:type="dxa"/>
            <w:vAlign w:val="bottom"/>
          </w:tcPr>
          <w:p>
            <w:pPr>
              <w:jc w:val="right"/>
              <w:ind w:right="176"/>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10"/>
        </w:trPr>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440" w:type="dxa"/>
            <w:vAlign w:val="bottom"/>
            <w:tcBorders>
              <w:top w:val="single" w:sz="8" w:color="auto"/>
            </w:tcBorders>
            <w:shd w:val="clear" w:color="auto" w:fill="CFF0FC"/>
          </w:tcPr>
          <w:p>
            <w:pPr>
              <w:jc w:val="right"/>
              <w:ind w:right="2870"/>
              <w:spacing w:after="0"/>
              <w:rPr>
                <w:sz w:val="20"/>
                <w:szCs w:val="20"/>
                <w:color w:val="auto"/>
              </w:rPr>
            </w:pPr>
            <w:r>
              <w:rPr>
                <w:rFonts w:ascii="Arial" w:cs="Arial" w:eastAsia="Arial" w:hAnsi="Arial"/>
                <w:sz w:val="18"/>
                <w:szCs w:val="18"/>
                <w:color w:val="auto"/>
              </w:rPr>
              <w:t>2.12</w:t>
            </w: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287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277,284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4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gridSpan w:val="4"/>
          </w:tcPr>
          <w:p>
            <w:pPr>
              <w:spacing w:after="0"/>
              <w:rPr>
                <w:sz w:val="20"/>
                <w:szCs w:val="20"/>
                <w:color w:val="auto"/>
              </w:rPr>
            </w:pPr>
            <w:r>
              <w:rPr>
                <w:rFonts w:ascii="Arial" w:cs="Arial" w:eastAsia="Arial" w:hAnsi="Arial"/>
                <w:sz w:val="18"/>
                <w:szCs w:val="18"/>
                <w:color w:val="auto"/>
              </w:rPr>
              <w:t>Total warrants outstanding</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432,284</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 leases approximately 8,500 square feet of office space for its corporate headquarters in Pasadena, California. The lease will expire in September 2019. Monthly rental payments are approximately $27,000 per month, increasing approximately 3% annually.</w:t>
      </w:r>
    </w:p>
    <w:p>
      <w:pPr>
        <w:spacing w:after="0" w:line="279" w:lineRule="exact"/>
        <w:rPr>
          <w:sz w:val="20"/>
          <w:szCs w:val="20"/>
          <w:color w:val="auto"/>
        </w:rPr>
      </w:pPr>
    </w:p>
    <w:p>
      <w:pPr>
        <w:ind w:firstLine="481"/>
        <w:spacing w:after="0" w:line="255" w:lineRule="auto"/>
        <w:rPr>
          <w:sz w:val="20"/>
          <w:szCs w:val="20"/>
          <w:color w:val="auto"/>
        </w:rPr>
      </w:pPr>
      <w:r>
        <w:rPr>
          <w:rFonts w:ascii="Arial" w:cs="Arial" w:eastAsia="Arial" w:hAnsi="Arial"/>
          <w:sz w:val="18"/>
          <w:szCs w:val="18"/>
          <w:color w:val="auto"/>
        </w:rPr>
        <w:t>The Company also leases approximately 60,000 square feet of office and laboratory space for its research facility in Madison, Wisconsin. The lease will expire in September 2026. As part of this lease, the Company was provided a primary tenant improvement allowance of $2.1 million, which is accounted for as Deferred Rent and a secondary tenant improvement allowance of $2.7 million which is accounted for as a Note Payable on the Company’s Consolidated Balance Sheet. Monthly rental payments, including common area maintenance, real estate taxes and payments of principal and interest on the Note Payable are approximately $180,200 per month. The monthly rental payments (excluding principal and interest on the Note Payable), will increase approximately 2.5% annually.</w:t>
      </w:r>
    </w:p>
    <w:p>
      <w:pPr>
        <w:spacing w:after="0" w:line="193"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Company previously leased additional research facility space in Middleton, Wisconsin; however, this lease expired in December 2016. Monthly rental expense for the Middleton space was approximately $14,000. Other monthly rental expenses included common area maintenance and real estate taxes totaling approximately $4,000 per month.</w:t>
      </w:r>
    </w:p>
    <w:p>
      <w:pPr>
        <w:spacing w:after="0" w:line="18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Facility rent expense for the three and nine months ended June 30, 2017 was $328,600 and $1,126,500, respectively, and facility rent expense for the three and nine months ended June 30, 2016 was $232,000 and $659,000,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ind w:left="580"/>
        <w:spacing w:after="0"/>
        <w:rPr>
          <w:sz w:val="20"/>
          <w:szCs w:val="20"/>
          <w:color w:val="auto"/>
        </w:rPr>
      </w:pPr>
      <w:r>
        <w:rPr>
          <w:rFonts w:ascii="Arial" w:cs="Arial" w:eastAsia="Arial" w:hAnsi="Arial"/>
          <w:sz w:val="18"/>
          <w:szCs w:val="18"/>
          <w:color w:val="auto"/>
        </w:rPr>
        <w:t>As of June 30, 2017, future minimum lease payments due in fiscal years under operating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27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373,394</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2018</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1,531,234</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1,435,409</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2020</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1,044,431</w:t>
            </w:r>
          </w:p>
        </w:tc>
        <w:tc>
          <w:tcPr>
            <w:tcW w:w="12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1,070,496</w:t>
            </w:r>
          </w:p>
        </w:tc>
        <w:tc>
          <w:tcPr>
            <w:tcW w:w="120" w:type="dxa"/>
            <w:vAlign w:val="bottom"/>
            <w:shd w:val="clear" w:color="auto" w:fill="CFF0FC"/>
          </w:tcPr>
          <w:p>
            <w:pPr>
              <w:spacing w:after="0"/>
              <w:rPr>
                <w:sz w:val="18"/>
                <w:szCs w:val="18"/>
                <w:color w:val="auto"/>
              </w:rPr>
            </w:pPr>
          </w:p>
        </w:tc>
      </w:tr>
      <w:tr>
        <w:trPr>
          <w:trHeight w:val="216"/>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 and thereafter</w:t>
            </w:r>
          </w:p>
        </w:tc>
        <w:tc>
          <w:tcPr>
            <w:tcW w:w="25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5,766,495</w:t>
            </w:r>
          </w:p>
        </w:tc>
        <w:tc>
          <w:tcPr>
            <w:tcW w:w="120" w:type="dxa"/>
            <w:vAlign w:val="bottom"/>
            <w:tcBorders>
              <w:bottom w:val="single" w:sz="8" w:color="CFF0FC"/>
            </w:tcBorders>
          </w:tcPr>
          <w:p>
            <w:pPr>
              <w:spacing w:after="0"/>
              <w:rPr>
                <w:sz w:val="18"/>
                <w:szCs w:val="18"/>
                <w:color w:val="auto"/>
              </w:rPr>
            </w:pPr>
          </w:p>
        </w:tc>
      </w:tr>
      <w:tr>
        <w:trPr>
          <w:trHeight w:val="210"/>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11,221,459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Note Payable</w:t>
      </w:r>
    </w:p>
    <w:p>
      <w:pPr>
        <w:spacing w:after="0" w:line="117"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As part of the Company’s lease for its research facility in Madison, Wisconsin discussed above, the Company entered into a $2.7 million promissory note payable with its landlord to finance certain tenant improvements made to the new facility. The note will be amortized over the 10-year term of the lease, commencing on October 1, 2016. The note bears interest at a rate of 7.1% and is payable in equal monthly installments of principal and interest.</w:t>
      </w:r>
    </w:p>
    <w:p>
      <w:pPr>
        <w:spacing w:after="0" w:line="147"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w w:val="91"/>
              </w:rPr>
              <w:t>As of June 30, 2017, future principal payments due in fiscal years under the note payable are as follows: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4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223,820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 and thereafter</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1,603,038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2,583,382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 xml:space="preserve">The Company and certain of its officers and directors were named as defendants in a putative consolidated class action in the United States District Court for the Central District of California regarding certain public statements in connection with the Company’s hepatitis B drug research. The consolidated class action, initially filed as </w:t>
      </w:r>
      <w:r>
        <w:rPr>
          <w:rFonts w:ascii="Arial" w:cs="Arial" w:eastAsia="Arial" w:hAnsi="Arial"/>
          <w:sz w:val="16"/>
          <w:szCs w:val="16"/>
          <w:i w:val="1"/>
          <w:iCs w:val="1"/>
          <w:color w:val="auto"/>
        </w:rPr>
        <w:t>Wang v. Arrowhead Research Corp., et al.</w:t>
      </w:r>
      <w:r>
        <w:rPr>
          <w:rFonts w:ascii="Arial" w:cs="Arial" w:eastAsia="Arial" w:hAnsi="Arial"/>
          <w:sz w:val="16"/>
          <w:szCs w:val="16"/>
          <w:color w:val="auto"/>
        </w:rPr>
        <w:t xml:space="preserve">, No. 2:14-cv-07890 (C.D. Cal., filed Oct. 10, 2014), and </w:t>
      </w:r>
      <w:r>
        <w:rPr>
          <w:rFonts w:ascii="Arial" w:cs="Arial" w:eastAsia="Arial" w:hAnsi="Arial"/>
          <w:sz w:val="16"/>
          <w:szCs w:val="16"/>
          <w:i w:val="1"/>
          <w:iCs w:val="1"/>
          <w:color w:val="auto"/>
        </w:rPr>
        <w:t>Eskinazi v. Arrowhead</w:t>
      </w:r>
      <w:r>
        <w:rPr>
          <w:rFonts w:ascii="Arial" w:cs="Arial" w:eastAsia="Arial" w:hAnsi="Arial"/>
          <w:sz w:val="16"/>
          <w:szCs w:val="16"/>
          <w:color w:val="auto"/>
        </w:rPr>
        <w:t xml:space="preserve"> </w:t>
      </w:r>
      <w:r>
        <w:rPr>
          <w:rFonts w:ascii="Arial" w:cs="Arial" w:eastAsia="Arial" w:hAnsi="Arial"/>
          <w:sz w:val="16"/>
          <w:szCs w:val="16"/>
          <w:i w:val="1"/>
          <w:iCs w:val="1"/>
          <w:color w:val="auto"/>
        </w:rPr>
        <w:t>Research Corp., et al.</w:t>
      </w:r>
      <w:r>
        <w:rPr>
          <w:rFonts w:ascii="Arial" w:cs="Arial" w:eastAsia="Arial" w:hAnsi="Arial"/>
          <w:sz w:val="16"/>
          <w:szCs w:val="16"/>
          <w:color w:val="auto"/>
        </w:rPr>
        <w:t>, No. 2:14-cv-07911 (C.D. Cal., filed Oct. 13, 2014), asserted claims under Sections 10(b) and 20(a) of the Securities Exchange Act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1934 and sought damages in an unspecified amount. Additionally, three putative stockholder derivative actions captioned </w:t>
      </w:r>
      <w:r>
        <w:rPr>
          <w:rFonts w:ascii="Arial" w:cs="Arial" w:eastAsia="Arial" w:hAnsi="Arial"/>
          <w:sz w:val="16"/>
          <w:szCs w:val="16"/>
          <w:i w:val="1"/>
          <w:iCs w:val="1"/>
          <w:color w:val="auto"/>
        </w:rPr>
        <w:t>Weisman v. Anzalone et al</w:t>
      </w:r>
      <w:r>
        <w:rPr>
          <w:rFonts w:ascii="Arial" w:cs="Arial" w:eastAsia="Arial" w:hAnsi="Arial"/>
          <w:sz w:val="16"/>
          <w:szCs w:val="16"/>
          <w:color w:val="auto"/>
        </w:rPr>
        <w:t xml:space="preserve">., No. 2:14-cv-08982 (C.D. Cal., filed Nov. 20, 2014), </w:t>
      </w:r>
      <w:r>
        <w:rPr>
          <w:rFonts w:ascii="Arial" w:cs="Arial" w:eastAsia="Arial" w:hAnsi="Arial"/>
          <w:sz w:val="16"/>
          <w:szCs w:val="16"/>
          <w:i w:val="1"/>
          <w:iCs w:val="1"/>
          <w:color w:val="auto"/>
        </w:rPr>
        <w:t>Bernstein (Backus) v. Anzalone, et al.</w:t>
      </w:r>
      <w:r>
        <w:rPr>
          <w:rFonts w:ascii="Arial" w:cs="Arial" w:eastAsia="Arial" w:hAnsi="Arial"/>
          <w:sz w:val="16"/>
          <w:szCs w:val="16"/>
          <w:color w:val="auto"/>
        </w:rPr>
        <w:t xml:space="preserve">, No. 2:14-cv-09247 (C.D. Cal., filed Dec. 2, 2014); and </w:t>
      </w:r>
      <w:r>
        <w:rPr>
          <w:rFonts w:ascii="Arial" w:cs="Arial" w:eastAsia="Arial" w:hAnsi="Arial"/>
          <w:sz w:val="16"/>
          <w:szCs w:val="16"/>
          <w:i w:val="1"/>
          <w:iCs w:val="1"/>
          <w:color w:val="auto"/>
        </w:rPr>
        <w:t>Johnson v.</w:t>
      </w:r>
      <w:r>
        <w:rPr>
          <w:rFonts w:ascii="Arial" w:cs="Arial" w:eastAsia="Arial" w:hAnsi="Arial"/>
          <w:sz w:val="16"/>
          <w:szCs w:val="16"/>
          <w:color w:val="auto"/>
        </w:rPr>
        <w:t xml:space="preserve"> </w:t>
      </w:r>
      <w:r>
        <w:rPr>
          <w:rFonts w:ascii="Arial" w:cs="Arial" w:eastAsia="Arial" w:hAnsi="Arial"/>
          <w:sz w:val="16"/>
          <w:szCs w:val="16"/>
          <w:i w:val="1"/>
          <w:iCs w:val="1"/>
          <w:color w:val="auto"/>
        </w:rPr>
        <w:t>Anzalone, et al.</w:t>
      </w:r>
      <w:r>
        <w:rPr>
          <w:rFonts w:ascii="Arial" w:cs="Arial" w:eastAsia="Arial" w:hAnsi="Arial"/>
          <w:sz w:val="16"/>
          <w:szCs w:val="16"/>
          <w:color w:val="auto"/>
        </w:rPr>
        <w:t>, No. 2:15-cv-00446 (C.D. Cal., filed Jan. 22, 2015), were filed in the United States District Court for the Central District of California,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alleging breach of fiduciary duty by the Company’s Board of Directors in connection with the alleged facts underlying the securities claims. An additional consolidated derivative action asserting similar claims is pending in Los Angeles County Superior Court, initially filed as </w:t>
      </w:r>
      <w:r>
        <w:rPr>
          <w:rFonts w:ascii="Arial" w:cs="Arial" w:eastAsia="Arial" w:hAnsi="Arial"/>
          <w:sz w:val="16"/>
          <w:szCs w:val="16"/>
          <w:i w:val="1"/>
          <w:iCs w:val="1"/>
          <w:color w:val="auto"/>
        </w:rPr>
        <w:t>Bacchus v. Anzalone, et al.</w:t>
      </w:r>
      <w:r>
        <w:rPr>
          <w:rFonts w:ascii="Arial" w:cs="Arial" w:eastAsia="Arial" w:hAnsi="Arial"/>
          <w:sz w:val="16"/>
          <w:szCs w:val="16"/>
          <w:color w:val="auto"/>
        </w:rPr>
        <w:t xml:space="preserve">, (L.A. Super., filed Mar. 5, 2015); and </w:t>
      </w:r>
      <w:r>
        <w:rPr>
          <w:rFonts w:ascii="Arial" w:cs="Arial" w:eastAsia="Arial" w:hAnsi="Arial"/>
          <w:sz w:val="16"/>
          <w:szCs w:val="16"/>
          <w:i w:val="1"/>
          <w:iCs w:val="1"/>
          <w:color w:val="auto"/>
        </w:rPr>
        <w:t>Jackson v. Anzalone, et al.</w:t>
      </w:r>
      <w:r>
        <w:rPr>
          <w:rFonts w:ascii="Arial" w:cs="Arial" w:eastAsia="Arial" w:hAnsi="Arial"/>
          <w:sz w:val="16"/>
          <w:szCs w:val="16"/>
          <w:color w:val="auto"/>
        </w:rPr>
        <w:t xml:space="preserve"> (L.A. Super., filed Mar. 16, 2015). Each of these suits seeks damages in unspecified amounts and some seek various forms of injunctive relief. On October 7, 2016, the federal district court dismissed the consolidated class action with prejudice. On October 10, 2016 the plaintiffs appealed the dismissal of the consolidated class action to the United States Court of Appeals for the Ninth Circuit. The Weisman and Johnson derivative actions have been dismissed without prejudice. The Bernstein derivative action remains pending and is stayed pending the related consolidated class action. The Company believes it has meritorious defenses and intends to vigorously defend itself in each of these matters. The Company makes provisions for liabilities when it is both probable that a liability has been incurred and the amount can be reasonably estimated. No such liability has been recorded related to these matters. The Company does not expect these matters to have a material effect on its Consolidated Financial Statements. With regard to legal fees, such as attorney fees related to these matters or any other legal matters, the Company recognizes such costs as incurred.</w:t>
      </w:r>
    </w:p>
    <w:p>
      <w:pPr>
        <w:spacing w:after="0" w:line="17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The Company and certain executive officers were named as defendants in a putative consolidated class action in the United States District Court for the Central District of California regarding certain public statements in connection with the Company’s drug research programs. The consolidated class action, initially filed as </w:t>
      </w:r>
      <w:r>
        <w:rPr>
          <w:rFonts w:ascii="Arial" w:cs="Arial" w:eastAsia="Arial" w:hAnsi="Arial"/>
          <w:sz w:val="17"/>
          <w:szCs w:val="17"/>
          <w:i w:val="1"/>
          <w:iCs w:val="1"/>
          <w:color w:val="auto"/>
        </w:rPr>
        <w:t>Meller v. Arrowhead Pharmaceuticals, Inc., et al.</w:t>
      </w:r>
      <w:r>
        <w:rPr>
          <w:rFonts w:ascii="Arial" w:cs="Arial" w:eastAsia="Arial" w:hAnsi="Arial"/>
          <w:sz w:val="17"/>
          <w:szCs w:val="17"/>
          <w:color w:val="auto"/>
        </w:rPr>
        <w:t xml:space="preserve">, No. 2:16-cv-08505 (C.D. Cal, filed Nov. 15, 2016 ), </w:t>
      </w:r>
      <w:r>
        <w:rPr>
          <w:rFonts w:ascii="Arial" w:cs="Arial" w:eastAsia="Arial" w:hAnsi="Arial"/>
          <w:sz w:val="17"/>
          <w:szCs w:val="17"/>
          <w:i w:val="1"/>
          <w:iCs w:val="1"/>
          <w:color w:val="auto"/>
        </w:rPr>
        <w:t>Siegel v. Arrowhead Pharmaceuticals,</w:t>
      </w:r>
      <w:r>
        <w:rPr>
          <w:rFonts w:ascii="Arial" w:cs="Arial" w:eastAsia="Arial" w:hAnsi="Arial"/>
          <w:sz w:val="17"/>
          <w:szCs w:val="17"/>
          <w:color w:val="auto"/>
        </w:rPr>
        <w:t xml:space="preserve"> </w:t>
      </w:r>
      <w:r>
        <w:rPr>
          <w:rFonts w:ascii="Arial" w:cs="Arial" w:eastAsia="Arial" w:hAnsi="Arial"/>
          <w:sz w:val="17"/>
          <w:szCs w:val="17"/>
          <w:i w:val="1"/>
          <w:iCs w:val="1"/>
          <w:color w:val="auto"/>
        </w:rPr>
        <w:t>Inc., et al</w:t>
      </w:r>
      <w:r>
        <w:rPr>
          <w:rFonts w:ascii="Arial" w:cs="Arial" w:eastAsia="Arial" w:hAnsi="Arial"/>
          <w:sz w:val="17"/>
          <w:szCs w:val="17"/>
          <w:color w:val="auto"/>
        </w:rPr>
        <w:t>., No. 2:16-cv-8954 (C.D. Cal., filed Dec. 2, 2016), and</w:t>
      </w:r>
      <w:r>
        <w:rPr>
          <w:rFonts w:ascii="Arial" w:cs="Arial" w:eastAsia="Arial" w:hAnsi="Arial"/>
          <w:sz w:val="17"/>
          <w:szCs w:val="17"/>
          <w:i w:val="1"/>
          <w:iCs w:val="1"/>
          <w:color w:val="auto"/>
        </w:rPr>
        <w:t xml:space="preserve"> Unz v. Arrowhead Pharmaceuticals, Inc., et al</w:t>
      </w:r>
      <w:r>
        <w:rPr>
          <w:rFonts w:ascii="Arial" w:cs="Arial" w:eastAsia="Arial" w:hAnsi="Arial"/>
          <w:sz w:val="17"/>
          <w:szCs w:val="17"/>
          <w:color w:val="auto"/>
        </w:rPr>
        <w:t>., No.2:17-cv-00310 (C.D. Cal., filed Jan. 13,</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2017) asserts claims under Sections 10(b) and 20(a) of the Securities Exchange Act of 1934 regarding certain public statements in connection with the Company’s drug research programs and seek damages in an unspecified amount. Additionally, a putative stockholder derivative action captioned </w:t>
      </w:r>
      <w:r>
        <w:rPr>
          <w:rFonts w:ascii="Arial" w:cs="Arial" w:eastAsia="Arial" w:hAnsi="Arial"/>
          <w:sz w:val="17"/>
          <w:szCs w:val="17"/>
          <w:i w:val="1"/>
          <w:iCs w:val="1"/>
          <w:color w:val="auto"/>
        </w:rPr>
        <w:t>Johnson v.</w:t>
      </w:r>
      <w:r>
        <w:rPr>
          <w:rFonts w:ascii="Arial" w:cs="Arial" w:eastAsia="Arial" w:hAnsi="Arial"/>
          <w:sz w:val="17"/>
          <w:szCs w:val="17"/>
          <w:color w:val="auto"/>
        </w:rPr>
        <w:t xml:space="preserve"> </w:t>
      </w:r>
      <w:r>
        <w:rPr>
          <w:rFonts w:ascii="Arial" w:cs="Arial" w:eastAsia="Arial" w:hAnsi="Arial"/>
          <w:sz w:val="17"/>
          <w:szCs w:val="17"/>
          <w:i w:val="1"/>
          <w:iCs w:val="1"/>
          <w:color w:val="auto"/>
        </w:rPr>
        <w:t>Anzalone, et al</w:t>
      </w:r>
      <w:r>
        <w:rPr>
          <w:rFonts w:ascii="Arial" w:cs="Arial" w:eastAsia="Arial" w:hAnsi="Arial"/>
          <w:sz w:val="17"/>
          <w:szCs w:val="17"/>
          <w:color w:val="auto"/>
        </w:rPr>
        <w:t>., (Los Angeles County Superior Court, filed January 19, 2017) asserting substantially similar claims is pending in Los Angeles County</w:t>
      </w:r>
      <w:r>
        <w:rPr>
          <w:rFonts w:ascii="Arial" w:cs="Arial" w:eastAsia="Arial" w:hAnsi="Arial"/>
          <w:sz w:val="17"/>
          <w:szCs w:val="17"/>
          <w:i w:val="1"/>
          <w:iCs w:val="1"/>
          <w:color w:val="auto"/>
        </w:rPr>
        <w:t xml:space="preserve"> </w:t>
      </w:r>
      <w:r>
        <w:rPr>
          <w:rFonts w:ascii="Arial" w:cs="Arial" w:eastAsia="Arial" w:hAnsi="Arial"/>
          <w:sz w:val="17"/>
          <w:szCs w:val="17"/>
          <w:color w:val="auto"/>
        </w:rPr>
        <w:t>Superior Court and is stayed pending the related consolidated class action. Two additional putative stockholder derivative actions, captioned Lucas v. Anzalone, et al., No. 2:17-cv-03207 (C.D. Cal., filed April 28,</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5" w:name="page16"/>
    <w:bookmarkEnd w:id="15"/>
    <w:p>
      <w:pPr>
        <w:ind w:right="20"/>
        <w:spacing w:after="0" w:line="272" w:lineRule="auto"/>
        <w:rPr>
          <w:sz w:val="20"/>
          <w:szCs w:val="20"/>
          <w:color w:val="auto"/>
        </w:rPr>
      </w:pPr>
      <w:r>
        <w:rPr>
          <w:rFonts w:ascii="Arial" w:cs="Arial" w:eastAsia="Arial" w:hAnsi="Arial"/>
          <w:sz w:val="17"/>
          <w:szCs w:val="17"/>
          <w:color w:val="auto"/>
        </w:rPr>
        <w:t>2017), and Singh v. Anzalone, et al., No. 2:17-cv-03160 (C.D. Cal., filed April 27, 2017), alleging breach of fiduciary duty by the Company’s Board of Directors in connection with the alleged facts underlying the securities claims, are pending in the United States District Court for the Central District of California. The Lucas and Singh actions have been consolidated. The Company believes it has meritorious defenses and intends to vigorously defend itself in these matters. The Company makes provisions for liabilities when it is both probable that a liability has been incurred and the amount can be reasonably estimated. No such liability has been recorded related to these matters. The Company cannot predict the ultimate outcome of this matter and cannot accurately estimate any potential liability the Company may incur or the impact of the results of this matter on the Company. With regard to legal fees, such as attorney fees related to these matters or any other legal matters, the Company recognizes such costs as incurred.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for toxicology studies, and for clinical studies. As of June 30, 2017, these future commitments were estimated at approximately $14.3 million, of which approximately $5.0 million is expected to be incurred in fiscal 2017, and $9.3 million is expected to be incurred beyond fiscal 2017.</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three and nine months ended June 30, 2017 and 2016, the Company did not reach any milestones. In certain agreements, the Company may be required to make mid to high single-digit percentage royalty payments based on a percentage of the sales of the relevant products.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Arrowhead has two plans that provide for equity-based compensation. Under the 2004 Equity Incentive Plan and 2013 Incentive Plan, as of June 30, 2017, 2,132,786 and 6,329,079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June 30, 2017, there were options granted and outstanding to purchase 2,132,786 and 3,111,017 shares of Common Stock under the 2004 Equity Incentive Plan and the 2013 Incentive Plan, respectively, and there were 3,098,001 restricted stock units granted and outstanding under the 2013 Incentive Plan. Also, as of June 30, 2017, there were 493,625 shares reserved for options and 23,333 restricted stock units issued as inducement grants to new employees outside of equity compensation plans. During the three and nine months ended June 30, 2017 no options or restricted stock units were granted under the 2004 Equity Incentive Plan, 18,000 options and 591,000 options were granted under the 2013 Incentive Plan, in each period, 978,000 and 2,623,000 restricted stock units were granted under the 2013 Incentive Plan in each period, 47,000 options were granted as inducement awards to new employees outside of equity incentive plans in each period, and no restricted stock units were granted as inducement awards to new employees outside of equity incentive plans.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2016</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6,691,200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638,000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(1,456,041)</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(135,730)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2017</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5,737,429</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w w:val="86"/>
              </w:rPr>
              <w:t>6.6 years</w:t>
            </w:r>
          </w:p>
        </w:tc>
        <w:tc>
          <w:tcPr>
            <w:tcW w:w="34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37,440</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Exercisable At June 30, 2017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4,030,677</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w w:val="86"/>
              </w:rPr>
              <w:t>5.8 years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related to stock options for the three and nine months ended June 30, 2017 was $1,021,653 and $3,558,082,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respectively, and stock-based compensation expense related to stock options for the three and nine months ended June 30, 2016 was $1,476,384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$4,205,413, respectively. The Company does not recognize an income tax benefit as the Company is currently operating at a loss and an actual income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 may not be realized. For non-qualified stock options, the loss creates a timing difference, resulting in a deferred tax asset, which is fully reserved by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jc w:val="both"/>
        <w:ind w:right="580" w:firstLine="518"/>
        <w:spacing w:after="0" w:line="264" w:lineRule="auto"/>
        <w:rPr>
          <w:sz w:val="20"/>
          <w:szCs w:val="20"/>
          <w:color w:val="auto"/>
        </w:rPr>
      </w:pPr>
      <w:r>
        <w:rPr>
          <w:rFonts w:ascii="Arial" w:cs="Arial" w:eastAsia="Arial" w:hAnsi="Arial"/>
          <w:sz w:val="18"/>
          <w:szCs w:val="18"/>
          <w:color w:val="auto"/>
        </w:rPr>
        <w:t>The grant date fair value of the options granted by the Company for the three and nine months ended June 30, 2017 was $70,937 and $849,816, respectively, and the grant date fair value of the options granted by the Company for the three and nine months ended June 30, 2016 was $30,440 and $6,359,672, respectively.</w:t>
      </w:r>
    </w:p>
    <w:p>
      <w:pPr>
        <w:spacing w:after="0" w:line="18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intrinsic value of the options exercised during the three and nine months ended June 30, 2017 was $0 and $35,512, respectively, and the intrinsic value of the options exercised during the three and nine months ended June 30, 2016 was $0 and $3,515, respectively.</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As of June 30, 2017, the pre-tax compensation expense for all outstanding unvested stock options in the amount of approximately $5,749,244 will be recognized in the Company’s results of operations over a weighted average period of 1.9 years.</w:t>
      </w:r>
    </w:p>
    <w:p>
      <w:pPr>
        <w:spacing w:after="0" w:line="170"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3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Nine Months Ended June 30,</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10"/>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1.34 – 2.31%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1.42 – 1.89%</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79%</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89%</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5.75 – 6.25</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$1.33</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$4.59</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Restricted stock units (RSUs), including time-based and performance-based awards, were granted under the Company’s 2013 Incentive Plan and as inducement grants granted outside of the Plan. During the three and nine months ended June 30, 2017, the Company awarded 978,000 and 2,623,000 restricted stock units, respectively, to certain members of management. At vesting, each existing RSU will be exchanged for one share of the Company’s Common Stock. RSU recipients may elect to net share settle upon vesting, in which case the Company pays the employee’s income taxes withheld upon vesting and withholds a number of shares of equal value. RSU awards generally vest subject to the satisfaction of service requirements or the satisfaction of both service requirements and achievement of certain performance targets.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2016</w:t>
            </w:r>
          </w:p>
        </w:tc>
        <w:tc>
          <w:tcPr>
            <w:tcW w:w="25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1,356,667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top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Granted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2,623,000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39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(773,333)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Forfeited</w:t>
            </w:r>
          </w:p>
        </w:tc>
        <w:tc>
          <w:tcPr>
            <w:tcW w:w="3940" w:type="dxa"/>
            <w:vAlign w:val="bottom"/>
            <w:gridSpan w:val="3"/>
          </w:tcPr>
          <w:p>
            <w:pPr>
              <w:jc w:val="right"/>
              <w:ind w:right="100"/>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2017</w:t>
            </w:r>
          </w:p>
        </w:tc>
        <w:tc>
          <w:tcPr>
            <w:tcW w:w="2520" w:type="dxa"/>
            <w:vAlign w:val="bottom"/>
            <w:tcBorders>
              <w:top w:val="single" w:sz="8" w:color="CFF0FC"/>
              <w:bottom w:val="single" w:sz="8" w:color="CFF0FC"/>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3,121,334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520" w:type="dxa"/>
            <w:vAlign w:val="bottom"/>
            <w:vMerge w:val="restart"/>
          </w:tcPr>
          <w:p>
            <w:pPr>
              <w:jc w:val="right"/>
              <w:ind w:right="1310"/>
              <w:spacing w:after="0"/>
              <w:rPr>
                <w:sz w:val="20"/>
                <w:szCs w:val="20"/>
                <w:color w:val="auto"/>
              </w:rPr>
            </w:pPr>
            <w:r>
              <w:rPr>
                <w:rFonts w:ascii="Arial" w:cs="Arial" w:eastAsia="Arial" w:hAnsi="Arial"/>
                <w:sz w:val="18"/>
                <w:szCs w:val="18"/>
                <w:color w:val="auto"/>
              </w:rPr>
              <w:t>15</w:t>
            </w: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7" w:name="page18"/>
    <w:bookmarkEnd w:id="17"/>
    <w:p>
      <w:pPr>
        <w:ind w:right="40" w:firstLine="518"/>
        <w:spacing w:after="0" w:line="312" w:lineRule="auto"/>
        <w:rPr>
          <w:sz w:val="20"/>
          <w:szCs w:val="20"/>
          <w:color w:val="auto"/>
        </w:rPr>
      </w:pPr>
      <w:r>
        <w:rPr>
          <w:rFonts w:ascii="Arial" w:cs="Arial" w:eastAsia="Arial" w:hAnsi="Arial"/>
          <w:sz w:val="16"/>
          <w:szCs w:val="16"/>
          <w:color w:val="auto"/>
        </w:rPr>
        <w:t>During the three and nine months ended June 30, 2017, the Company recorded $691,575 and $2,323,819 of expense related to RSUs, respectively, and during the three and nine months ended June 30, 2016, the Company recorded $1,274,401 and $3,342,554 of expense related to RSUs, respectively. Such expense is included in stock-based compensation expense in the Company’s Consolidated Statement of Operations and Comprehensive Loss.</w:t>
      </w:r>
    </w:p>
    <w:p>
      <w:pPr>
        <w:spacing w:after="0" w:line="147"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For RSUs, the grant date fair value of the award is based on the Company’s closing stock price at the grant date, with consideration given to the probability of achieving performance conditions for performance based awards.</w:t>
      </w:r>
    </w:p>
    <w:p>
      <w:pPr>
        <w:spacing w:after="0" w:line="17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of June 30, 2017, the pre-tax compensation expense for all unvested RSUs in the amount of approximately $3,222,441 will be recognized in the Company’s results of operations over a weighted average period of 1.3 years.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June 30, 2017 and September 30, 2016 for assets and liabilities measured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30,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38,383,135</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38,383,135</w:t>
            </w:r>
          </w:p>
        </w:tc>
        <w:tc>
          <w:tcPr>
            <w:tcW w:w="4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36,451,134</w:t>
            </w:r>
          </w:p>
        </w:tc>
        <w:tc>
          <w:tcPr>
            <w:tcW w:w="38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36,451,134</w:t>
            </w: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83,113</w:t>
            </w:r>
          </w:p>
        </w:tc>
        <w:tc>
          <w:tcPr>
            <w:tcW w:w="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83,113</w:t>
            </w:r>
          </w:p>
        </w:tc>
        <w:tc>
          <w:tcPr>
            <w:tcW w:w="40" w:type="dxa"/>
            <w:vAlign w:val="bottom"/>
            <w:shd w:val="clear" w:color="auto" w:fill="CFF0FC"/>
          </w:tcPr>
          <w:p>
            <w:pPr>
              <w:spacing w:after="0"/>
              <w:rPr>
                <w:sz w:val="18"/>
                <w:szCs w:val="18"/>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85,366,448</w:t>
            </w: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gridSpan w:val="2"/>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gridSpan w:val="2"/>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85,366,448</w:t>
            </w:r>
          </w:p>
        </w:tc>
        <w:tc>
          <w:tcPr>
            <w:tcW w:w="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1,602,626</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1,602,626</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As part of a financing in December 2012, Arrowhead issued warrants to purchase up to 912,543 shares of Common Stock (the “2012 Warrants”) of which 265,161 warrants were outstanding at June 30, 2017. Further, as part of a financing in January 2013, Arrowhead issued warrants to purchase up to 833,530 shares of Common Stock (the “2013 Warrants” and, together with the 2012 Warrants, the “Warrants”) of which 12,123 warrants were outstanding at June 30, 2017. Each of the Warrants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and Comprehensive Loss. During the three and nine months ended June 30, 2017, the Company recorded a non-cash gain/(loss) from the change in fair value of the derivative liability of $61,915 and $1,490,863, respectively, and during the three and nine months ended June 30, 2016, the Company recorded a non-cash gain/(loss) from the change in fair value of the derivative liability of $(110,859) and $230,082, respectively.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tbl>
      <w:tblPr>
        <w:tblLayout w:type="fixed"/>
        <w:tblInd w:w="520" w:type="dxa"/>
        <w:tblCellMar>
          <w:top w:w="0" w:type="dxa"/>
          <w:left w:w="0" w:type="dxa"/>
          <w:bottom w:w="0" w:type="dxa"/>
          <w:right w:w="0" w:type="dxa"/>
        </w:tblCellMar>
      </w:tblPr>
      <w:tr>
        <w:trPr>
          <w:trHeight w:val="230"/>
        </w:trPr>
        <w:tc>
          <w:tcPr>
            <w:tcW w:w="5500" w:type="dxa"/>
            <w:vAlign w:val="bottom"/>
            <w:gridSpan w:val="3"/>
          </w:tcPr>
          <w:p>
            <w:pPr>
              <w:spacing w:after="0"/>
              <w:rPr>
                <w:sz w:val="20"/>
                <w:szCs w:val="20"/>
                <w:color w:val="auto"/>
              </w:rPr>
            </w:pPr>
            <w:r>
              <w:rPr>
                <w:rFonts w:ascii="Arial" w:cs="Arial" w:eastAsia="Arial" w:hAnsi="Arial"/>
                <w:sz w:val="18"/>
                <w:szCs w:val="18"/>
                <w:color w:val="auto"/>
                <w:w w:val="96"/>
              </w:rPr>
              <w:t>The assumptions used in valuing the derivative liability were as follows: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500" w:type="dxa"/>
            <w:vAlign w:val="bottom"/>
            <w:gridSpan w:val="3"/>
          </w:tcPr>
          <w:p>
            <w:pPr>
              <w:ind w:left="780"/>
              <w:spacing w:after="0"/>
              <w:rPr>
                <w:sz w:val="20"/>
                <w:szCs w:val="20"/>
                <w:color w:val="auto"/>
              </w:rPr>
            </w:pPr>
            <w:r>
              <w:rPr>
                <w:rFonts w:ascii="Arial" w:cs="Arial" w:eastAsia="Arial" w:hAnsi="Arial"/>
                <w:sz w:val="18"/>
                <w:szCs w:val="18"/>
                <w:b w:val="1"/>
                <w:bCs w:val="1"/>
                <w:color w:val="auto"/>
              </w:rPr>
              <w:t>2012 Warrants</w:t>
            </w:r>
          </w:p>
        </w:tc>
        <w:tc>
          <w:tcPr>
            <w:tcW w:w="1800" w:type="dxa"/>
            <w:vAlign w:val="bottom"/>
            <w:gridSpan w:val="3"/>
          </w:tcPr>
          <w:p>
            <w:pPr>
              <w:jc w:val="right"/>
              <w:ind w:right="540"/>
              <w:spacing w:after="0"/>
              <w:rPr>
                <w:sz w:val="20"/>
                <w:szCs w:val="20"/>
                <w:color w:val="auto"/>
              </w:rPr>
            </w:pPr>
            <w:r>
              <w:rPr>
                <w:rFonts w:ascii="Arial" w:cs="Arial" w:eastAsia="Arial" w:hAnsi="Arial"/>
                <w:sz w:val="18"/>
                <w:szCs w:val="18"/>
                <w:color w:val="auto"/>
              </w:rPr>
              <w:t>June 30, 2017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4"/>
          </w:tcPr>
          <w:p>
            <w:pPr>
              <w:jc w:val="right"/>
              <w:ind w:right="240"/>
              <w:spacing w:after="0"/>
              <w:rPr>
                <w:sz w:val="20"/>
                <w:szCs w:val="20"/>
                <w:color w:val="auto"/>
              </w:rPr>
            </w:pPr>
            <w:r>
              <w:rPr>
                <w:rFonts w:ascii="Arial" w:cs="Arial" w:eastAsia="Arial" w:hAnsi="Arial"/>
                <w:sz w:val="18"/>
                <w:szCs w:val="18"/>
                <w:color w:val="auto"/>
                <w:w w:val="87"/>
              </w:rPr>
              <w:t>September 30, 2016</w:t>
            </w: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vMerge w:val="continue"/>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1.14%</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Expected life</w:t>
            </w:r>
          </w:p>
        </w:tc>
        <w:tc>
          <w:tcPr>
            <w:tcW w:w="26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0.5 Years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4"/>
          </w:tcPr>
          <w:p>
            <w:pPr>
              <w:jc w:val="right"/>
              <w:ind w:right="24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800" w:type="dxa"/>
            <w:vAlign w:val="bottom"/>
            <w:gridSpan w:val="3"/>
          </w:tcPr>
          <w:p>
            <w:pPr>
              <w:jc w:val="right"/>
              <w:ind w:right="540"/>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vMerge w:val="restart"/>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47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2013 Warrants</w:t>
            </w:r>
          </w:p>
        </w:tc>
        <w:tc>
          <w:tcPr>
            <w:tcW w:w="1800" w:type="dxa"/>
            <w:vAlign w:val="bottom"/>
            <w:gridSpan w:val="3"/>
          </w:tcPr>
          <w:p>
            <w:pPr>
              <w:jc w:val="right"/>
              <w:ind w:right="540"/>
              <w:spacing w:after="0" w:line="176" w:lineRule="exact"/>
              <w:rPr>
                <w:sz w:val="20"/>
                <w:szCs w:val="20"/>
                <w:color w:val="auto"/>
              </w:rPr>
            </w:pPr>
            <w:r>
              <w:rPr>
                <w:rFonts w:ascii="Arial" w:cs="Arial" w:eastAsia="Arial" w:hAnsi="Arial"/>
                <w:sz w:val="18"/>
                <w:szCs w:val="18"/>
                <w:color w:val="auto"/>
              </w:rPr>
              <w:t>June 30, 2017</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4"/>
          </w:tcPr>
          <w:p>
            <w:pPr>
              <w:jc w:val="right"/>
              <w:ind w:right="240"/>
              <w:spacing w:after="0" w:line="176" w:lineRule="exact"/>
              <w:rPr>
                <w:sz w:val="20"/>
                <w:szCs w:val="20"/>
                <w:color w:val="auto"/>
              </w:rPr>
            </w:pPr>
            <w:r>
              <w:rPr>
                <w:rFonts w:ascii="Arial" w:cs="Arial" w:eastAsia="Arial" w:hAnsi="Arial"/>
                <w:sz w:val="18"/>
                <w:szCs w:val="18"/>
                <w:color w:val="auto"/>
                <w:w w:val="87"/>
              </w:rPr>
              <w:t>September 30, 2016</w:t>
            </w:r>
          </w:p>
        </w:tc>
        <w:tc>
          <w:tcPr>
            <w:tcW w:w="0" w:type="dxa"/>
            <w:vAlign w:val="bottom"/>
          </w:tcPr>
          <w:p>
            <w:pPr>
              <w:spacing w:after="0"/>
              <w:rPr>
                <w:sz w:val="1"/>
                <w:szCs w:val="1"/>
                <w:color w:val="auto"/>
              </w:rPr>
            </w:pPr>
          </w:p>
        </w:tc>
      </w:tr>
      <w:tr>
        <w:trPr>
          <w:trHeight w:val="21"/>
        </w:trPr>
        <w:tc>
          <w:tcPr>
            <w:tcW w:w="7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vMerge w:val="continue"/>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3"/>
            <w:shd w:val="clear" w:color="auto" w:fill="CFF0FC"/>
          </w:tcPr>
          <w:p>
            <w:pPr>
              <w:jc w:val="right"/>
              <w:ind w:right="540"/>
              <w:spacing w:after="0"/>
              <w:rPr>
                <w:sz w:val="20"/>
                <w:szCs w:val="20"/>
                <w:color w:val="auto"/>
              </w:rPr>
            </w:pPr>
            <w:r>
              <w:rPr>
                <w:rFonts w:ascii="Arial" w:cs="Arial" w:eastAsia="Arial" w:hAnsi="Arial"/>
                <w:sz w:val="18"/>
                <w:szCs w:val="18"/>
                <w:color w:val="auto"/>
              </w:rPr>
              <w:t>1.14%</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Expected life</w:t>
            </w:r>
          </w:p>
        </w:tc>
        <w:tc>
          <w:tcPr>
            <w:tcW w:w="26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0.6 Years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4"/>
          </w:tcPr>
          <w:p>
            <w:pPr>
              <w:jc w:val="right"/>
              <w:ind w:right="240"/>
              <w:spacing w:after="0"/>
              <w:rPr>
                <w:sz w:val="20"/>
                <w:szCs w:val="20"/>
                <w:color w:val="auto"/>
              </w:rPr>
            </w:pPr>
            <w:r>
              <w:rPr>
                <w:rFonts w:ascii="Arial" w:cs="Arial" w:eastAsia="Arial" w:hAnsi="Arial"/>
                <w:sz w:val="18"/>
                <w:szCs w:val="18"/>
                <w:color w:val="auto"/>
              </w:rPr>
              <w:t>1.3 Years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800" w:type="dxa"/>
            <w:vAlign w:val="bottom"/>
            <w:gridSpan w:val="3"/>
          </w:tcPr>
          <w:p>
            <w:pPr>
              <w:jc w:val="right"/>
              <w:ind w:right="540"/>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300" w:type="dxa"/>
            <w:vAlign w:val="bottom"/>
            <w:gridSpan w:val="6"/>
          </w:tcPr>
          <w:p>
            <w:pPr>
              <w:spacing w:after="0"/>
              <w:rPr>
                <w:sz w:val="20"/>
                <w:szCs w:val="20"/>
                <w:color w:val="auto"/>
              </w:rPr>
            </w:pPr>
            <w:r>
              <w:rPr>
                <w:rFonts w:ascii="Arial" w:cs="Arial" w:eastAsia="Arial" w:hAnsi="Arial"/>
                <w:sz w:val="18"/>
                <w:szCs w:val="18"/>
                <w:color w:val="auto"/>
              </w:rPr>
              <w:t>The following is a reconciliation of the derivative liability related to these warrants: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80" w:type="dxa"/>
            <w:vAlign w:val="bottom"/>
            <w:vMerge w:val="restart"/>
          </w:tcPr>
          <w:p>
            <w:pPr>
              <w:spacing w:after="0"/>
              <w:rPr>
                <w:sz w:val="21"/>
                <w:szCs w:val="21"/>
                <w:color w:val="auto"/>
              </w:rPr>
            </w:pPr>
          </w:p>
        </w:tc>
        <w:tc>
          <w:tcPr>
            <w:tcW w:w="4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2016</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1,565,874</w:t>
            </w:r>
          </w:p>
        </w:tc>
        <w:tc>
          <w:tcPr>
            <w:tcW w:w="12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(1,490,863)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settlements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75,011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conjunction with the financing of Ablaris in fiscal 2011, Arrowhead sold exchange rights to certain investors whereby the investors have the right to exchange their shares of Ablaris for a prescribed number of Arrowhead shares of Common Stock based upon a predefined ratio. The exchange rights have a seven-year term and a current exchange ratio of 0.01. Exchange rights for 675,000 Ablaris shares were sold in fiscal 2011, and 500,000 remain outstanding at June 30, 2017. The exchange rights are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is estimated at the end of each reporting period and the change in the fair value of the exchange rights is recorded as a non-operating gain or loss in the Company’s Consolidated Statement of Operations and Comprehensive Loss. During the three and nine months ended June 30, 2017, the Company recorded a non-cash gain/(loss) from the change in fair value of the derivative liability of $1,150 and $28,650, respectively, and during the three and nine months ended June 30, 2016, the Company recorded a non-cash gain/(loss) from the change in fair value of the derivative liability of $(2,500) and $2,200, respectively.</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231"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w:t>
            </w:r>
          </w:p>
        </w:tc>
        <w:tc>
          <w:tcPr>
            <w:tcW w:w="1300" w:type="dxa"/>
            <w:vAlign w:val="bottom"/>
          </w:tcPr>
          <w:p>
            <w:pPr>
              <w:jc w:val="right"/>
              <w:ind w:right="136"/>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1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r>
      <w:tr>
        <w:trPr>
          <w:trHeight w:val="21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Expected life</w:t>
            </w:r>
          </w:p>
        </w:tc>
        <w:tc>
          <w:tcPr>
            <w:tcW w:w="1540" w:type="dxa"/>
            <w:vAlign w:val="bottom"/>
            <w:gridSpan w:val="2"/>
          </w:tcPr>
          <w:p>
            <w:pPr>
              <w:ind w:left="620"/>
              <w:spacing w:after="0"/>
              <w:rPr>
                <w:sz w:val="20"/>
                <w:szCs w:val="20"/>
                <w:color w:val="auto"/>
              </w:rPr>
            </w:pPr>
            <w:r>
              <w:rPr>
                <w:rFonts w:ascii="Arial" w:cs="Arial" w:eastAsia="Arial" w:hAnsi="Arial"/>
                <w:sz w:val="18"/>
                <w:szCs w:val="18"/>
                <w:color w:val="auto"/>
              </w:rPr>
              <w:t>0.7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Volatility</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30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exchange rights:</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2016</w:t>
            </w:r>
          </w:p>
        </w:tc>
        <w:tc>
          <w:tcPr>
            <w:tcW w:w="120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6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(28,650)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settlements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2017</w:t>
            </w:r>
          </w:p>
        </w:tc>
        <w:tc>
          <w:tcPr>
            <w:tcW w:w="64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the Company’s derivatives liabilities is the Company’s stock price. Other inputs have a comparatively insignificant effect.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jc w:val="both"/>
        <w:ind w:firstLine="518"/>
        <w:spacing w:after="0" w:line="264" w:lineRule="auto"/>
        <w:rPr>
          <w:sz w:val="20"/>
          <w:szCs w:val="20"/>
          <w:color w:val="auto"/>
        </w:rPr>
      </w:pPr>
      <w:r>
        <w:rPr>
          <w:rFonts w:ascii="Arial" w:cs="Arial" w:eastAsia="Arial" w:hAnsi="Arial"/>
          <w:sz w:val="18"/>
          <w:szCs w:val="18"/>
          <w:color w:val="auto"/>
        </w:rPr>
        <w:t>The Company’s investments at June 30, 2017 consisted of corporate bonds with maturities remaining of less than one year. The total fair value of the investments at June 30, 2017 was $36,451,134. The fair value of these investments is measured using quoted market prices, and therefore, they are classified as level 1 assets.</w:t>
      </w:r>
    </w:p>
    <w:p>
      <w:pPr>
        <w:spacing w:after="0" w:line="18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The carrying amounts of the Company’s other financial instruments, which include accounts receivable, accounts payable, and accrued expenses approximate their respective fair values due to the relatively short-term nature of these instruments. The carrying value of the Company’s other long-term liabilities approximates fair value based on market interest rates.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0" w:name="page21"/>
    <w:bookmarkEnd w:id="2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our most recent Annual Report on Form 10-K under the caption “Risk Factors” as well as the additional risks described in other documents we file from time to time with the Securities and Exchange Commission (“SEC”), including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588"/>
        <w:spacing w:after="0" w:line="254" w:lineRule="auto"/>
        <w:rPr>
          <w:sz w:val="20"/>
          <w:szCs w:val="20"/>
          <w:color w:val="auto"/>
        </w:rPr>
      </w:pPr>
      <w:r>
        <w:rPr>
          <w:rFonts w:ascii="Arial" w:cs="Arial" w:eastAsia="Arial" w:hAnsi="Arial"/>
          <w:sz w:val="18"/>
          <w:szCs w:val="18"/>
          <w:color w:val="auto"/>
        </w:rPr>
        <w:t>Arrowhead Pharmaceuticals, Inc. develops novel drugs to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ARO-HBV for chronic hepatitis B virus, ARO-AAT for liver disease associated with alpha-1 antitrypsin deficiency (AATD), ARO-F12 for hereditary angioedema and thromboembolic disorders, ARO-HIF2 for renal cell carcinoma, and ARO-AMG1 for an undisclosed genetically validated cardiovascular target under a license and collaboration agreement with Amgen, Inc., a Delaware corporation (“Amgen”). ARO-LPA for cardiovascular disease was recently out-licensed to Amgen.</w:t>
      </w:r>
    </w:p>
    <w:p>
      <w:pPr>
        <w:spacing w:after="0" w:line="192" w:lineRule="exact"/>
        <w:rPr>
          <w:sz w:val="20"/>
          <w:szCs w:val="20"/>
          <w:color w:val="auto"/>
        </w:rPr>
      </w:pPr>
    </w:p>
    <w:p>
      <w:pPr>
        <w:ind w:right="220" w:firstLine="58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firstLine="588"/>
        <w:spacing w:after="0" w:line="275" w:lineRule="auto"/>
        <w:rPr>
          <w:sz w:val="20"/>
          <w:szCs w:val="20"/>
          <w:color w:val="auto"/>
        </w:rPr>
      </w:pPr>
      <w:r>
        <w:rPr>
          <w:rFonts w:ascii="Arial" w:cs="Arial" w:eastAsia="Arial" w:hAnsi="Arial"/>
          <w:sz w:val="16"/>
          <w:szCs w:val="16"/>
          <w:color w:val="auto"/>
        </w:rPr>
        <w:t>During a portion of the first quarter of fiscal 2017, the Company continued to develop its former clinical candidates, ARC-520 and ARC-521, for the treatment of chronic hepatitis B infection as well as ARC-AAT, an RNAi therapeutic designed to treat liver disease associated with AATD. However, in November 2016, the Company announced that it would be discontinuing these clinical programs, and redeploying its resources and focus toward utilizing the Company’s new proprietary subcutaneous and extra-hepatic delivery systems. Each of these former clinical candidates utilized the intravenously administered DPC</w:t>
      </w:r>
      <w:r>
        <w:rPr>
          <w:rFonts w:ascii="Arial" w:cs="Arial" w:eastAsia="Arial" w:hAnsi="Arial"/>
          <w:sz w:val="23"/>
          <w:szCs w:val="23"/>
          <w:color w:val="auto"/>
          <w:vertAlign w:val="subscript"/>
        </w:rPr>
        <w:t>iv</w:t>
      </w:r>
      <w:r>
        <w:rPr>
          <w:rFonts w:ascii="Arial" w:cs="Arial" w:eastAsia="Arial" w:hAnsi="Arial"/>
          <w:sz w:val="16"/>
          <w:szCs w:val="16"/>
          <w:color w:val="auto"/>
        </w:rPr>
        <w:t>, or EX1, delivery vehicle. The decision to discontinue development of EX1-containing programs was based primarily on two factors. First, during ongoing discussions with regulatory agencies and outside experts, it became apparent that there would be substantial delays in all clinical programs that utilize EX1, while the Company further explored the cause of deaths in a non-clinical toxicology study in non-human primates. Second, the Company has made substantial advances in RNA chemistry and targeting resulting in large potency gains for subcutaneous administered and extra-hepatic RNAi-based development programs. In preclinical studies with the subcutaneous platform, the Company has obtained depth and duration of target gene knockdown approaching that of intravenously administered EX1-containing candidates, at lower doses and with good safety margins. ARO-HBV and ARO-AAT are the Company’s subcutaneous administered preclinical candidates for chronic hepatitis B virus and liver disease associated with AATD, respectively.</w:t>
      </w:r>
    </w:p>
    <w:p>
      <w:pPr>
        <w:spacing w:after="0" w:line="182" w:lineRule="exact"/>
        <w:rPr>
          <w:sz w:val="20"/>
          <w:szCs w:val="20"/>
          <w:color w:val="auto"/>
        </w:rPr>
      </w:pPr>
    </w:p>
    <w:p>
      <w:pPr>
        <w:ind w:right="40" w:firstLine="588"/>
        <w:spacing w:after="0" w:line="293" w:lineRule="auto"/>
        <w:rPr>
          <w:sz w:val="20"/>
          <w:szCs w:val="20"/>
          <w:color w:val="auto"/>
        </w:rPr>
      </w:pPr>
      <w:r>
        <w:rPr>
          <w:rFonts w:ascii="Arial" w:cs="Arial" w:eastAsia="Arial" w:hAnsi="Arial"/>
          <w:sz w:val="16"/>
          <w:szCs w:val="16"/>
          <w:color w:val="auto"/>
        </w:rPr>
        <w:t>In April 2017, the Company presented clinical data from the studies involving its previous clinical candidates (ARC-520, ARC-521 and ARC-AAT) at The International Liver Congress. With regard to ARC-520 and ARC-521, the data demonstrated that in human clinical studies, RNAi interference as a mechanism can rapidly and significantly reduce HBV viral antigens. In addition, RNAi appeared to synergize with current standard-of-care nucleotide and nucleoside analogues (NUCs) to rapidly lower serum levels of HBV DNA. With regard to ARC-AAT, the data demonstrated that an RNA interference therapeutic can achieve deep, durable and dose dependent reductions of alpha-1 antitrypsin with the highest dose studied in healthy volunteers achieving near full suppression of the liver production of the AAT protein. In addition, at doses of 2 and 4 mg/kg in AATD patients, ARC-AAT produced similar levels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ind w:right="20"/>
        <w:spacing w:after="0" w:line="277" w:lineRule="auto"/>
        <w:rPr>
          <w:sz w:val="20"/>
          <w:szCs w:val="20"/>
          <w:color w:val="auto"/>
        </w:rPr>
      </w:pPr>
      <w:r>
        <w:rPr>
          <w:rFonts w:ascii="Arial" w:cs="Arial" w:eastAsia="Arial" w:hAnsi="Arial"/>
          <w:sz w:val="18"/>
          <w:szCs w:val="18"/>
          <w:color w:val="auto"/>
        </w:rPr>
        <w:t>of knockdown as seen in healthy volunteers. The data generated from these studies continue to inform and guide the development paths of the ARO-HBV and ARO-AAT.</w:t>
      </w:r>
    </w:p>
    <w:p>
      <w:pPr>
        <w:spacing w:after="0" w:line="170" w:lineRule="exact"/>
        <w:rPr>
          <w:sz w:val="20"/>
          <w:szCs w:val="20"/>
          <w:color w:val="auto"/>
        </w:rPr>
      </w:pPr>
    </w:p>
    <w:p>
      <w:pPr>
        <w:ind w:right="40" w:firstLine="588"/>
        <w:spacing w:after="0" w:line="260" w:lineRule="auto"/>
        <w:rPr>
          <w:sz w:val="20"/>
          <w:szCs w:val="20"/>
          <w:color w:val="auto"/>
        </w:rPr>
      </w:pPr>
      <w:r>
        <w:rPr>
          <w:rFonts w:ascii="Arial" w:cs="Arial" w:eastAsia="Arial" w:hAnsi="Arial"/>
          <w:sz w:val="17"/>
          <w:szCs w:val="17"/>
          <w:color w:val="auto"/>
        </w:rPr>
        <w:t>The Company also continues progressing with its preclinical candidates including ARO-F12, ARO-HIF2 and ARO-LPA. The Company’s most significant recent development for its preclinical candidates was for ARO-LPA. On September 28, 2016, the Company entered into two Collaboration and License agreements and a Common Stock Purchase Agreement with Amgen. Under one of the license agreements (the “First Collaboration and License Agreement” or “ARO-AMG1 Agreement”), Amgen has received an option to a worldwide, exclusive license for an RNAi therapy for ARO-AMG1</w:t>
      </w:r>
      <w:r>
        <w:rPr>
          <w:rFonts w:ascii="Arial" w:cs="Arial" w:eastAsia="Arial" w:hAnsi="Arial"/>
          <w:sz w:val="25"/>
          <w:szCs w:val="25"/>
          <w:color w:val="auto"/>
          <w:vertAlign w:val="subscript"/>
        </w:rPr>
        <w:t>,</w:t>
      </w:r>
      <w:r>
        <w:rPr>
          <w:rFonts w:ascii="Arial" w:cs="Arial" w:eastAsia="Arial" w:hAnsi="Arial"/>
          <w:sz w:val="17"/>
          <w:szCs w:val="17"/>
          <w:color w:val="auto"/>
        </w:rPr>
        <w:t xml:space="preserve"> an undisclosed genetically validated cardiovascular target. Under the other license agreement (the “Second Collaboration and License Agreement” or “ARO-LPA Agreement”), Amgen has received a worldwide, exclusive license to Arrowhead’s novel, RNAi ARO-LPA program. These RNAi molecules are designed to reduce elevated lipoprotein(a), which is a genetically validated, independent risk factor for atherosclerotic cardiovascular disease. In both agreements, Amgen is wholly responsible for clinical development and commercialization. Under the terms of the agreements taken together, the Company has received $35 million in upfront payments and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agreement. Regarding ARO-F12, in November 2016, the Company presented data showing that its developed triggers gave greater than 95% reduction of serum F12 levels after a single subcutaneous administration with no increased bleeding risk in its preclinical studies. This data illustrates the Company’s advancements in its subcutaneous delivery systems. The Company is conducting relevant disease models and is considering other potential studies to support advancement of ARO-F12 into clinical trials. Regarding ARO-HIF2, in April 2016, the Company presented data showing that ARO-HIF2 inhibited renal cell carcinoma growth and promoted tumor cell death in its preclinical studies. ARO-HIF2 is the Company’s first RNAi therapeutic to target tissues outside the liver.</w:t>
      </w:r>
    </w:p>
    <w:p>
      <w:pPr>
        <w:spacing w:after="0" w:line="190" w:lineRule="exact"/>
        <w:rPr>
          <w:sz w:val="20"/>
          <w:szCs w:val="20"/>
          <w:color w:val="auto"/>
        </w:rPr>
      </w:pPr>
    </w:p>
    <w:p>
      <w:pPr>
        <w:ind w:right="20" w:firstLine="588"/>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93" w:lineRule="exact"/>
        <w:rPr>
          <w:sz w:val="20"/>
          <w:szCs w:val="20"/>
          <w:color w:val="auto"/>
        </w:rPr>
      </w:pPr>
    </w:p>
    <w:p>
      <w:pPr>
        <w:ind w:right="60" w:firstLine="588"/>
        <w:spacing w:after="0" w:line="302" w:lineRule="auto"/>
        <w:rPr>
          <w:sz w:val="20"/>
          <w:szCs w:val="20"/>
          <w:color w:val="auto"/>
        </w:rPr>
      </w:pPr>
      <w:r>
        <w:rPr>
          <w:rFonts w:ascii="Arial" w:cs="Arial" w:eastAsia="Arial" w:hAnsi="Arial"/>
          <w:sz w:val="16"/>
          <w:szCs w:val="16"/>
          <w:color w:val="auto"/>
        </w:rPr>
        <w:t>Net losses were $5.5 million and $23.6 million during the three and nine months ended June 30, 2017, respectively, and net losses were $19.4 million and $59.5 million during the three and nine months ended June 30, 2016, respectively. Diluted losses per share were $0.07 and $0.32 during the three and nine months ended June 30, 2017, respectively, and diluted losses per share were $0.32 and $1.00 during the three and nine months ended June 30, 2016, respectively. Increases in revenue in each period are the driver of the reductions in the net losses and diluted losses per share, as discussed further below.</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strengthened its liquidity and financial position through an equity offering completed in August 2016, which generated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$43.2 million of net cash proceeds for the Company. Additionally, the Company received $56.5 million in upfront payments and equity investments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Amgen. These cash proceeds secured the funding needed to continue to advance our preclinical candidates. The Company had $38.4 million of cash and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equivalents, $36.8 million in short-term investments and $115.1 million of total assets as of June 30, 2017, as compared to $85.4 million, $0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$128.2 million as of September 30, 2016, respectively. Based upon the Company’s current cash and short-term investment resources and operating plan,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expects to have sufficient liquidity to fund operations for at least the next twelve months.</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firstLine="588"/>
        <w:spacing w:after="0" w:line="291"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to our Consolidated Financial Statements, which outlines our application of significant accounting policies.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340" w:firstLine="665"/>
        <w:spacing w:after="0" w:line="277" w:lineRule="auto"/>
        <w:rPr>
          <w:sz w:val="20"/>
          <w:szCs w:val="20"/>
          <w:color w:val="auto"/>
        </w:rPr>
      </w:pPr>
      <w:r>
        <w:rPr>
          <w:rFonts w:ascii="Arial" w:cs="Arial" w:eastAsia="Arial" w:hAnsi="Arial"/>
          <w:sz w:val="18"/>
          <w:szCs w:val="18"/>
          <w:color w:val="auto"/>
        </w:rPr>
        <w:t>Revenue from product sales is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100" w:firstLine="665"/>
        <w:spacing w:after="0" w:line="259" w:lineRule="auto"/>
        <w:rPr>
          <w:sz w:val="20"/>
          <w:szCs w:val="20"/>
          <w:color w:val="auto"/>
        </w:rPr>
      </w:pPr>
      <w:r>
        <w:rPr>
          <w:rFonts w:ascii="Arial" w:cs="Arial" w:eastAsia="Arial" w:hAnsi="Arial"/>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187" w:lineRule="exact"/>
        <w:rPr>
          <w:sz w:val="20"/>
          <w:szCs w:val="20"/>
          <w:color w:val="auto"/>
        </w:rPr>
      </w:pPr>
    </w:p>
    <w:p>
      <w:pPr>
        <w:ind w:right="60" w:firstLine="588"/>
        <w:spacing w:after="0" w:line="257" w:lineRule="auto"/>
        <w:rPr>
          <w:sz w:val="20"/>
          <w:szCs w:val="20"/>
          <w:color w:val="auto"/>
        </w:rPr>
      </w:pPr>
      <w:r>
        <w:rPr>
          <w:rFonts w:ascii="Arial" w:cs="Arial" w:eastAsia="Arial" w:hAnsi="Arial"/>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and if the arrangement includes a general right of return for the delivered item, delivery or performance of the undelivered item is considered probable and substantially in the control of the vendor.</w:t>
      </w:r>
    </w:p>
    <w:p>
      <w:pPr>
        <w:spacing w:after="0" w:line="188" w:lineRule="exact"/>
        <w:rPr>
          <w:sz w:val="20"/>
          <w:szCs w:val="20"/>
          <w:color w:val="auto"/>
        </w:rPr>
      </w:pPr>
    </w:p>
    <w:p>
      <w:pPr>
        <w:ind w:right="100" w:firstLine="588"/>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has standalone value from any undelivered performance obligations and that value can be determined. The undelivered performance obligations typically include manufacturing or development services or research and/or steering committee services. If the fair value of the undelivered performance obligations can be determined, then these obligations would be accounted for separately.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189" w:lineRule="exact"/>
        <w:rPr>
          <w:sz w:val="20"/>
          <w:szCs w:val="20"/>
          <w:color w:val="auto"/>
        </w:rPr>
      </w:pPr>
    </w:p>
    <w:p>
      <w:pPr>
        <w:ind w:right="40" w:firstLine="588"/>
        <w:spacing w:after="0" w:line="289" w:lineRule="auto"/>
        <w:rPr>
          <w:sz w:val="20"/>
          <w:szCs w:val="20"/>
          <w:color w:val="auto"/>
        </w:rPr>
      </w:pPr>
      <w:r>
        <w:rPr>
          <w:rFonts w:ascii="Arial" w:cs="Arial" w:eastAsia="Arial" w:hAnsi="Arial"/>
          <w:sz w:val="16"/>
          <w:szCs w:val="16"/>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67" w:lineRule="exact"/>
        <w:rPr>
          <w:sz w:val="20"/>
          <w:szCs w:val="20"/>
          <w:color w:val="auto"/>
        </w:rPr>
      </w:pPr>
    </w:p>
    <w:p>
      <w:pPr>
        <w:ind w:firstLine="530"/>
        <w:spacing w:after="0" w:line="270" w:lineRule="auto"/>
        <w:rPr>
          <w:sz w:val="20"/>
          <w:szCs w:val="20"/>
          <w:color w:val="auto"/>
        </w:rPr>
      </w:pPr>
      <w:r>
        <w:rPr>
          <w:rFonts w:ascii="Arial" w:cs="Arial" w:eastAsia="Arial" w:hAnsi="Arial"/>
          <w:sz w:val="17"/>
          <w:szCs w:val="17"/>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then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 after the performance period has completed and all performance obligations have been delivered, then the Company will recognize the milestone payment as revenue in its entirety in the period the milestone was achieved.</w:t>
      </w:r>
    </w:p>
    <w:p>
      <w:pPr>
        <w:spacing w:after="0" w:line="182" w:lineRule="exact"/>
        <w:rPr>
          <w:sz w:val="20"/>
          <w:szCs w:val="20"/>
          <w:color w:val="auto"/>
        </w:rPr>
      </w:pPr>
    </w:p>
    <w:p>
      <w:pPr>
        <w:ind w:right="300" w:firstLine="588"/>
        <w:spacing w:after="0" w:line="279" w:lineRule="auto"/>
        <w:rPr>
          <w:sz w:val="20"/>
          <w:szCs w:val="20"/>
          <w:color w:val="auto"/>
        </w:rPr>
      </w:pPr>
      <w:r>
        <w:rPr>
          <w:rFonts w:ascii="Arial" w:cs="Arial" w:eastAsia="Arial" w:hAnsi="Arial"/>
          <w:sz w:val="17"/>
          <w:szCs w:val="17"/>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20" w:firstLine="58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right="20" w:firstLine="588"/>
        <w:spacing w:after="0" w:line="276" w:lineRule="auto"/>
        <w:rPr>
          <w:sz w:val="20"/>
          <w:szCs w:val="20"/>
          <w:color w:val="auto"/>
        </w:rPr>
      </w:pPr>
      <w:r>
        <w:rPr>
          <w:rFonts w:ascii="Arial" w:cs="Arial" w:eastAsia="Arial" w:hAnsi="Arial"/>
          <w:sz w:val="17"/>
          <w:szCs w:val="17"/>
          <w:color w:val="auto"/>
        </w:rPr>
        <w:t>Intangible assets consist of in-process research and development, license agreements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160" w:firstLine="588"/>
        <w:spacing w:after="0" w:line="272" w:lineRule="auto"/>
        <w:rPr>
          <w:sz w:val="20"/>
          <w:szCs w:val="20"/>
          <w:color w:val="auto"/>
        </w:rPr>
      </w:pPr>
      <w:r>
        <w:rPr>
          <w:rFonts w:ascii="Arial" w:cs="Arial" w:eastAsia="Arial" w:hAnsi="Arial"/>
          <w:sz w:val="17"/>
          <w:szCs w:val="17"/>
          <w:color w:val="auto"/>
        </w:rPr>
        <w:t>We recognize stock-based compensation expense for stock options based on the grant date fair value using the Black-Scholes options pricing model, which requires us to make assumptions regarding certain variables including the risk-free interest rate, expected stock price volatility, assumed forfeitures, and the expected life of the award. The grant date fair value of restricted stock units granted is based upon the quoted closing market price per share on the date of grant, adjusted for assumed forfeitures. For performance-based stock awards, the value of the award is measured at the grant date. Expense for stock options and restricted stock units is recognized over the requisite service period. The assumptions used in calculating stock-based compensation expense represent management’s best estimates, but these estimates involve inherent uncertainties, and if factors change or the Company used different assumptions, its stock-based compensation expense could be materially different in the future.</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Assets and Liabilities</w:t>
      </w:r>
    </w:p>
    <w:p>
      <w:pPr>
        <w:spacing w:after="0" w:line="117" w:lineRule="exact"/>
        <w:rPr>
          <w:sz w:val="20"/>
          <w:szCs w:val="20"/>
          <w:color w:val="auto"/>
        </w:rPr>
      </w:pPr>
    </w:p>
    <w:p>
      <w:pPr>
        <w:ind w:right="20" w:firstLine="588"/>
        <w:spacing w:after="0" w:line="289" w:lineRule="auto"/>
        <w:rPr>
          <w:sz w:val="20"/>
          <w:szCs w:val="20"/>
          <w:color w:val="auto"/>
        </w:rPr>
      </w:pPr>
      <w:r>
        <w:rPr>
          <w:rFonts w:ascii="Arial" w:cs="Arial" w:eastAsia="Arial" w:hAnsi="Arial"/>
          <w:sz w:val="16"/>
          <w:szCs w:val="16"/>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140" w:firstLine="588"/>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 our results of operations for the following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20" w:type="dxa"/>
            <w:vAlign w:val="bottom"/>
          </w:tcPr>
          <w:p>
            <w:pPr>
              <w:jc w:val="right"/>
              <w:ind w:right="217"/>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tcPr>
          <w:p>
            <w:pPr>
              <w:spacing w:after="0"/>
              <w:rPr>
                <w:sz w:val="14"/>
                <w:szCs w:val="14"/>
                <w:color w:val="auto"/>
              </w:rPr>
            </w:pPr>
          </w:p>
        </w:tc>
      </w:tr>
      <w:tr>
        <w:trPr>
          <w:trHeight w:val="171"/>
        </w:trPr>
        <w:tc>
          <w:tcPr>
            <w:tcW w:w="15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2017</w:t>
            </w:r>
          </w:p>
        </w:tc>
        <w:tc>
          <w:tcPr>
            <w:tcW w:w="200" w:type="dxa"/>
            <w:vAlign w:val="bottom"/>
          </w:tcPr>
          <w:p>
            <w:pPr>
              <w:spacing w:after="0"/>
              <w:rPr>
                <w:sz w:val="14"/>
                <w:szCs w:val="14"/>
                <w:color w:val="auto"/>
              </w:rPr>
            </w:pPr>
          </w:p>
        </w:tc>
        <w:tc>
          <w:tcPr>
            <w:tcW w:w="1720" w:type="dxa"/>
            <w:vAlign w:val="bottom"/>
          </w:tcPr>
          <w:p>
            <w:pPr>
              <w:jc w:val="right"/>
              <w:ind w:right="457"/>
              <w:spacing w:after="0"/>
              <w:rPr>
                <w:sz w:val="20"/>
                <w:szCs w:val="20"/>
                <w:color w:val="auto"/>
              </w:rPr>
            </w:pPr>
            <w:r>
              <w:rPr>
                <w:rFonts w:ascii="Arial" w:cs="Arial" w:eastAsia="Arial" w:hAnsi="Arial"/>
                <w:sz w:val="14"/>
                <w:szCs w:val="14"/>
                <w:b w:val="1"/>
                <w:bCs w:val="1"/>
                <w:color w:val="auto"/>
              </w:rPr>
              <w:t>June 30, 2016</w:t>
            </w:r>
          </w:p>
        </w:tc>
        <w:tc>
          <w:tcPr>
            <w:tcW w:w="1580" w:type="dxa"/>
            <w:vAlign w:val="bottom"/>
          </w:tcPr>
          <w:p>
            <w:pPr>
              <w:spacing w:after="0"/>
              <w:rPr>
                <w:sz w:val="14"/>
                <w:szCs w:val="14"/>
                <w:color w:val="auto"/>
              </w:rPr>
            </w:pPr>
          </w:p>
        </w:tc>
      </w:tr>
      <w:tr>
        <w:trPr>
          <w:trHeight w:val="223"/>
        </w:trPr>
        <w:tc>
          <w:tcPr>
            <w:tcW w:w="1560" w:type="dxa"/>
            <w:vAlign w:val="bottom"/>
          </w:tcPr>
          <w:p>
            <w:pPr>
              <w:spacing w:after="0"/>
              <w:rPr>
                <w:sz w:val="19"/>
                <w:szCs w:val="19"/>
                <w:color w:val="auto"/>
              </w:rPr>
            </w:pPr>
          </w:p>
        </w:tc>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6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9,342,498</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7"/>
              <w:spacing w:after="0"/>
              <w:rPr>
                <w:sz w:val="20"/>
                <w:szCs w:val="20"/>
                <w:color w:val="auto"/>
              </w:rPr>
            </w:pPr>
            <w:r>
              <w:rPr>
                <w:rFonts w:ascii="Arial" w:cs="Arial" w:eastAsia="Arial" w:hAnsi="Arial"/>
                <w:sz w:val="18"/>
                <w:szCs w:val="18"/>
                <w:color w:val="auto"/>
              </w:rPr>
              <w:t>39,583</w:t>
            </w:r>
          </w:p>
        </w:tc>
        <w:tc>
          <w:tcPr>
            <w:tcW w:w="1580" w:type="dxa"/>
            <w:vAlign w:val="bottom"/>
          </w:tcPr>
          <w:p>
            <w:pPr>
              <w:spacing w:after="0"/>
              <w:rPr>
                <w:sz w:val="19"/>
                <w:szCs w:val="19"/>
                <w:color w:val="auto"/>
              </w:rPr>
            </w:pPr>
          </w:p>
        </w:tc>
      </w:tr>
      <w:tr>
        <w:trPr>
          <w:trHeight w:val="230"/>
        </w:trPr>
        <w:tc>
          <w:tcPr>
            <w:tcW w:w="156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Operating Loss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(5,714,164)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(19,341,487)</w:t>
            </w:r>
          </w:p>
        </w:tc>
        <w:tc>
          <w:tcPr>
            <w:tcW w:w="1580" w:type="dxa"/>
            <w:vAlign w:val="bottom"/>
          </w:tcPr>
          <w:p>
            <w:pPr>
              <w:spacing w:after="0"/>
              <w:rPr>
                <w:sz w:val="19"/>
                <w:szCs w:val="19"/>
                <w:color w:val="auto"/>
              </w:rPr>
            </w:pPr>
          </w:p>
        </w:tc>
      </w:tr>
      <w:tr>
        <w:trPr>
          <w:trHeight w:val="230"/>
        </w:trPr>
        <w:tc>
          <w:tcPr>
            <w:tcW w:w="156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(5,519,741)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(19,420,743)</w:t>
            </w:r>
          </w:p>
        </w:tc>
        <w:tc>
          <w:tcPr>
            <w:tcW w:w="1580" w:type="dxa"/>
            <w:vAlign w:val="bottom"/>
          </w:tcPr>
          <w:p>
            <w:pPr>
              <w:spacing w:after="0"/>
              <w:rPr>
                <w:sz w:val="19"/>
                <w:szCs w:val="19"/>
                <w:color w:val="auto"/>
              </w:rPr>
            </w:pPr>
          </w:p>
        </w:tc>
      </w:tr>
      <w:tr>
        <w:trPr>
          <w:trHeight w:val="432"/>
        </w:trPr>
        <w:tc>
          <w:tcPr>
            <w:tcW w:w="1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60" w:type="dxa"/>
            <w:vAlign w:val="bottom"/>
            <w:gridSpan w:val="2"/>
          </w:tcPr>
          <w:p>
            <w:pPr>
              <w:jc w:val="right"/>
              <w:ind w:right="110"/>
              <w:spacing w:after="0"/>
              <w:rPr>
                <w:sz w:val="20"/>
                <w:szCs w:val="20"/>
                <w:color w:val="auto"/>
              </w:rPr>
            </w:pPr>
            <w:r>
              <w:rPr>
                <w:rFonts w:ascii="Arial" w:cs="Arial" w:eastAsia="Arial" w:hAnsi="Arial"/>
                <w:sz w:val="18"/>
                <w:szCs w:val="18"/>
                <w:color w:val="auto"/>
              </w:rPr>
              <w:t>22</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4" w:name="page25"/>
    <w:bookmarkEnd w:id="24"/>
    <w:tbl>
      <w:tblPr>
        <w:tblLayout w:type="fixed"/>
        <w:tblInd w:w="15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3380" w:type="dxa"/>
            <w:vAlign w:val="bottom"/>
            <w:vMerge w:val="restart"/>
          </w:tcPr>
          <w:p>
            <w:pPr>
              <w:spacing w:after="0"/>
              <w:rPr>
                <w:sz w:val="20"/>
                <w:szCs w:val="20"/>
                <w:color w:val="auto"/>
              </w:rPr>
            </w:pPr>
            <w:r>
              <w:rPr>
                <w:rFonts w:ascii="Arial" w:cs="Arial" w:eastAsia="Arial" w:hAnsi="Arial"/>
                <w:sz w:val="18"/>
                <w:szCs w:val="18"/>
                <w:color w:val="auto"/>
              </w:rPr>
              <w:t>Loss per Share (Basic and Diluted)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2017</w:t>
            </w:r>
          </w:p>
        </w:tc>
        <w:tc>
          <w:tcPr>
            <w:tcW w:w="200" w:type="dxa"/>
            <w:vAlign w:val="bottom"/>
          </w:tcPr>
          <w:p>
            <w:pPr>
              <w:spacing w:after="0"/>
              <w:rPr>
                <w:sz w:val="14"/>
                <w:szCs w:val="14"/>
                <w:color w:val="auto"/>
              </w:rPr>
            </w:pPr>
          </w:p>
        </w:tc>
        <w:tc>
          <w:tcPr>
            <w:tcW w:w="1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June 30, 2016</w:t>
            </w:r>
          </w:p>
        </w:tc>
        <w:tc>
          <w:tcPr>
            <w:tcW w:w="0" w:type="dxa"/>
            <w:vAlign w:val="bottom"/>
          </w:tcPr>
          <w:p>
            <w:pPr>
              <w:spacing w:after="0"/>
              <w:rPr>
                <w:sz w:val="1"/>
                <w:szCs w:val="1"/>
                <w:color w:val="auto"/>
              </w:rPr>
            </w:pPr>
          </w:p>
        </w:tc>
      </w:tr>
      <w:tr>
        <w:trPr>
          <w:trHeight w:val="224"/>
        </w:trPr>
        <w:tc>
          <w:tcPr>
            <w:tcW w:w="338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638"/>
        </w:trPr>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24"/>
                <w:szCs w:val="24"/>
                <w:color w:val="auto"/>
              </w:rPr>
            </w:pPr>
          </w:p>
        </w:tc>
        <w:tc>
          <w:tcPr>
            <w:tcW w:w="1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2017</w:t>
            </w:r>
          </w:p>
        </w:tc>
        <w:tc>
          <w:tcPr>
            <w:tcW w:w="200" w:type="dxa"/>
            <w:vAlign w:val="bottom"/>
          </w:tcPr>
          <w:p>
            <w:pPr>
              <w:spacing w:after="0"/>
              <w:rPr>
                <w:sz w:val="14"/>
                <w:szCs w:val="14"/>
                <w:color w:val="auto"/>
              </w:rPr>
            </w:pPr>
          </w:p>
        </w:tc>
        <w:tc>
          <w:tcPr>
            <w:tcW w:w="1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June 30, 2016</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22,693,923</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8"/>
              <w:spacing w:after="0"/>
              <w:rPr>
                <w:sz w:val="20"/>
                <w:szCs w:val="20"/>
                <w:color w:val="auto"/>
              </w:rPr>
            </w:pPr>
            <w:r>
              <w:rPr>
                <w:rFonts w:ascii="Arial" w:cs="Arial" w:eastAsia="Arial" w:hAnsi="Arial"/>
                <w:sz w:val="18"/>
                <w:szCs w:val="18"/>
                <w:color w:val="auto"/>
              </w:rPr>
              <w:t>127,083</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Operating Loss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(26,745,696)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8"/>
              <w:spacing w:after="0"/>
              <w:rPr>
                <w:sz w:val="20"/>
                <w:szCs w:val="20"/>
                <w:color w:val="auto"/>
              </w:rPr>
            </w:pPr>
            <w:r>
              <w:rPr>
                <w:rFonts w:ascii="Arial" w:cs="Arial" w:eastAsia="Arial" w:hAnsi="Arial"/>
                <w:sz w:val="18"/>
                <w:szCs w:val="18"/>
                <w:color w:val="auto"/>
              </w:rPr>
              <w:t>(59,947,611)</w:t>
            </w: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(23,648,409)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(59,501,016)</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Loss per Share (Basic and Diluted)</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increase in our Revenue during the three and nine months ended June 30, 2017 was driven by the upfront payments received from Amgen that we are beginning to recognize in these periods as performance is completed for the ARO-LPA and ARO-AMG1 agreements. This was also the key driver of the decrease in our Operating Loss, Net Loss and Loss per Share. Research and Development expenses also decreased in the fiscal 2017 periods due to the discontinuation of our previous clinical programs in November 2016.</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 revenue was $9,342,498 and $22,693,923 for the three and nine months ended June 30, 2017 respectively, and total revenue was $39,583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$127,083 for the three and nine months ended June 30, 2016, respectively. Revenue in the current period is primarily related to the upfront payments received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Amgen that we are beginning to recognize as performance is completed for the ARO-LPA and ARO-AMG1 agreements.</w:t>
      </w:r>
    </w:p>
    <w:p>
      <w:pPr>
        <w:spacing w:after="0" w:line="103"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Under the terms of the ARO-LPA Agreement, the Company has granted a worldwide, exclusive license to ARO-LPA. The collaboration between the Company and Amgen is governed by a joint research committee comprised of an equal number of representatives from each party; however, Amgen has the final decision making authority regarding ARO-LPA in this committee. The Company is also responsible for assisting Amgen in the oversight of certain development and manufacturing activities, most of which are to be covered at Amgen’s cost. The Company has determined that the significant deliverables under the ARO-LPA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November 18, 2016 (the Hart-Scott-Rodino clearance date) through October 31, 2017, which is the date where the significant development and manufacturing related deliverables are anticipated to be completed. The Company received the upfront payment of $30 million due under this agreement in November 2016. The initial $30 million payment was recorded as Deferred Revenue, and $7.9 million and $19.4 million of this was amortized into Revenue during the three and nine months ended June 30, 2017.</w:t>
      </w:r>
    </w:p>
    <w:p>
      <w:pPr>
        <w:spacing w:after="0" w:line="7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Under the terms of the ARO-AMG1 Agreement, the Company has granted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ARO-AMG1 Agreement include the license, the joint research committee and the development and manufacturing activities toward achieving the Arrowhead Deliverable.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 Arrowhead Deliverable is September 28, 2018. The Company received the upfront payment of $5 million due under this agreement in September 2016. The initial $5 million payment was recorded as Deferred Revenue, and $0.6 million and $1.9 million of this was amortized into Revenue during the three and nine months ended June 30, 2017.</w:t>
      </w:r>
    </w:p>
    <w:p>
      <w:pPr>
        <w:spacing w:after="0" w:line="64"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In January 2017, the Company also entered into a separate services agreement with Amgen to provide certain services related to process development, manufacturing, materials supply, discovery studies, and other consulting services related to ARO-LPA. During the three and nine months ended June 30, 2017, work orders under this services agreement generated approximately $0.8 million and $1.4 million of Revenue, respectively.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three and nine months ended June 30, 2017 and 2016 are shown in the tables below.</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 – Three and nine months ended June 30, 2017 compared to the three and nine months ended June 30, 2016</w:t>
      </w:r>
    </w:p>
    <w:p>
      <w:pPr>
        <w:spacing w:after="0" w:line="140"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R&amp;D expenses are related to the Company’s on-going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The following table provides details of research and development expense for the periods indicated: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 thousands, except percentages)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9"/>
              </w:rPr>
              <w:t>Three</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Months Ended</w:t>
            </w: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of Expense</w:t>
            </w: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Months Ended</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89"/>
              </w:rPr>
              <w:t>Increase (Decrease)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June 30, 2017</w:t>
            </w:r>
          </w:p>
        </w:tc>
        <w:tc>
          <w:tcPr>
            <w:tcW w:w="240" w:type="dxa"/>
            <w:vAlign w:val="bottom"/>
            <w:tcBorders>
              <w:bottom w:val="single" w:sz="8" w:color="B6EAFC"/>
            </w:tcBorders>
            <w:gridSpan w:val="2"/>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32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June 30, 2016</w:t>
            </w:r>
          </w:p>
        </w:tc>
        <w:tc>
          <w:tcPr>
            <w:tcW w:w="24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737</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jc w:val="right"/>
              <w:ind w:right="3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548</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 vivo studies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(1,340)</w:t>
            </w:r>
          </w:p>
        </w:tc>
        <w:tc>
          <w:tcPr>
            <w:tcW w:w="6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2,529</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606</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Clinical trials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3,787</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(2,994)</w:t>
            </w:r>
          </w:p>
        </w:tc>
        <w:tc>
          <w:tcPr>
            <w:tcW w:w="6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(12)</w:t>
            </w:r>
          </w:p>
        </w:tc>
        <w:tc>
          <w:tcPr>
            <w:tcW w:w="66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9,423</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580" w:type="dxa"/>
            <w:vAlign w:val="bottom"/>
          </w:tcPr>
          <w:p>
            <w:pPr>
              <w:jc w:val="right"/>
              <w:ind w:right="3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0"/>
              </w:rPr>
              <w:t>(2,517)</w:t>
            </w:r>
          </w:p>
        </w:tc>
        <w:tc>
          <w:tcPr>
            <w:tcW w:w="2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646"/>
        </w:trPr>
        <w:tc>
          <w:tcPr>
            <w:tcW w:w="3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Nine</w:t>
            </w:r>
          </w:p>
        </w:tc>
        <w:tc>
          <w:tcPr>
            <w:tcW w:w="240" w:type="dxa"/>
            <w:vAlign w:val="bottom"/>
            <w:gridSpan w:val="2"/>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Nine</w:t>
            </w:r>
          </w:p>
        </w:tc>
        <w:tc>
          <w:tcPr>
            <w:tcW w:w="2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Months Ended</w:t>
            </w: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of Expense</w:t>
            </w: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Months Ended</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89"/>
              </w:rPr>
              <w:t>Increase (Decrease)</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June 30, 2017</w:t>
            </w:r>
          </w:p>
        </w:tc>
        <w:tc>
          <w:tcPr>
            <w:tcW w:w="100" w:type="dxa"/>
            <w:vAlign w:val="bottom"/>
            <w:tcBorders>
              <w:bottom w:val="single" w:sz="8" w:color="B6EA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32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June 30, 2016</w:t>
            </w:r>
          </w:p>
        </w:tc>
        <w:tc>
          <w:tcPr>
            <w:tcW w:w="24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2,072</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jc w:val="right"/>
              <w:ind w:right="3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w w:val="97"/>
              </w:rPr>
              <w:t>2,014</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 vivo studies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1,221</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7,142</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(6,425)</w:t>
            </w:r>
          </w:p>
        </w:tc>
        <w:tc>
          <w:tcPr>
            <w:tcW w:w="6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5,813</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7,849</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w w:val="91"/>
              </w:rPr>
              <w:t>(2,036)</w:t>
            </w:r>
          </w:p>
        </w:tc>
        <w:tc>
          <w:tcPr>
            <w:tcW w:w="66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Clinical trials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10,264</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(1,615)</w:t>
            </w:r>
          </w:p>
        </w:tc>
        <w:tc>
          <w:tcPr>
            <w:tcW w:w="6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(44)</w:t>
            </w:r>
          </w:p>
        </w:tc>
        <w:tc>
          <w:tcPr>
            <w:tcW w:w="66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834</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B6EAFC"/>
          </w:tcPr>
          <w:p>
            <w:pPr>
              <w:spacing w:after="0"/>
              <w:rPr>
                <w:sz w:val="19"/>
                <w:szCs w:val="19"/>
                <w:color w:val="auto"/>
              </w:rPr>
            </w:pPr>
          </w:p>
        </w:tc>
        <w:tc>
          <w:tcPr>
            <w:tcW w:w="66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29,783</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580" w:type="dxa"/>
            <w:vAlign w:val="bottom"/>
          </w:tcPr>
          <w:p>
            <w:pPr>
              <w:jc w:val="right"/>
              <w:ind w:right="3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0"/>
              </w:rPr>
              <w:t>(6,373)</w:t>
            </w:r>
          </w:p>
        </w:tc>
        <w:tc>
          <w:tcPr>
            <w:tcW w:w="2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Laboratory supplies and services expense increased by $548,000 from $737,000 during the three months ended June 30, 2016 to $1,285,000 during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current period. Laboratory supplies and services expense increased by $2,014,000 from $2,072,000 during the nine months ended June 30, 2016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$4,086,000 during the current period. The increase in laboratory supplies and services is a result of additional supply purchases necessary to support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expansion of the Company’s preclinical pipeline as well as the development of the subcutaneous versions of its new drug candidates.</w:t>
      </w:r>
    </w:p>
    <w:p>
      <w:pPr>
        <w:spacing w:after="0" w:line="21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vivo studies expense increased by $228,000 from $505,000 during the three months ended June 30, 2016 to $733,000 during the current period. In vivo studies expense increased by $546,000 from $1,221,000 during the nine months ended June 30, 2016 to $1,767,000 during the current period. In vivo expense can vary depending on the stage of preclinical candidates, the nature and amount of testing required and the cost variation of different in vivo testing models. The increase in in vivo studies in the current period is a result of additional discovery studies being conducted for the Company’s subcutaneous candidates.</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Outside labs and contract services expense increased by $97,000 from $46,000 during the three months ended June 30, 2016 to $143,000 during the current period. Outside labs and contract services expense increased by $299,000 from $116,000 during the nine months ended June 30, 2016 to $415,000 during the current period. The increase in outside labs and contract services in the current period is a result of additional discovery work being conducted for the Company’s subcutaneous candidates.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6" w:name="page27"/>
    <w:bookmarkEnd w:id="26"/>
    <w:p>
      <w:pPr>
        <w:ind w:right="60" w:firstLine="518"/>
        <w:spacing w:after="0" w:line="276" w:lineRule="auto"/>
        <w:rPr>
          <w:sz w:val="20"/>
          <w:szCs w:val="20"/>
          <w:color w:val="auto"/>
        </w:rPr>
      </w:pPr>
      <w:r>
        <w:rPr>
          <w:rFonts w:ascii="Arial" w:cs="Arial" w:eastAsia="Arial" w:hAnsi="Arial"/>
          <w:sz w:val="17"/>
          <w:szCs w:val="17"/>
          <w:color w:val="auto"/>
        </w:rPr>
        <w:t>Toxicity/efficacy studies expense decreased by $1,340,000 from $1,450,000 during the three months ended June 30, 2016 to $110,000 during the current period. Toxicity/efficacy studies expense decreased by $6,425,000 from $7,142,000 during the nine months ended June 30, 2016 to $717,000 during the current period. This category includes IND-enabling toxicology studies as well as post-IND toxicology studies, such as long-term toxicology studies, and other efficacy studies. The decrease primarily relates to toxicology studies related to one of our discontinued drug candidates, ARC-521. We anticipate this expense to increase as we prepare to enter clinical trials with our new subcutaneous drug candidates.</w:t>
      </w:r>
    </w:p>
    <w:p>
      <w:pPr>
        <w:spacing w:after="0" w:line="17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Drug manufacturing expense increased by $606,000 from $2,529,000 during the three months ended June 30, 2016 to $3,135,000 during the current period. Drug manufacturing expense decreased by $2,036,000 from $7,849,000 during the nine months ended June 30, 2016 to $5,813,000 during the current period. The increase in the three month period is primarily due to the initiation of manufacturing campaigns for preclinical toxicology and future phase 1 clinical trials for our second-generation candidates ARO-HBV and ARO-AAT. The decrease in the nine month period is primarily due to the timing of manufacturing services that were completed in fiscal 2016 for our previous clinical candidates. We anticipate this expense to increase in the near term as our second-generation candidates progress toward the clinic.</w:t>
      </w:r>
    </w:p>
    <w:p>
      <w:pPr>
        <w:spacing w:after="0" w:line="193"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Clinical trials expense decreased by $2,994,000 from $3,787,000 during the three months ended June 30, 2016 to $793,000 during the current period. Clinical trials expense decreased by $1,615,000 from $10,264,000 during the nine months ended June 30, 2016 to $8,649,000 during the current period. The decrease is primarily due to the discontinuation of our previous clinical candidates, and the close out of those studies. We anticipate this expense to remain low in the near term due to the discontinuation of our clinical candidates.</w:t>
      </w:r>
    </w:p>
    <w:p>
      <w:pPr>
        <w:spacing w:after="0" w:line="18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License, royalty and milestones expense decreased by $12,000 from $12,000 during the three months ended June 30, 2016 to $0 during the current period. License, royalty and milestones expense decreased by $44,000 from $44,000 during the nine months ended June 30, 2016 to $0 during the current period. This category can include milestone payments which can vary from period to period depending on the nature of our various license agreements, and the timing of reaching various development milestones requiring payment. No significant milestones were achieved in either of the fiscal periods discussed above.</w:t>
      </w:r>
    </w:p>
    <w:p>
      <w:pPr>
        <w:spacing w:after="0" w:line="188"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Facilities expense increased by $333,000 from $315,000 during the three months ended June 30, 2016 to $648,000 during the current period. Facilities expense increased by $834,000 from $927,000 during the nine months ended June 30, 2016 to $1,761,000 during the current period. The increase relates to increased rental costs for our new lease for a larger facility in Madison, Wisconsin, which we began occupying in October 2016.</w:t>
      </w:r>
    </w:p>
    <w:p>
      <w:pPr>
        <w:spacing w:after="0" w:line="166"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Other research expense increased by $17,000 from $42,000 during the three months ended June 30, 2016 to $59,000 during the current period. Other research expense increased by $54,000 from $148,000 during the nine months ended June 30, 2016 to $202,000 during the current period. The increase primarily relates to additional miscellaneous supplies purchased to support efforts at our larger facility in Madison, Wisconsin.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Salaries – Three and nine months ended June 30, 2017 compared to the three and nine months ended June 30, 2016</w:t>
      </w:r>
    </w:p>
    <w:p>
      <w:pPr>
        <w:spacing w:after="0" w:line="117" w:lineRule="exact"/>
        <w:rPr>
          <w:sz w:val="20"/>
          <w:szCs w:val="20"/>
          <w:color w:val="auto"/>
        </w:rPr>
      </w:pPr>
    </w:p>
    <w:p>
      <w:pPr>
        <w:ind w:right="600" w:firstLine="518"/>
        <w:spacing w:after="0" w:line="279" w:lineRule="auto"/>
        <w:rPr>
          <w:sz w:val="20"/>
          <w:szCs w:val="20"/>
          <w:color w:val="auto"/>
        </w:rPr>
      </w:pPr>
      <w:r>
        <w:rPr>
          <w:rFonts w:ascii="Arial" w:cs="Arial" w:eastAsia="Arial" w:hAnsi="Arial"/>
          <w:sz w:val="17"/>
          <w:szCs w:val="17"/>
          <w:color w:val="auto"/>
        </w:rPr>
        <w:t>The Company employs scientific, technical and administrative staff at its corporate offices and its research facility. Salaries and payroll-related expense consists of salary, bonuses, payroll taxes and related benefits. Salary and payroll-related expenses include two major categories: general and administrative (G&amp;A) compensation expense, and research and development (R&amp;D) compensation expense, based on the primary activities of each employee. The following table provides details of salary and payroll-related expenses for the periods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860" w:type="dxa"/>
            <w:vAlign w:val="bottom"/>
          </w:tcPr>
          <w:p>
            <w:pPr>
              <w:jc w:val="center"/>
              <w:ind w:left="208"/>
              <w:spacing w:after="0"/>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Three Months</w:t>
            </w: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0" w:type="dxa"/>
            <w:vAlign w:val="bottom"/>
          </w:tcPr>
          <w:p>
            <w:pPr>
              <w:jc w:val="center"/>
              <w:ind w:left="386"/>
              <w:spacing w:after="0"/>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left="208"/>
              <w:spacing w:after="0"/>
              <w:rPr>
                <w:sz w:val="20"/>
                <w:szCs w:val="20"/>
                <w:color w:val="auto"/>
              </w:rPr>
            </w:pPr>
            <w:r>
              <w:rPr>
                <w:rFonts w:ascii="Arial" w:cs="Arial" w:eastAsia="Arial" w:hAnsi="Arial"/>
                <w:sz w:val="14"/>
                <w:szCs w:val="14"/>
                <w:b w:val="1"/>
                <w:bCs w:val="1"/>
                <w:color w:val="auto"/>
                <w:w w:val="86"/>
              </w:rPr>
              <w:t>Expense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Ended</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Expense</w:t>
            </w:r>
          </w:p>
        </w:tc>
        <w:tc>
          <w:tcPr>
            <w:tcW w:w="300" w:type="dxa"/>
            <w:vAlign w:val="bottom"/>
          </w:tcPr>
          <w:p>
            <w:pPr>
              <w:spacing w:after="0"/>
              <w:rPr>
                <w:sz w:val="18"/>
                <w:szCs w:val="18"/>
                <w:color w:val="auto"/>
              </w:rPr>
            </w:pPr>
          </w:p>
        </w:tc>
        <w:tc>
          <w:tcPr>
            <w:tcW w:w="1580" w:type="dxa"/>
            <w:vAlign w:val="bottom"/>
            <w:gridSpan w:val="3"/>
          </w:tcPr>
          <w:p>
            <w:pPr>
              <w:ind w:left="360"/>
              <w:spacing w:after="0"/>
              <w:rPr>
                <w:sz w:val="20"/>
                <w:szCs w:val="20"/>
                <w:color w:val="auto"/>
              </w:rPr>
            </w:pPr>
            <w:r>
              <w:rPr>
                <w:rFonts w:ascii="Arial" w:cs="Arial" w:eastAsia="Arial" w:hAnsi="Arial"/>
                <w:sz w:val="14"/>
                <w:szCs w:val="14"/>
                <w:b w:val="1"/>
                <w:bCs w:val="1"/>
                <w:color w:val="auto"/>
                <w:w w:val="90"/>
              </w:rPr>
              <w:t>Increase (Decrease)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580" w:type="dxa"/>
            <w:vAlign w:val="bottom"/>
            <w:tcBorders>
              <w:bottom w:val="single" w:sz="8" w:color="B6EAFC"/>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260" w:type="dxa"/>
            <w:vAlign w:val="bottom"/>
            <w:tcBorders>
              <w:bottom w:val="single" w:sz="8" w:color="B6EAFC"/>
            </w:tcBorders>
          </w:tcPr>
          <w:p>
            <w:pPr>
              <w:spacing w:after="0"/>
              <w:rPr>
                <w:sz w:val="16"/>
                <w:szCs w:val="16"/>
                <w:color w:val="auto"/>
              </w:rPr>
            </w:pPr>
          </w:p>
        </w:tc>
        <w:tc>
          <w:tcPr>
            <w:tcW w:w="8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5"/>
              </w:rPr>
              <w:t>Category</w:t>
            </w: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B6EA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June 30, 2016</w:t>
            </w:r>
          </w:p>
        </w:tc>
        <w:tc>
          <w:tcPr>
            <w:tcW w:w="280" w:type="dxa"/>
            <w:vAlign w:val="bottom"/>
            <w:tcBorders>
              <w:bottom w:val="single" w:sz="8" w:color="B6EAFC"/>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B6EA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B6EAFC"/>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860" w:type="dxa"/>
            <w:vAlign w:val="bottom"/>
            <w:shd w:val="clear" w:color="auto" w:fill="B6EAFC"/>
          </w:tcPr>
          <w:p>
            <w:pPr>
              <w:jc w:val="right"/>
              <w:ind w:right="70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2,440</w:t>
            </w:r>
          </w:p>
        </w:tc>
        <w:tc>
          <w:tcPr>
            <w:tcW w:w="260" w:type="dxa"/>
            <w:vAlign w:val="bottom"/>
            <w:shd w:val="clear" w:color="auto" w:fill="B6EAFC"/>
          </w:tcPr>
          <w:p>
            <w:pPr>
              <w:spacing w:after="0"/>
              <w:rPr>
                <w:sz w:val="18"/>
                <w:szCs w:val="18"/>
                <w:color w:val="auto"/>
              </w:rPr>
            </w:pPr>
          </w:p>
        </w:tc>
        <w:tc>
          <w:tcPr>
            <w:tcW w:w="86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rPr>
              <w:t>71%</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3,101</w:t>
            </w:r>
          </w:p>
        </w:tc>
        <w:tc>
          <w:tcPr>
            <w:tcW w:w="280" w:type="dxa"/>
            <w:vAlign w:val="bottom"/>
            <w:shd w:val="clear" w:color="auto" w:fill="B6EAFC"/>
          </w:tcPr>
          <w:p>
            <w:pPr>
              <w:spacing w:after="0"/>
              <w:rPr>
                <w:sz w:val="18"/>
                <w:szCs w:val="18"/>
                <w:color w:val="auto"/>
              </w:rPr>
            </w:pPr>
          </w:p>
        </w:tc>
        <w:tc>
          <w:tcPr>
            <w:tcW w:w="146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rPr>
              <w:t>75%</w:t>
            </w:r>
          </w:p>
        </w:tc>
        <w:tc>
          <w:tcPr>
            <w:tcW w:w="300" w:type="dxa"/>
            <w:vAlign w:val="bottom"/>
            <w:shd w:val="clear" w:color="auto" w:fill="B6EAFC"/>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B6EAFC"/>
          </w:tcPr>
          <w:p>
            <w:pPr>
              <w:jc w:val="right"/>
              <w:ind w:right="200"/>
              <w:spacing w:after="0"/>
              <w:rPr>
                <w:sz w:val="20"/>
                <w:szCs w:val="20"/>
                <w:color w:val="auto"/>
              </w:rPr>
            </w:pPr>
            <w:r>
              <w:rPr>
                <w:rFonts w:ascii="Arial" w:cs="Arial" w:eastAsia="Arial" w:hAnsi="Arial"/>
                <w:sz w:val="16"/>
                <w:szCs w:val="16"/>
                <w:color w:val="auto"/>
              </w:rPr>
              <w:t>(661)</w:t>
            </w:r>
          </w:p>
        </w:tc>
        <w:tc>
          <w:tcPr>
            <w:tcW w:w="480" w:type="dxa"/>
            <w:vAlign w:val="bottom"/>
            <w:shd w:val="clear" w:color="auto" w:fill="B6EAFC"/>
          </w:tcPr>
          <w:p>
            <w:pPr>
              <w:spacing w:after="0"/>
              <w:rPr>
                <w:sz w:val="18"/>
                <w:szCs w:val="18"/>
                <w:color w:val="auto"/>
              </w:rPr>
            </w:pPr>
          </w:p>
        </w:tc>
        <w:tc>
          <w:tcPr>
            <w:tcW w:w="84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981</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1,012</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(31)</w:t>
            </w:r>
          </w:p>
        </w:tc>
        <w:tc>
          <w:tcPr>
            <w:tcW w:w="4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vMerge w:val="continue"/>
            <w:shd w:val="clear" w:color="auto" w:fill="B6EAFC"/>
          </w:tcPr>
          <w:p>
            <w:pPr>
              <w:spacing w:after="0"/>
              <w:rPr>
                <w:sz w:val="18"/>
                <w:szCs w:val="18"/>
                <w:color w:val="auto"/>
              </w:rPr>
            </w:pPr>
          </w:p>
        </w:tc>
        <w:tc>
          <w:tcPr>
            <w:tcW w:w="860" w:type="dxa"/>
            <w:vAlign w:val="bottom"/>
            <w:shd w:val="clear" w:color="auto" w:fill="B6EAFC"/>
          </w:tcPr>
          <w:p>
            <w:pPr>
              <w:jc w:val="right"/>
              <w:ind w:right="70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3,421</w:t>
            </w:r>
          </w:p>
        </w:tc>
        <w:tc>
          <w:tcPr>
            <w:tcW w:w="260" w:type="dxa"/>
            <w:vAlign w:val="bottom"/>
            <w:shd w:val="clear" w:color="auto" w:fill="B6EAFC"/>
          </w:tcPr>
          <w:p>
            <w:pPr>
              <w:spacing w:after="0"/>
              <w:rPr>
                <w:sz w:val="18"/>
                <w:szCs w:val="18"/>
                <w:color w:val="auto"/>
              </w:rPr>
            </w:pPr>
          </w:p>
        </w:tc>
        <w:tc>
          <w:tcPr>
            <w:tcW w:w="86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w w:val="97"/>
              </w:rPr>
              <w:t>100%</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4,113</w:t>
            </w:r>
          </w:p>
        </w:tc>
        <w:tc>
          <w:tcPr>
            <w:tcW w:w="280" w:type="dxa"/>
            <w:vAlign w:val="bottom"/>
            <w:shd w:val="clear" w:color="auto" w:fill="B6EAFC"/>
          </w:tcPr>
          <w:p>
            <w:pPr>
              <w:spacing w:after="0"/>
              <w:rPr>
                <w:sz w:val="18"/>
                <w:szCs w:val="18"/>
                <w:color w:val="auto"/>
              </w:rPr>
            </w:pPr>
          </w:p>
        </w:tc>
        <w:tc>
          <w:tcPr>
            <w:tcW w:w="146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B6EAFC"/>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B6EAFC"/>
          </w:tcPr>
          <w:p>
            <w:pPr>
              <w:jc w:val="right"/>
              <w:ind w:right="200"/>
              <w:spacing w:after="0"/>
              <w:rPr>
                <w:sz w:val="20"/>
                <w:szCs w:val="20"/>
                <w:color w:val="auto"/>
              </w:rPr>
            </w:pPr>
            <w:r>
              <w:rPr>
                <w:rFonts w:ascii="Arial" w:cs="Arial" w:eastAsia="Arial" w:hAnsi="Arial"/>
                <w:sz w:val="16"/>
                <w:szCs w:val="16"/>
                <w:color w:val="auto"/>
              </w:rPr>
              <w:t>(692)</w:t>
            </w:r>
          </w:p>
        </w:tc>
        <w:tc>
          <w:tcPr>
            <w:tcW w:w="480" w:type="dxa"/>
            <w:vAlign w:val="bottom"/>
            <w:shd w:val="clear" w:color="auto" w:fill="B6EAFC"/>
          </w:tcPr>
          <w:p>
            <w:pPr>
              <w:spacing w:after="0"/>
              <w:rPr>
                <w:sz w:val="18"/>
                <w:szCs w:val="18"/>
                <w:color w:val="auto"/>
              </w:rPr>
            </w:pPr>
          </w:p>
        </w:tc>
        <w:tc>
          <w:tcPr>
            <w:tcW w:w="84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84"/>
        </w:trPr>
        <w:tc>
          <w:tcPr>
            <w:tcW w:w="2580" w:type="dxa"/>
            <w:vAlign w:val="bottom"/>
          </w:tcPr>
          <w:p>
            <w:pPr>
              <w:spacing w:after="0"/>
              <w:rPr>
                <w:sz w:val="24"/>
                <w:szCs w:val="24"/>
                <w:color w:val="auto"/>
              </w:rPr>
            </w:pPr>
          </w:p>
        </w:tc>
        <w:tc>
          <w:tcPr>
            <w:tcW w:w="13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260" w:type="dxa"/>
            <w:vAlign w:val="bottom"/>
          </w:tcPr>
          <w:p>
            <w:pPr>
              <w:spacing w:after="0"/>
              <w:rPr>
                <w:sz w:val="24"/>
                <w:szCs w:val="24"/>
                <w:color w:val="auto"/>
              </w:rPr>
            </w:pPr>
          </w:p>
        </w:tc>
        <w:tc>
          <w:tcPr>
            <w:tcW w:w="860" w:type="dxa"/>
            <w:vAlign w:val="bottom"/>
            <w:tcBorders>
              <w:top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 of</w:t>
            </w:r>
          </w:p>
        </w:tc>
        <w:tc>
          <w:tcPr>
            <w:tcW w:w="2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Nine Months</w:t>
            </w:r>
          </w:p>
        </w:tc>
        <w:tc>
          <w:tcPr>
            <w:tcW w:w="28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860" w:type="dxa"/>
            <w:vAlign w:val="bottom"/>
          </w:tcPr>
          <w:p>
            <w:pPr>
              <w:jc w:val="center"/>
              <w:ind w:left="386"/>
              <w:spacing w:after="0"/>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left="208"/>
              <w:spacing w:after="0"/>
              <w:rPr>
                <w:sz w:val="20"/>
                <w:szCs w:val="20"/>
                <w:color w:val="auto"/>
              </w:rPr>
            </w:pPr>
            <w:r>
              <w:rPr>
                <w:rFonts w:ascii="Arial" w:cs="Arial" w:eastAsia="Arial" w:hAnsi="Arial"/>
                <w:sz w:val="14"/>
                <w:szCs w:val="14"/>
                <w:b w:val="1"/>
                <w:bCs w:val="1"/>
                <w:color w:val="auto"/>
                <w:w w:val="86"/>
              </w:rPr>
              <w:t>Expense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Ended</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Expense</w:t>
            </w:r>
          </w:p>
        </w:tc>
        <w:tc>
          <w:tcPr>
            <w:tcW w:w="300" w:type="dxa"/>
            <w:vAlign w:val="bottom"/>
          </w:tcPr>
          <w:p>
            <w:pPr>
              <w:spacing w:after="0"/>
              <w:rPr>
                <w:sz w:val="18"/>
                <w:szCs w:val="18"/>
                <w:color w:val="auto"/>
              </w:rPr>
            </w:pPr>
          </w:p>
        </w:tc>
        <w:tc>
          <w:tcPr>
            <w:tcW w:w="1580" w:type="dxa"/>
            <w:vAlign w:val="bottom"/>
            <w:gridSpan w:val="3"/>
          </w:tcPr>
          <w:p>
            <w:pPr>
              <w:ind w:left="360"/>
              <w:spacing w:after="0"/>
              <w:rPr>
                <w:sz w:val="20"/>
                <w:szCs w:val="20"/>
                <w:color w:val="auto"/>
              </w:rPr>
            </w:pPr>
            <w:r>
              <w:rPr>
                <w:rFonts w:ascii="Arial" w:cs="Arial" w:eastAsia="Arial" w:hAnsi="Arial"/>
                <w:sz w:val="14"/>
                <w:szCs w:val="14"/>
                <w:b w:val="1"/>
                <w:bCs w:val="1"/>
                <w:color w:val="auto"/>
                <w:w w:val="90"/>
              </w:rPr>
              <w:t>Increase (Decrease)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580" w:type="dxa"/>
            <w:vAlign w:val="bottom"/>
            <w:tcBorders>
              <w:bottom w:val="single" w:sz="8" w:color="B6EAFC"/>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260" w:type="dxa"/>
            <w:vAlign w:val="bottom"/>
            <w:tcBorders>
              <w:bottom w:val="single" w:sz="8" w:color="B6EAFC"/>
            </w:tcBorders>
          </w:tcPr>
          <w:p>
            <w:pPr>
              <w:spacing w:after="0"/>
              <w:rPr>
                <w:sz w:val="16"/>
                <w:szCs w:val="16"/>
                <w:color w:val="auto"/>
              </w:rPr>
            </w:pPr>
          </w:p>
        </w:tc>
        <w:tc>
          <w:tcPr>
            <w:tcW w:w="8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5"/>
              </w:rPr>
              <w:t>Category</w:t>
            </w: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B6EA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June 30, 2016</w:t>
            </w:r>
          </w:p>
        </w:tc>
        <w:tc>
          <w:tcPr>
            <w:tcW w:w="280" w:type="dxa"/>
            <w:vAlign w:val="bottom"/>
            <w:tcBorders>
              <w:bottom w:val="single" w:sz="8" w:color="B6EAFC"/>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B6EA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B6EAFC"/>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860" w:type="dxa"/>
            <w:vAlign w:val="bottom"/>
            <w:shd w:val="clear" w:color="auto" w:fill="B6EAFC"/>
          </w:tcPr>
          <w:p>
            <w:pPr>
              <w:jc w:val="right"/>
              <w:ind w:right="70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8,244</w:t>
            </w:r>
          </w:p>
        </w:tc>
        <w:tc>
          <w:tcPr>
            <w:tcW w:w="260" w:type="dxa"/>
            <w:vAlign w:val="bottom"/>
            <w:shd w:val="clear" w:color="auto" w:fill="B6EAFC"/>
          </w:tcPr>
          <w:p>
            <w:pPr>
              <w:spacing w:after="0"/>
              <w:rPr>
                <w:sz w:val="18"/>
                <w:szCs w:val="18"/>
                <w:color w:val="auto"/>
              </w:rPr>
            </w:pPr>
          </w:p>
        </w:tc>
        <w:tc>
          <w:tcPr>
            <w:tcW w:w="86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rPr>
              <w:t>73%</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9,179</w:t>
            </w:r>
          </w:p>
        </w:tc>
        <w:tc>
          <w:tcPr>
            <w:tcW w:w="280" w:type="dxa"/>
            <w:vAlign w:val="bottom"/>
            <w:shd w:val="clear" w:color="auto" w:fill="B6EAFC"/>
          </w:tcPr>
          <w:p>
            <w:pPr>
              <w:spacing w:after="0"/>
              <w:rPr>
                <w:sz w:val="18"/>
                <w:szCs w:val="18"/>
                <w:color w:val="auto"/>
              </w:rPr>
            </w:pPr>
          </w:p>
        </w:tc>
        <w:tc>
          <w:tcPr>
            <w:tcW w:w="146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rPr>
              <w:t>75%</w:t>
            </w:r>
          </w:p>
        </w:tc>
        <w:tc>
          <w:tcPr>
            <w:tcW w:w="300" w:type="dxa"/>
            <w:vAlign w:val="bottom"/>
            <w:shd w:val="clear" w:color="auto" w:fill="B6EAFC"/>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B6EAFC"/>
          </w:tcPr>
          <w:p>
            <w:pPr>
              <w:jc w:val="right"/>
              <w:ind w:right="200"/>
              <w:spacing w:after="0"/>
              <w:rPr>
                <w:sz w:val="20"/>
                <w:szCs w:val="20"/>
                <w:color w:val="auto"/>
              </w:rPr>
            </w:pPr>
            <w:r>
              <w:rPr>
                <w:rFonts w:ascii="Arial" w:cs="Arial" w:eastAsia="Arial" w:hAnsi="Arial"/>
                <w:sz w:val="16"/>
                <w:szCs w:val="16"/>
                <w:color w:val="auto"/>
              </w:rPr>
              <w:t>(935)</w:t>
            </w:r>
          </w:p>
        </w:tc>
        <w:tc>
          <w:tcPr>
            <w:tcW w:w="480" w:type="dxa"/>
            <w:vAlign w:val="bottom"/>
            <w:shd w:val="clear" w:color="auto" w:fill="B6EAFC"/>
          </w:tcPr>
          <w:p>
            <w:pPr>
              <w:spacing w:after="0"/>
              <w:rPr>
                <w:sz w:val="18"/>
                <w:szCs w:val="18"/>
                <w:color w:val="auto"/>
              </w:rPr>
            </w:pPr>
          </w:p>
        </w:tc>
        <w:tc>
          <w:tcPr>
            <w:tcW w:w="84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3,038</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3,103</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(65)</w:t>
            </w:r>
          </w:p>
        </w:tc>
        <w:tc>
          <w:tcPr>
            <w:tcW w:w="4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vMerge w:val="continue"/>
            <w:shd w:val="clear" w:color="auto" w:fill="B6EAFC"/>
          </w:tcPr>
          <w:p>
            <w:pPr>
              <w:spacing w:after="0"/>
              <w:rPr>
                <w:sz w:val="18"/>
                <w:szCs w:val="18"/>
                <w:color w:val="auto"/>
              </w:rPr>
            </w:pPr>
          </w:p>
        </w:tc>
        <w:tc>
          <w:tcPr>
            <w:tcW w:w="860" w:type="dxa"/>
            <w:vAlign w:val="bottom"/>
            <w:shd w:val="clear" w:color="auto" w:fill="B6EAFC"/>
          </w:tcPr>
          <w:p>
            <w:pPr>
              <w:jc w:val="right"/>
              <w:ind w:right="70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B6EAFC"/>
          </w:tcPr>
          <w:p>
            <w:pPr>
              <w:jc w:val="right"/>
              <w:spacing w:after="0"/>
              <w:rPr>
                <w:sz w:val="20"/>
                <w:szCs w:val="20"/>
                <w:color w:val="auto"/>
              </w:rPr>
            </w:pPr>
            <w:r>
              <w:rPr>
                <w:rFonts w:ascii="Arial" w:cs="Arial" w:eastAsia="Arial" w:hAnsi="Arial"/>
                <w:sz w:val="16"/>
                <w:szCs w:val="16"/>
                <w:color w:val="auto"/>
                <w:w w:val="85"/>
              </w:rPr>
              <w:t>11,282</w:t>
            </w:r>
          </w:p>
        </w:tc>
        <w:tc>
          <w:tcPr>
            <w:tcW w:w="260" w:type="dxa"/>
            <w:vAlign w:val="bottom"/>
            <w:shd w:val="clear" w:color="auto" w:fill="B6EAFC"/>
          </w:tcPr>
          <w:p>
            <w:pPr>
              <w:spacing w:after="0"/>
              <w:rPr>
                <w:sz w:val="18"/>
                <w:szCs w:val="18"/>
                <w:color w:val="auto"/>
              </w:rPr>
            </w:pPr>
          </w:p>
        </w:tc>
        <w:tc>
          <w:tcPr>
            <w:tcW w:w="860" w:type="dxa"/>
            <w:vAlign w:val="bottom"/>
            <w:shd w:val="clear" w:color="auto" w:fill="B6EAFC"/>
          </w:tcPr>
          <w:p>
            <w:pPr>
              <w:spacing w:after="0"/>
              <w:rPr>
                <w:sz w:val="18"/>
                <w:szCs w:val="18"/>
                <w:color w:val="auto"/>
              </w:rPr>
            </w:pPr>
          </w:p>
        </w:tc>
        <w:tc>
          <w:tcPr>
            <w:tcW w:w="60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w w:val="97"/>
              </w:rPr>
              <w:t>100%</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12,282</w:t>
            </w:r>
          </w:p>
        </w:tc>
        <w:tc>
          <w:tcPr>
            <w:tcW w:w="280" w:type="dxa"/>
            <w:vAlign w:val="bottom"/>
            <w:shd w:val="clear" w:color="auto" w:fill="B6EAFC"/>
          </w:tcPr>
          <w:p>
            <w:pPr>
              <w:spacing w:after="0"/>
              <w:rPr>
                <w:sz w:val="18"/>
                <w:szCs w:val="18"/>
                <w:color w:val="auto"/>
              </w:rPr>
            </w:pPr>
          </w:p>
        </w:tc>
        <w:tc>
          <w:tcPr>
            <w:tcW w:w="146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B6EAFC"/>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B6EAFC"/>
          </w:tcPr>
          <w:p>
            <w:pPr>
              <w:jc w:val="right"/>
              <w:ind w:right="200"/>
              <w:spacing w:after="0"/>
              <w:rPr>
                <w:sz w:val="20"/>
                <w:szCs w:val="20"/>
                <w:color w:val="auto"/>
              </w:rPr>
            </w:pPr>
            <w:r>
              <w:rPr>
                <w:rFonts w:ascii="Arial" w:cs="Arial" w:eastAsia="Arial" w:hAnsi="Arial"/>
                <w:sz w:val="16"/>
                <w:szCs w:val="16"/>
                <w:color w:val="auto"/>
              </w:rPr>
              <w:t>(1,000)</w:t>
            </w:r>
          </w:p>
        </w:tc>
        <w:tc>
          <w:tcPr>
            <w:tcW w:w="480" w:type="dxa"/>
            <w:vAlign w:val="bottom"/>
            <w:shd w:val="clear" w:color="auto" w:fill="B6EAFC"/>
          </w:tcPr>
          <w:p>
            <w:pPr>
              <w:spacing w:after="0"/>
              <w:rPr>
                <w:sz w:val="18"/>
                <w:szCs w:val="18"/>
                <w:color w:val="auto"/>
              </w:rPr>
            </w:pPr>
          </w:p>
        </w:tc>
        <w:tc>
          <w:tcPr>
            <w:tcW w:w="84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jc w:val="both"/>
        <w:ind w:right="200" w:firstLine="518"/>
        <w:spacing w:after="0" w:line="264" w:lineRule="auto"/>
        <w:rPr>
          <w:sz w:val="20"/>
          <w:szCs w:val="20"/>
          <w:color w:val="auto"/>
        </w:rPr>
      </w:pPr>
      <w:r>
        <w:rPr>
          <w:rFonts w:ascii="Arial" w:cs="Arial" w:eastAsia="Arial" w:hAnsi="Arial"/>
          <w:sz w:val="18"/>
          <w:szCs w:val="18"/>
          <w:color w:val="auto"/>
        </w:rPr>
        <w:t>R&amp;D compensation expense decreased by $661,000 from $3,101,000 during the three months ended June 30, 2016 to $2,440,000 during the current period. R&amp;D compensation expense decreased by $935,000 from $9,179,000 during the nine months ended June 30, 2016 to $8,244,000 during the current period. The decrease is primarily due to the reduction in force in November 2016.</w:t>
      </w:r>
    </w:p>
    <w:p>
      <w:pPr>
        <w:spacing w:after="0" w:line="181"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G&amp;A compensation expense decreased by $31,000 from $1,012,000 during the three months ended June 30, 2016 to $981,000 during the current period. G&amp;A compensation expense decreased by $65,000 from $3,103,000 during the nine months ended June 30, 2016 to $3,038,000 during the current period. The decrease is primarily due to the reduction in force in November 2016.</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General &amp; Administrative Expenses – Three and nine months ended June 30, 2017 compared to the three and nine months ended June 30, 2016</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 thousands, except percentages)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Three</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Months Ended</w:t>
            </w: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of Expense</w:t>
            </w: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Months Ended</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89"/>
              </w:rPr>
              <w:t>Increase (Decrease)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June 30, 2017</w:t>
            </w:r>
          </w:p>
        </w:tc>
        <w:tc>
          <w:tcPr>
            <w:tcW w:w="24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32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June 30, 2016</w:t>
            </w:r>
          </w:p>
        </w:tc>
        <w:tc>
          <w:tcPr>
            <w:tcW w:w="24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861</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879</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jc w:val="right"/>
              <w:ind w:right="3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Patent expense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7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w:t>
            </w: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Travel</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(3)</w:t>
            </w: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7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7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B6EA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1,853</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2,276</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580" w:type="dxa"/>
            <w:vAlign w:val="bottom"/>
            <w:shd w:val="clear" w:color="auto" w:fill="B6EAFC"/>
          </w:tcPr>
          <w:p>
            <w:pPr>
              <w:jc w:val="right"/>
              <w:ind w:right="3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(423)</w:t>
            </w:r>
          </w:p>
        </w:tc>
        <w:tc>
          <w:tcPr>
            <w:tcW w:w="260" w:type="dxa"/>
            <w:vAlign w:val="bottom"/>
            <w:vMerge w:val="continue"/>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646"/>
        </w:trPr>
        <w:tc>
          <w:tcPr>
            <w:tcW w:w="3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Nine</w:t>
            </w:r>
          </w:p>
        </w:tc>
        <w:tc>
          <w:tcPr>
            <w:tcW w:w="2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Nine</w:t>
            </w:r>
          </w:p>
        </w:tc>
        <w:tc>
          <w:tcPr>
            <w:tcW w:w="2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Months Ended</w:t>
            </w: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of Expense</w:t>
            </w: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Months Ended</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of Expense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89"/>
              </w:rPr>
              <w:t>Increase (Decrease)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June 30, 2017</w:t>
            </w:r>
          </w:p>
        </w:tc>
        <w:tc>
          <w:tcPr>
            <w:tcW w:w="24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320" w:type="dxa"/>
            <w:vAlign w:val="bottom"/>
            <w:tcBorders>
              <w:bottom w:val="single" w:sz="8" w:color="B6EA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June 30, 2016</w:t>
            </w:r>
          </w:p>
        </w:tc>
        <w:tc>
          <w:tcPr>
            <w:tcW w:w="240" w:type="dxa"/>
            <w:vAlign w:val="bottom"/>
            <w:tcBorders>
              <w:bottom w:val="single" w:sz="8" w:color="B6EA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B6EAFC"/>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2,319</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3,548</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jc w:val="right"/>
              <w:ind w:right="3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w w:val="80"/>
              </w:rPr>
              <w:t>(1,229)</w:t>
            </w:r>
          </w:p>
        </w:tc>
        <w:tc>
          <w:tcPr>
            <w:tcW w:w="26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Patent expense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w:t>
            </w: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1,136</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7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246</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Travel</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7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454</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74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w:t>
            </w: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7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38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B6EAFC"/>
          </w:tcPr>
          <w:p>
            <w:pPr>
              <w:spacing w:after="0"/>
              <w:rPr>
                <w:sz w:val="19"/>
                <w:szCs w:val="19"/>
                <w:color w:val="auto"/>
              </w:rPr>
            </w:pP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1,305</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(1,232)</w:t>
            </w:r>
          </w:p>
        </w:tc>
        <w:tc>
          <w:tcPr>
            <w:tcW w:w="7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B6EA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shd w:val="clear" w:color="auto" w:fill="B6EAFC"/>
          </w:tcPr>
          <w:p>
            <w:pPr>
              <w:spacing w:after="0"/>
              <w:rPr>
                <w:sz w:val="19"/>
                <w:szCs w:val="19"/>
                <w:color w:val="auto"/>
              </w:rPr>
            </w:pP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5,331</w:t>
            </w:r>
          </w:p>
        </w:tc>
        <w:tc>
          <w:tcPr>
            <w:tcW w:w="240" w:type="dxa"/>
            <w:vAlign w:val="bottom"/>
            <w:shd w:val="clear" w:color="auto" w:fill="B6EAFC"/>
          </w:tcPr>
          <w:p>
            <w:pPr>
              <w:spacing w:after="0"/>
              <w:rPr>
                <w:sz w:val="19"/>
                <w:szCs w:val="19"/>
                <w:color w:val="auto"/>
              </w:rPr>
            </w:pPr>
          </w:p>
        </w:tc>
        <w:tc>
          <w:tcPr>
            <w:tcW w:w="138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8,046</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580" w:type="dxa"/>
            <w:vAlign w:val="bottom"/>
            <w:shd w:val="clear" w:color="auto" w:fill="B6EAFC"/>
          </w:tcPr>
          <w:p>
            <w:pPr>
              <w:jc w:val="right"/>
              <w:ind w:right="3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w w:val="80"/>
              </w:rPr>
              <w:t>(2,715)</w:t>
            </w:r>
          </w:p>
        </w:tc>
        <w:tc>
          <w:tcPr>
            <w:tcW w:w="260" w:type="dxa"/>
            <w:vAlign w:val="bottom"/>
            <w:vMerge w:val="continue"/>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decreased by $18,000 from $879,000 during the three months ended June 30, 2016 to $861,000 during the current period. Professional/outside services expense decreased by $1,229,000 from $3,548,000 during the nine months ended June 30, 2016 to $2,319,000 during the current period. The decrease primarily related to higher legal fees in the previous periods related to litigation cases.</w:t>
      </w:r>
    </w:p>
    <w:p>
      <w:pPr>
        <w:spacing w:after="0" w:line="188"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Patent expense decreased by $242,000 from $540,000 during the three months ended June 30, 2016 to $298,000 during the current period. Patent expense decreased by $277,000 from $1,136,000 during the nine months ended June 30, 2016 to $859,000 during the current period. The Company continues to invest in patent protection for its product candidates and other RNAi technology through patent filings in numerous countries. The Company expects to extend and maintain protection for its current portfolios, as appropriate, and file new patent applications as technologies are developed and improved. Expenses can vary from period to period as patents proceed through their prosecution life cycle.</w:t>
      </w:r>
    </w:p>
    <w:p>
      <w:pPr>
        <w:spacing w:after="0" w:line="173"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Facilities-related expense remained consistent at $84,000 and $83,000 in the three months ended June 30, 2016 and 2017, respectively. Facilities-related expense remained consistent at $240,000 and $246,000 in the nine months ended June 30, 2016 and 2017, respectively. Facilities expense relates to recurring expenses associated with our corporate headquarters in Pasadena.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right="40" w:firstLine="518"/>
        <w:spacing w:after="0" w:line="264" w:lineRule="auto"/>
        <w:rPr>
          <w:sz w:val="20"/>
          <w:szCs w:val="20"/>
          <w:color w:val="auto"/>
        </w:rPr>
      </w:pPr>
      <w:r>
        <w:rPr>
          <w:rFonts w:ascii="Arial" w:cs="Arial" w:eastAsia="Arial" w:hAnsi="Arial"/>
          <w:sz w:val="18"/>
          <w:szCs w:val="18"/>
          <w:color w:val="auto"/>
        </w:rPr>
        <w:t>Travel expense decreased by $43,000 from $258,000 during the three months ended June 30, 2016 to $215,000 during the current period. Travel expense decreased by $120,000 from $677,000 during the nine months ended June 30, 2016 to $557,000 during the current period. Travel expense decreased due to the discontinuation of our clinical trials in November 2016 and a reduction in R&amp;D headcount.</w:t>
      </w:r>
    </w:p>
    <w:p>
      <w:pPr>
        <w:spacing w:after="0" w:line="181"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Business insurance expense was consistent at $173,000 and $170,000 during the three months ended June 30, 2016 and 2017, respectively. Business insurance expense was consistent at $455,000 and $454,000 during the nine months ended June 30, 2016 and 2017, respectively. Business insurance costs consist of directors and officers insurance, property insurance, corporate liability insurance as well as insurance related to our previous clinical programs.</w:t>
      </w:r>
    </w:p>
    <w:p>
      <w:pPr>
        <w:spacing w:after="0" w:line="14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Communication and technology decreased by $96,000 from $176,000 during the three months ended June 30, 2016 to $80,000 during the current period. Communication and technology decreased by $131,000 from $458,000 during the nine months ended June 30, 2016 to $327,000 during the current period. This category includes costs associated with the Company’s IT infrastructure. The decrease was primarily due to several IT consulting projects completed during fiscal 2016.</w:t>
      </w:r>
    </w:p>
    <w:p>
      <w:pPr>
        <w:spacing w:after="0" w:line="18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Office expense increased by $57,000 from $66,000 during the three months ended June 30, 2016 to $123,000 during the current period. Office expense increased by $269,000 from $227,000 during the nine months ended June 30, 2016 to $496,000 during the current period. These expenses relate to conferences/training, office supplies, miscellaneous administrative expenses, and expenses related to office expansions at our R&amp;D facility in Madison and our corporate headquarters in Pasadena. The increase is primarily related to moving expenses for the Company’s move to its new facility in Madison, Wisconsin.</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Other expense decreased by $77,000 from $100,000 during the three months ended June 30, 2016 to $23,000 during the current period. Other expense decreased by $1,232,000 from $1,305,000 during the nine months ended June 30, 2016 to $73,000 during the current period. This category consists primarily of conference attendance fees, franchise and property tax expenses and marketing expenses. The decrease in other expense in the nine month period relates to litigation in the fiscal 2016 periods that was settled.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Stock-based compensation expense, a noncash expense, was $1,713,228 and $5,881,901 during the three and nine months ended June 30, 2017, respectively. Stock-based compensation expense, a noncash expense, was $2,750,785 and $7,547,967 during the three and nine months ended June 30, 2016, respectively. Stock-based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decrease in the expense in each period is primarily related to the decrease in the Company’s stock price, which is a key input in deriving the valuations of the awards.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Depreciation and amortization expense, a noncash expense, was $1,162,660 and $3,535,915 during the three and nine months ended June 30, 2017, respectively. Depreciation and amortization expense, a noncash expense, was $818,200 and $2,416,461 during the three and nine months ended June 30, 2016, respectively. The majority of depreciation and amortization expense relates to depreciation on lab equipment at our Madison research facility. In addition, the Company records depreciation on leasehold improvements at its Madison research facility and its Pasadena corporate headquarters. The increase in depreciation and amortization expense is primarily due to the depreciation on leasehold improvements at the Company’s new Madison research facility in the current period.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Other income / expense was income of $194,423 and $3,097,287 during the three and nine months ended June 30, 2017, respectively. Other income / expense was expense of $79,256 and income of $446,595 during the three and nine months ended June 30, 2016, respectively. The primary component of other income during the nine months ended June 30, 2017 was a change in the value of derivative liabilities related to certain warrants with a price adjustment feature, necessitating derivative accounting. The fluctuations were primarily driven by changes in the Company’s stock price, which had a corresponding impact to the valuation of the underlying warrants. Additionally, the Company recorded $1.3 million in other income due to an insurance settlement related to one of the Company’s recent litigation cases. The settlement amount was received in fiscal 2017.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Arrowhead has historically financed its operations through the sale of its securities. Research and development activities have required significant capital investment since the Company’s inception and are expected to continue to require significant cash investment.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jc w:val="both"/>
        <w:ind w:right="40" w:firstLine="518"/>
        <w:spacing w:after="0" w:line="264" w:lineRule="auto"/>
        <w:rPr>
          <w:sz w:val="20"/>
          <w:szCs w:val="20"/>
          <w:color w:val="auto"/>
        </w:rPr>
      </w:pPr>
      <w:r>
        <w:rPr>
          <w:rFonts w:ascii="Arial" w:cs="Arial" w:eastAsia="Arial" w:hAnsi="Arial"/>
          <w:sz w:val="18"/>
          <w:szCs w:val="18"/>
          <w:color w:val="auto"/>
        </w:rPr>
        <w:t>At June 30, 2017, the Company had cash on hand of approximately $38.4 million and short-term investments of $36.8 million as compared to cash on hand of $85.4 million and short-term investments of $0 million at September 30, 2016. The Company believes its current financial resources are sufficient to fund its operations through at least the next twelve months.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nine months ended June 30, 2017 and 2016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4"/>
                <w:szCs w:val="14"/>
                <w:color w:val="auto"/>
              </w:rPr>
            </w:pPr>
          </w:p>
        </w:tc>
        <w:tc>
          <w:tcPr>
            <w:tcW w:w="1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Nine Months Ended June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30, 2016</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Operating Activities</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(14,735,498)</w:t>
            </w:r>
          </w:p>
        </w:tc>
        <w:tc>
          <w:tcPr>
            <w:tcW w:w="4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(54,246,107)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(44,425,467)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15,160,252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9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12,177,652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1,488,044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(46,983,313)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(37,597,811)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9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85,366,448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81,214,354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9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38,383,135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43,616,543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During the nine months ended June 30, 2017, the Company used $14.7 million in cash from operating activities, primarily driven by $44.7 million of cash used for the on-going expenses of its research and development programs and general and administrative expenses, partially offset by the $30 million upfront payment received from Amgen. Cash used in investing activities was $44.4 million, which was primarily related to investments in short-term fixed-income securities of $39.9 million and $7.8 million of capital expenditures for leasehold improvements on the Company’s Madison research facility and lab equipment purchases. Cash generated by financing activities of $12.2 million was driven by the $12.5 million equity investment received from Amgen, and was partially offset by cash paid for employee taxes on net share settlements of restricted stock units that vested during the period.</w:t>
      </w:r>
    </w:p>
    <w:p>
      <w:pPr>
        <w:spacing w:after="0" w:line="165"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During the nine months ended June 30, 2016, the Company used $54.2 million in cash from operating activities, which represents the on-going expenses of its research and development programs and general and administrative expenses. Cash provided by investing activities was $15.2 million, which was primarily related to maturities on fixed income securities of $16.3 million and partially offset by capital expenditures of $1.1 million. Cash provided by financing activities of $1.5 million was primarily driven by cash received from the exercise of warrants and stock options of $2.3 million and partially offset by cash paid for employee taxes on net share settlements of restricted stock units that vested during the period of $0.6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3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2016, filed with the Securities and Exchange Commission on December 14, 2016.</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We disclosed information about certain of our legal proceedings in Part I, Item 3 of our Annual Report on Form 10-K for the year ended September 30, 2016. For an update to those disclosures, see Note 7 to the Consolidated Financial Statements under the heading “Litigation” in Part I, Item 1.</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Please carefully consider the information set forth in this Quarterly Report on Form 10-Q and the risk factors discussed in Part I, “Item 1A. Risk Factors” in our Annual Report on Form 10-K for the year ended September 30, 2016,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8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b w:val="1"/>
          <w:bCs w:val="1"/>
          <w:i w:val="1"/>
          <w:iCs w:val="1"/>
          <w:color w:val="auto"/>
        </w:rPr>
        <w:t>Our Board of Directors has adopted a rights agreement and has the authority to issue shares of “blank check” preferred stock, which may make an acquisition of the Company by another company more difficult.</w:t>
      </w:r>
    </w:p>
    <w:p>
      <w:pPr>
        <w:spacing w:after="0" w:line="62" w:lineRule="exact"/>
        <w:rPr>
          <w:sz w:val="20"/>
          <w:szCs w:val="20"/>
          <w:color w:val="auto"/>
        </w:rPr>
      </w:pPr>
    </w:p>
    <w:p>
      <w:pPr>
        <w:ind w:firstLine="571"/>
        <w:spacing w:after="0" w:line="271" w:lineRule="auto"/>
        <w:rPr>
          <w:sz w:val="20"/>
          <w:szCs w:val="20"/>
          <w:color w:val="auto"/>
        </w:rPr>
      </w:pPr>
      <w:r>
        <w:rPr>
          <w:rFonts w:ascii="Arial" w:cs="Arial" w:eastAsia="Arial" w:hAnsi="Arial"/>
          <w:sz w:val="17"/>
          <w:szCs w:val="17"/>
          <w:color w:val="auto"/>
        </w:rPr>
        <w:t>We have adopted and may in the future adopt certain measures that may have the effect of delaying, deferring or preventing a takeover or other change in control of the Company that a holder of our Common Stock might consider in its best interest. For example, on March 21, 2017, we entered into a rights agreement. The effect of this agreement could delay or prevent a third party from acquiring us or replacing members of our Board of Directors, or make more costly any attempt to acquire control of the Company, even if the acquisition or the Board designees would be beneficial to our stockholders. Further,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These factors could also reduce the price that certain investors might be willing to pay for shares of the common stock and result in the market price being lower than it would be without these provisions.</w:t>
      </w:r>
    </w:p>
    <w:p>
      <w:pPr>
        <w:spacing w:after="0" w:line="2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20" w:type="dxa"/>
            <w:vAlign w:val="bottom"/>
            <w:tcBorders>
              <w:top w:val="single" w:sz="8" w:color="auto"/>
            </w:tcBorders>
          </w:tcPr>
          <w:p>
            <w:pPr>
              <w:jc w:val="right"/>
              <w:ind w:right="416"/>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10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Certification of Chief Executive Officer pursuant to Rule 13a-14(a) of the Securities Exchange Act of 1934, as Adopted Pursuant to Section 302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323"/>
        </w:trPr>
        <w:tc>
          <w:tcPr>
            <w:tcW w:w="820" w:type="dxa"/>
            <w:vAlign w:val="bottom"/>
          </w:tcPr>
          <w:p>
            <w:pPr>
              <w:jc w:val="right"/>
              <w:ind w:right="416"/>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Rule 13a-14(a) of the Securities Exchange Act of 1934, as Adopted Pursuant to Section 302</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323"/>
        </w:trPr>
        <w:tc>
          <w:tcPr>
            <w:tcW w:w="820" w:type="dxa"/>
            <w:vAlign w:val="bottom"/>
          </w:tcPr>
          <w:p>
            <w:pPr>
              <w:jc w:val="right"/>
              <w:ind w:right="416"/>
              <w:spacing w:after="0"/>
              <w:rPr>
                <w:sz w:val="20"/>
                <w:szCs w:val="20"/>
                <w:color w:val="auto"/>
              </w:rPr>
            </w:pPr>
            <w:r>
              <w:rPr>
                <w:rFonts w:ascii="Arial" w:cs="Arial" w:eastAsia="Arial" w:hAnsi="Arial"/>
                <w:sz w:val="18"/>
                <w:szCs w:val="18"/>
                <w:color w:val="auto"/>
                <w:w w:val="85"/>
              </w:rPr>
              <w:t>32.1</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323"/>
        </w:trPr>
        <w:tc>
          <w:tcPr>
            <w:tcW w:w="820" w:type="dxa"/>
            <w:vAlign w:val="bottom"/>
          </w:tcPr>
          <w:p>
            <w:pPr>
              <w:jc w:val="right"/>
              <w:ind w:right="416"/>
              <w:spacing w:after="0"/>
              <w:rPr>
                <w:sz w:val="20"/>
                <w:szCs w:val="20"/>
                <w:color w:val="auto"/>
              </w:rPr>
            </w:pPr>
            <w:r>
              <w:rPr>
                <w:rFonts w:ascii="Arial" w:cs="Arial" w:eastAsia="Arial" w:hAnsi="Arial"/>
                <w:sz w:val="18"/>
                <w:szCs w:val="18"/>
                <w:color w:val="auto"/>
                <w:w w:val="85"/>
              </w:rPr>
              <w:t>32.2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20" w:right="160" w:hanging="912"/>
        <w:spacing w:after="0" w:line="312"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materials from Registrant’s Quarterly Report on Form 10-Q for the quarter ended June 30, 2017,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00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7"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2017</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Arial" w:cs="Arial" w:eastAsia="Arial" w:hAnsi="Arial"/>
          <w:sz w:val="18"/>
          <w:szCs w:val="18"/>
          <w:color w:val="auto"/>
        </w:rPr>
        <w:t>By:</w:t>
        <w:tab/>
        <w:t>/s/ Kenneth A. Myszkowski</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121" w:right="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131" w:lineRule="exact"/>
        <w:rPr>
          <w:sz w:val="20"/>
          <w:szCs w:val="20"/>
          <w:color w:val="auto"/>
        </w:rPr>
      </w:pPr>
    </w:p>
    <w:p>
      <w:pPr>
        <w:jc w:val="center"/>
        <w:ind w:right="538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31750</wp:posOffset>
            </wp:positionV>
            <wp:extent cx="12604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53"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Christopher Anzalone</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1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31750</wp:posOffset>
            </wp:positionV>
            <wp:extent cx="1277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53"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Kenneth A. Myszkowski,</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June 30, 2017,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131" w:lineRule="exact"/>
        <w:rPr>
          <w:sz w:val="20"/>
          <w:szCs w:val="20"/>
          <w:color w:val="auto"/>
        </w:rPr>
      </w:pPr>
    </w:p>
    <w:p>
      <w:pPr>
        <w:jc w:val="center"/>
        <w:ind w:right="538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23495</wp:posOffset>
            </wp:positionV>
            <wp:extent cx="1260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53"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Christopher Anzalone</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June 30, 2017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13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23495</wp:posOffset>
            </wp:positionV>
            <wp:extent cx="1277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5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Kenneth A. Myszkowski</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0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2019-12-29T04:50:52Z</dcterms:created>
  <dcterms:modified xsi:type="dcterms:W3CDTF">2019-12-29T04:50:52Z</dcterms:modified>
</cp:coreProperties>
</file>