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RESEARCH CORPORATION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-2878455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-2586990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-1875155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-1583690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-442595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1" w:name="page2"/>
    <w:bookmarkEnd w:id="1"/>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3321685</wp:posOffset>
            </wp:positionH>
            <wp:positionV relativeFrom="page">
              <wp:posOffset>543560</wp:posOffset>
            </wp:positionV>
            <wp:extent cx="926465"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26465" cy="43751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FEBRUARY 6,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2014 Annual Meeting of Stockholders of Arrowhead Research Corporation,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will be held on February 6, 2014, at 10:00 a.m., local time, at the Sheraton Pasadena, 303 E. Cordova Street, Pasadena, California 91101,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purposes:</w:t>
      </w:r>
    </w:p>
    <w:p>
      <w:pPr>
        <w:spacing w:after="0" w:line="8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six directors to serve as members of the Company’s Board of Directors until the next Annual Meeting or until their successors are elected;</w:t>
      </w:r>
    </w:p>
    <w:p>
      <w:pPr>
        <w:spacing w:after="0" w:line="107"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Company’s 2013 Incentive Plan (the “</w:t>
      </w:r>
      <w:r>
        <w:rPr>
          <w:rFonts w:ascii="Arial" w:cs="Arial" w:eastAsia="Arial" w:hAnsi="Arial"/>
          <w:sz w:val="18"/>
          <w:szCs w:val="18"/>
          <w:b w:val="1"/>
          <w:bCs w:val="1"/>
          <w:color w:val="auto"/>
        </w:rPr>
        <w:t>2013 Incentive Plan</w:t>
      </w:r>
      <w:r>
        <w:rPr>
          <w:rFonts w:ascii="Arial" w:cs="Arial" w:eastAsia="Arial" w:hAnsi="Arial"/>
          <w:sz w:val="18"/>
          <w:szCs w:val="18"/>
          <w:color w:val="auto"/>
        </w:rPr>
        <w:t>”), attached hereto as Annex A;</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2014;</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1 relates solely to the election of the six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December 18, 2013 are entitled to notice of and to vote at the Annual Meeting.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to mark, sign, date and return the proxy card as promptly as possible in the postage-prepaid envelope enclosed for that purpose. Any stockholder of record attending the Annual Meeting may vote in person even if such stockholder has previously returned a proxy. Please note, however, that if your shares are held of record by a broker, bank or other nominee and you wish to vote at the meeting, you must obtain a proxy issued in your name from that record holder.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2013</w:t>
      </w:r>
    </w:p>
    <w:p>
      <w:pPr>
        <w:spacing w:after="0" w:line="1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stamped return envelope provided. Voting promptly will help avoid the additional expense of further solicitation to assure a quorum at the meeting. Please note, however, that if your shares are held of record by a broker, bank or other nominee and you wish to vote at the meeting, you must obtain a proxy issued in your name from that record 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Thursday, February 6,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2014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2014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2013;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ectPr>
          <w:pgSz w:w="11900" w:h="16838" w:orient="portrait"/>
          <w:cols w:equalWidth="0" w:num="1">
            <w:col w:w="11380"/>
          </w:cols>
          <w:pgMar w:left="240" w:top="144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FEBRUARY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The enclosed Proxy is solicited on behalf of Arrowhead Research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2014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February 6, 2014 at 10:00 a.m., local time, and at any adjournment(s) thereof, for the purposes set forth herein and in the accompanying Notice of Annual Meeting of Stockholders (the “</w:t>
      </w:r>
      <w:r>
        <w:rPr>
          <w:rFonts w:ascii="Arial" w:cs="Arial" w:eastAsia="Arial" w:hAnsi="Arial"/>
          <w:sz w:val="18"/>
          <w:szCs w:val="18"/>
          <w:b w:val="1"/>
          <w:bCs w:val="1"/>
          <w:color w:val="auto"/>
        </w:rPr>
        <w:t>Notice</w:t>
      </w:r>
      <w:r>
        <w:rPr>
          <w:rFonts w:ascii="Arial" w:cs="Arial" w:eastAsia="Arial" w:hAnsi="Arial"/>
          <w:sz w:val="18"/>
          <w:szCs w:val="18"/>
          <w:color w:val="auto"/>
        </w:rPr>
        <w:t>”). The Annual Meeting will be held at the Sheraton Pasadena, 303 E. Cordova Street, Pasadena, CA 91101.</w:t>
      </w:r>
    </w:p>
    <w:p>
      <w:pPr>
        <w:spacing w:after="0" w:line="14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December 27, 2013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Only holders of record of our voting stock at the close of business on December 18, 2013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(i) 38,708,759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 (ii) 5,291 shares of Series B Convertible Preferred Stock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and (iii) 46,000 shares of Series C Convertible Preferred Stock (the “</w:t>
      </w:r>
      <w:r>
        <w:rPr>
          <w:rFonts w:ascii="Arial" w:cs="Arial" w:eastAsia="Arial" w:hAnsi="Arial"/>
          <w:sz w:val="16"/>
          <w:szCs w:val="16"/>
          <w:b w:val="1"/>
          <w:bCs w:val="1"/>
          <w:color w:val="auto"/>
        </w:rPr>
        <w:t>Series C 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together the “</w:t>
      </w:r>
      <w:r>
        <w:rPr>
          <w:rFonts w:ascii="Arial" w:cs="Arial" w:eastAsia="Arial" w:hAnsi="Arial"/>
          <w:sz w:val="16"/>
          <w:szCs w:val="16"/>
          <w:b w:val="1"/>
          <w:bCs w:val="1"/>
          <w:color w:val="auto"/>
        </w:rPr>
        <w:t>Preferred Stock</w:t>
      </w:r>
      <w:r>
        <w:rPr>
          <w:rFonts w:ascii="Arial" w:cs="Arial" w:eastAsia="Arial" w:hAnsi="Arial"/>
          <w:sz w:val="16"/>
          <w:szCs w:val="16"/>
          <w:color w:val="auto"/>
        </w:rPr>
        <w:t>”). Holders of the Preferred Stock are entitled to vote with the holders of Common Stock on an as-converted basis,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applicable limitations on their rights to convert the Preferred Stock into Common Stock. As of the Record Date, and without regard to conversion limits that may serve to reduce the number of shares eligible to vote at the annual meeting, the Preferred Stock was entitled to vote 10,741,086 equivalent shares of Common Stock. The Common Stock and that portion of the Preferred Stock that is entitled to vote at the Annual Meeting is sometimes referred to herein as the “</w:t>
      </w:r>
      <w:r>
        <w:rPr>
          <w:rFonts w:ascii="Arial" w:cs="Arial" w:eastAsia="Arial" w:hAnsi="Arial"/>
          <w:sz w:val="16"/>
          <w:szCs w:val="16"/>
          <w:b w:val="1"/>
          <w:bCs w:val="1"/>
          <w:color w:val="auto"/>
        </w:rPr>
        <w:t>Voting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Each share of the Company’s Voting Stock is entitled to one vote on all matters presented at the Annual Meeting. Stockholders do not have the right to cumulate their votes in the election of directors. Shares of Voting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addition to proxy solicitation by a proxy solicitor engaged by the Company, if 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Voting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directors, will be elected.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regard to all other proposals, the affirmative vote of a majority of the shares of Voting Stock entitled to vote thereon and present in person or by proxy at the Annual Meeting is required for approval (the “</w:t>
      </w:r>
      <w:r>
        <w:rPr>
          <w:rFonts w:ascii="Arial" w:cs="Arial" w:eastAsia="Arial" w:hAnsi="Arial"/>
          <w:sz w:val="18"/>
          <w:szCs w:val="18"/>
          <w:b w:val="1"/>
          <w:bCs w:val="1"/>
          <w:color w:val="auto"/>
        </w:rPr>
        <w:t>Required Vote</w:t>
      </w:r>
      <w:r>
        <w:rPr>
          <w:rFonts w:ascii="Arial" w:cs="Arial" w:eastAsia="Arial" w:hAnsi="Arial"/>
          <w:sz w:val="18"/>
          <w:szCs w:val="18"/>
          <w:color w:val="auto"/>
        </w:rPr>
        <w:t>”). With regard to these proposals, abstentions will be counted in tabulations of the votes cast on each such proposal and will have the same effect as a vote against the proposal, whereas broker non-votes will be excluded from the vote and will have no effect on its outcome.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0" w:lineRule="exact"/>
        <w:rPr>
          <w:sz w:val="20"/>
          <w:szCs w:val="20"/>
          <w:color w:val="auto"/>
        </w:rPr>
      </w:pPr>
    </w:p>
    <w:p>
      <w:pPr>
        <w:ind w:right="380" w:firstLine="456"/>
        <w:spacing w:after="0" w:line="301"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2015 Annual Meeting of Stockholders must ensure that the proposal is received by the Corporate Secretary at Arrowhead Research Corporation, 225 South Lake Avenue, Suite 1050, Pasadena, CA 91101, not later than August 29, 2014, in order to be considered for inclusion in our proxy materials for that meeting. Proposals received after that date may be excluded from the Company’s proxy statement.</w:t>
      </w:r>
    </w:p>
    <w:p>
      <w:pPr>
        <w:spacing w:after="0" w:line="10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2014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2015 annual meeting date is advanced by more than 30 days before or delayed by more than 60 days after the anniversary date of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The Board has nominated the following six persons as directors to serve until the 2015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six nominees receiving the greatest numbers of votes at the Annual Meeting will be elected to the six director positions. Unless otherwise instructed, the proxy holders will vote the proxies received by them for the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4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Edward W. Frykman*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Michael S. Perry*</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80" w:firstLine="8"/>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 ** Member of the Compensation Committee and Nomination Committee</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w:t>
      </w:r>
      <w:r>
        <w:rPr>
          <w:rFonts w:ascii="Arial" w:cs="Arial" w:eastAsia="Arial" w:hAnsi="Arial"/>
          <w:sz w:val="16"/>
          <w:szCs w:val="16"/>
          <w:b w:val="1"/>
          <w:bCs w:val="1"/>
          <w:color w:val="auto"/>
        </w:rPr>
        <w:t xml:space="preserve"> </w:t>
      </w:r>
      <w:r>
        <w:rPr>
          <w:rFonts w:ascii="Arial" w:cs="Arial" w:eastAsia="Arial" w:hAnsi="Arial"/>
          <w:sz w:val="16"/>
          <w:szCs w:val="16"/>
          <w:color w:val="auto"/>
        </w:rPr>
        <w:t>formed and served as CEO of the Benet Group LLC, a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is a director of Arrowhead’s wholly-owned subsidiary, Arrowhead Madison Inc., majority-owned subsidiaries, Calando Pharmaceuticals, Inc., Ablaris Therapeutics, Inc., and Tego Biosciences Corporation and minority investment, Leonardo Biosystems, Inc. Prior to his tenure at the Benet Group, from 1999 until 2003, he was a partner at the Washington, DC-based private equity firm Galway Partners, LLC, where he was in charge of sourcing, structuring, and building new business ventures and was founding CEO of NanoInk, Inc., a leading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biotechnology, nanotechnology, company-building and venture capital.</w:t>
      </w:r>
    </w:p>
    <w:p>
      <w:pPr>
        <w:spacing w:after="0" w:line="115"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Dr. Mauro Ferrari </w:t>
      </w:r>
      <w:r>
        <w:rPr>
          <w:rFonts w:ascii="Arial" w:cs="Arial" w:eastAsia="Arial" w:hAnsi="Arial"/>
          <w:sz w:val="16"/>
          <w:szCs w:val="16"/>
          <w:color w:val="auto"/>
        </w:rPr>
        <w:t>was appointed to the Arrowhead Board of Directors in 2010. Dr. Ferrari is the President and CEO of The Methodist Hospital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(TMHRI). He is also the President of The Alliance for NanoHealth. Dr. Ferrari is a director of, Leonardo Biosystems, Inc., in which Arrowhead holds a minority equity interest. Dr. Ferrari is an internationally recognized expert in nanomedicine and biomedical nanotechnology. Prior to assuming leadership of TMHRI, Dr. Ferrari was Professor and Chairman of The Department of NanoMedicine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in the development of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Mr. Frykman is also a director of Acacia Research Corporation, a publicly-held corporation based in Newport Beach, California. Mr. Frykman is a director of Arrowhead’s majority-owned subsidiaries Calando Pharmaceuticals, Inc., Ablaris Therapeutics, Inc., and Tego Biosciences Corporation. We believe</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87"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b w:val="1"/>
          <w:bCs w:val="1"/>
          <w:color w:val="auto"/>
        </w:rPr>
        <w:t xml:space="preserve">Dr. Douglass Given </w:t>
      </w:r>
      <w:r>
        <w:rPr>
          <w:rFonts w:ascii="Arial" w:cs="Arial" w:eastAsia="Arial" w:hAnsi="Arial"/>
          <w:sz w:val="15"/>
          <w:szCs w:val="15"/>
          <w:color w:val="auto"/>
        </w:rPr>
        <w:t>has been a director of the company since November 2010. He is an Investment Partner at Bay City Capital and has been with the firm</w:t>
      </w:r>
      <w:r>
        <w:rPr>
          <w:rFonts w:ascii="Arial" w:cs="Arial" w:eastAsia="Arial" w:hAnsi="Arial"/>
          <w:sz w:val="15"/>
          <w:szCs w:val="15"/>
          <w:b w:val="1"/>
          <w:bCs w:val="1"/>
          <w:color w:val="auto"/>
        </w:rPr>
        <w:t xml:space="preserve"> </w:t>
      </w:r>
      <w:r>
        <w:rPr>
          <w:rFonts w:ascii="Arial" w:cs="Arial" w:eastAsia="Arial" w:hAnsi="Arial"/>
          <w:sz w:val="15"/>
          <w:szCs w:val="15"/>
          <w:color w:val="auto"/>
        </w:rPr>
        <w:t>since October 2000. He was formerly Chief Executive 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Chairman of Vivaldi Biosciences, a privately-held, venture-backed biotech company. Dr. Given chaired the Visiting Committee to the Division of Biological Sciences and the Pritzker School of Medicine at the University of Chicago from 2007-2013 and remains a lifetime member and Distinguished Alumni Awardee. He is a member of the Johns Hopkins Bloomberg School of Public Health Advisory Board, a member of the Harvard School of Public Health and the Advisory Board for the Stevens Institute at USC.</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 Dr. Douglass Given is a brother of Dr. Bruce Given, our chief operating officer.</w:t>
      </w:r>
    </w:p>
    <w:p>
      <w:pPr>
        <w:spacing w:after="0" w:line="1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Mr. McKenney is a director of Arrowhead’s majority-owned subsidiaries Calando Pharmaceuticals, Inc., Ablaris Therapeutics, Inc., and Tego Biosciences Corporation.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0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Dr. Michael S. Perry </w:t>
      </w:r>
      <w:r>
        <w:rPr>
          <w:rFonts w:ascii="Arial" w:cs="Arial" w:eastAsia="Arial" w:hAnsi="Arial"/>
          <w:sz w:val="16"/>
          <w:szCs w:val="16"/>
          <w:color w:val="auto"/>
        </w:rPr>
        <w:t>joined Arrowhead’s Board of Directors in December 2011. Dr. Perry is Global Head, Stem Cell Therapy at Novartis Pharma.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his 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(APHB.PK) and Avita Medical (ASX:AVH and OTCQX:AVMXY).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1"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the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62" w:lineRule="exact"/>
        <w:rPr>
          <w:rFonts w:ascii="Arial" w:cs="Arial" w:eastAsia="Arial" w:hAnsi="Arial"/>
          <w:sz w:val="18"/>
          <w:szCs w:val="18"/>
          <w:color w:val="auto"/>
        </w:rPr>
      </w:pPr>
    </w:p>
    <w:p>
      <w:pPr>
        <w:ind w:left="900" w:right="1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the NASDAQ Marketplace Rules,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in executive session on a regular basis to discuss matters relating to the Company and the Board, without members of the management team present.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Research Corporation, 225 South Lake Avenue, Suite 1050,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held a total of fifteen meetings during the fiscal year ended September 30, 2013. The Board has three standing committees: an Audit Committee, a Compensation Committee, and a Nomination Committee.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2013. The current members of the Audit Committee are Edward W. Frykman, Chairman, Charles P. McKenney, and Michael S. Perry. The Board has determined that all members of the Audit Committee are independent directors under the Rules of the SEC and the listing standards of the NASDAQ Marketplace Rules and are financially literate. The Board has determined that Mr. Frykman is an “audit committee financial expert” in accordance with the applicable regulations. The Audit Committee Charter is available on the Company’s website at www.arrowheadresearch.com.</w:t>
      </w:r>
    </w:p>
    <w:p>
      <w:pPr>
        <w:spacing w:after="0" w:line="11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for the prior year and approve the goals of the Company and the CEO for the next year, to review and approve salaries, bonuses and other benefits payable to the Company’s executive officers and to administer the Company’s 2004 Equity Incentive Plan and 2013 Incentive Plan. The Compensation Committee is specifically responsible for determining the compensation of the CEO and the other executive officers. The Compensation Committee reviews compensation recommendations made by the CEO for other senior executives of the Company at least annually. The Compensation Committee did not retain the services of a compensation consultant in fiscal 2013, but has engaged a consultant for fiscal 2014. The Compensation Committee met three times during fiscal 2013. The current members of the Compensation Committee are Michael S. Perry, Chairman, Edward Frykman, Charles P. McKenney, and Mauro Ferrari. The Board has determined that all members of the Compensation Committee are independent directors under the listing rules of the NASDAQ Marketplace Rules. The Compensation Committee’s charter is available on the Company’s website at www.arrowheadresearch.com. The Committee has not delegated any of its responsibilities or authorities granted under its charter.</w:t>
      </w:r>
    </w:p>
    <w:p>
      <w:pPr>
        <w:spacing w:after="0" w:line="12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Nomination Committee met once during fiscal 2013. The current members of the Nomination Committee are Michael S. Perry, Chairman, Edward Frykman, Charles P. McKenney and Mauro Ferrari.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2013, and (ii) the total number of meetings held by all committees of the Board during fiscal 2013 on which such person served.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majority of the directors attended the 2013 Annual Meeting of Stockholders. It is the Company’s policy to encourage, but not require, that all directors attend our annual stockholder meetings.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2013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Our non-employee chairman of the board receives a cash retainer of $42,500 per year; other non-employee directors receive a cash retainer of $37,500 per year, paid quarterly. Additionally, non-employee directors received periodic grants of stock options based on recommendation of the Compensation Committee. Non-employee directors who served as Committee Chairs received an additional grant of 5,000 stock options in fiscal 2013. Based on the policies of his current employer, Dr. Ferrari has declined to accept cash or equity compensation to date. Dr. Ferrari may elect to receive compensation in the future. The following table sets forth the total compensation paid to our non-employee directors in fiscal 2013. Dr. Anzalone’s compensation is set forth below in the Summary Compensation Table.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Fee Earned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or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center"/>
              <w:ind w:right="78"/>
              <w:spacing w:after="0" w:line="148" w:lineRule="exact"/>
              <w:rPr>
                <w:sz w:val="20"/>
                <w:szCs w:val="20"/>
                <w:color w:val="auto"/>
              </w:rPr>
            </w:pPr>
            <w:r>
              <w:rPr>
                <w:rFonts w:ascii="Arial" w:cs="Arial" w:eastAsia="Arial" w:hAnsi="Arial"/>
                <w:sz w:val="14"/>
                <w:szCs w:val="14"/>
                <w:b w:val="1"/>
                <w:bCs w:val="1"/>
                <w:color w:val="auto"/>
                <w:w w:val="93"/>
              </w:rPr>
              <w:t>($)</w:t>
            </w:r>
          </w:p>
        </w:tc>
        <w:tc>
          <w:tcPr>
            <w:tcW w:w="1360" w:type="dxa"/>
            <w:vAlign w:val="bottom"/>
            <w:gridSpan w:val="3"/>
          </w:tcPr>
          <w:p>
            <w:pPr>
              <w:ind w:left="620"/>
              <w:spacing w:after="0" w:line="148"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(1) (2) (3)</w:t>
            </w:r>
          </w:p>
        </w:tc>
        <w:tc>
          <w:tcPr>
            <w:tcW w:w="600" w:type="dxa"/>
            <w:vAlign w:val="bottom"/>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2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31,875</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52,023</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$83,898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260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37,500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45,553</w:t>
            </w:r>
          </w:p>
        </w:tc>
        <w:tc>
          <w:tcPr>
            <w:tcW w:w="6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$83,053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260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37,500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$76,818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260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37,500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45,553</w:t>
            </w:r>
          </w:p>
        </w:tc>
        <w:tc>
          <w:tcPr>
            <w:tcW w:w="6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$83,053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Mauro Ferrari</w:t>
            </w:r>
          </w:p>
        </w:tc>
        <w:tc>
          <w:tcPr>
            <w:tcW w:w="260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40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Edward Frykman and Michael S. Perry each received a grant of an option to purchase 5,000 shares of common stock in fiscal 2013 for their service as Chairs of the Audit and Compensation Committee, respectively. There are no additional payments for being a member of a committee. Dr. Ferrari has declined to receive cash compensation at this time.</w:t>
      </w: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stock options granted during fiscal year 2013. The assumptions used to calculate the value of option awards are set forth under Note 10 to the Consolidated Financial Statements included with the Company’s fiscal 2013 Annual Report on Form 10-K.</w:t>
      </w:r>
    </w:p>
    <w:p>
      <w:pPr>
        <w:spacing w:after="0" w:line="1"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 grants to non-employee directors generally vest one year from date of grant. At September 30, 2013, Mr. Frykman had outstanding option grants to purchase 82,500 shares at prices ranging from $2.01 to $20.20; Mr. McKenney had outstanding option grants to purchase 75,000 shares at prices ranging from $2.19 to $20.20; Mr. Perry had outstanding option grants to purchase 77,000 shares at prices ranging from $2.01 to $5.19; Dr. Given had outstanding option grants to purchase 72,000 shares at prices ranging from $2.01 to $5.19; and Dr. Ferrari had outstanding option grants to purchase 24,843 shares at prices ranging from $9.60 to $28.70.</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six nominees receiving the greatest numbers of votes at the meeting, assuming a quorum is present, will be elected to the six director positions to serve until the next annual meeting of stockholders or until their successors have been duly elected and qualified. Because directors are elected by plurality, abstentions from voting and broker non-votes will be entirely excluded from the vote and will have no effect on its outcome.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DIRECTOR IN PROPOSAL ONE.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3"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2013 INCENTIVE PLAN</w:t>
      </w:r>
    </w:p>
    <w:p>
      <w:pPr>
        <w:spacing w:after="0" w:line="15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In Proposal Two, we are asking stockholders to approve the adoption of the 2013 Incentive Plan (the “</w:t>
      </w:r>
      <w:r>
        <w:rPr>
          <w:rFonts w:ascii="Arial" w:cs="Arial" w:eastAsia="Arial" w:hAnsi="Arial"/>
          <w:sz w:val="18"/>
          <w:szCs w:val="18"/>
          <w:b w:val="1"/>
          <w:bCs w:val="1"/>
          <w:color w:val="auto"/>
        </w:rPr>
        <w:t>2013 Plan</w:t>
      </w:r>
      <w:r>
        <w:rPr>
          <w:rFonts w:ascii="Arial" w:cs="Arial" w:eastAsia="Arial" w:hAnsi="Arial"/>
          <w:sz w:val="18"/>
          <w:szCs w:val="18"/>
          <w:color w:val="auto"/>
        </w:rPr>
        <w:t>”), including the material terms of performance goals for performance awards granted under the 2013 Plan. The 2013 Plan was adopted by the Board in December 2013 and will become effective only after approval of stockholders at the Annual Meeting.</w:t>
      </w:r>
    </w:p>
    <w:p>
      <w:pPr>
        <w:spacing w:after="0" w:line="13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employees, directors, consultants and key advisors should have a significant stake in the Company under programs that link compensation to stockholder return. As a result, equity compensation is considered to be an integral part of the Company’s compensation program. The Board approved the 2013 Plan because our 2004 Equity Incentive Plan (the “</w:t>
      </w:r>
      <w:r>
        <w:rPr>
          <w:rFonts w:ascii="Arial" w:cs="Arial" w:eastAsia="Arial" w:hAnsi="Arial"/>
          <w:sz w:val="16"/>
          <w:szCs w:val="16"/>
          <w:b w:val="1"/>
          <w:bCs w:val="1"/>
          <w:color w:val="auto"/>
        </w:rPr>
        <w:t>2004 Plan</w:t>
      </w:r>
      <w:r>
        <w:rPr>
          <w:rFonts w:ascii="Arial" w:cs="Arial" w:eastAsia="Arial" w:hAnsi="Arial"/>
          <w:sz w:val="16"/>
          <w:szCs w:val="16"/>
          <w:color w:val="auto"/>
        </w:rPr>
        <w:t>”) has very limited remaining shares in the Plan available for grant, will expire in December 2014, and the Company does not have any other plans under which equity awards can be granted.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believes that the 2013 Plan will promote the interests of stockholders and is consistent with principles of good corporate governance, including:</w:t>
      </w:r>
    </w:p>
    <w:p>
      <w:pPr>
        <w:spacing w:after="0" w:line="113" w:lineRule="exact"/>
        <w:rPr>
          <w:sz w:val="20"/>
          <w:szCs w:val="20"/>
          <w:color w:val="auto"/>
        </w:rPr>
      </w:pPr>
    </w:p>
    <w:p>
      <w:pPr>
        <w:ind w:left="900" w:right="80" w:hanging="325"/>
        <w:spacing w:after="0" w:line="33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Independent Committee</w:t>
      </w:r>
      <w:r>
        <w:rPr>
          <w:rFonts w:ascii="Arial" w:cs="Arial" w:eastAsia="Arial" w:hAnsi="Arial"/>
          <w:sz w:val="16"/>
          <w:szCs w:val="16"/>
          <w:color w:val="auto"/>
        </w:rPr>
        <w:t>. The 2013 Plan will be administered by our Compensation Committee, which is composed entirely of independent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who meet the NASDAQ standards for independence and who meet the definition of “non-employee directors” under Rule 16b-3(b)(3).</w:t>
      </w:r>
    </w:p>
    <w:p>
      <w:pPr>
        <w:spacing w:after="0" w:line="1" w:lineRule="exact"/>
        <w:rPr>
          <w:rFonts w:ascii="Arial" w:cs="Arial" w:eastAsia="Arial" w:hAnsi="Arial"/>
          <w:sz w:val="16"/>
          <w:szCs w:val="16"/>
          <w:color w:val="auto"/>
        </w:rPr>
      </w:pPr>
    </w:p>
    <w:p>
      <w:pPr>
        <w:ind w:left="900" w:right="60" w:hanging="325"/>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 and stock appreciation rights (“</w:t>
      </w:r>
      <w:r>
        <w:rPr>
          <w:rFonts w:ascii="Arial" w:cs="Arial" w:eastAsia="Arial" w:hAnsi="Arial"/>
          <w:sz w:val="18"/>
          <w:szCs w:val="18"/>
          <w:b w:val="1"/>
          <w:bCs w:val="1"/>
          <w:color w:val="auto"/>
        </w:rPr>
        <w:t>SAR</w:t>
      </w:r>
      <w:r>
        <w:rPr>
          <w:rFonts w:ascii="Arial" w:cs="Arial" w:eastAsia="Arial" w:hAnsi="Arial"/>
          <w:sz w:val="18"/>
          <w:szCs w:val="18"/>
          <w:color w:val="auto"/>
        </w:rPr>
        <w:t>”) awards under the 2013 Plan must have an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 that is not less than the fair market value of the underlying common stock on the date of grant.</w:t>
      </w:r>
    </w:p>
    <w:p>
      <w:pPr>
        <w:spacing w:after="0" w:line="44"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Repricing</w:t>
      </w:r>
      <w:r>
        <w:rPr>
          <w:rFonts w:ascii="Arial" w:cs="Arial" w:eastAsia="Arial" w:hAnsi="Arial"/>
          <w:sz w:val="18"/>
          <w:szCs w:val="18"/>
          <w:color w:val="auto"/>
        </w:rPr>
        <w:t>. Other than in connection with a corporate transaction affecting the Company, the 2013 Plan prohibits any repricing of stock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without stockholder approval.</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Under the 2013 Plan, the Compensation Committee may grant performance-based awards intended to qualify as exempt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under Section 162(m) (“</w:t>
      </w:r>
      <w:r>
        <w:rPr>
          <w:rFonts w:ascii="Arial" w:cs="Arial" w:eastAsia="Arial" w:hAnsi="Arial"/>
          <w:sz w:val="18"/>
          <w:szCs w:val="18"/>
          <w:b w:val="1"/>
          <w:bCs w:val="1"/>
          <w:color w:val="auto"/>
        </w:rPr>
        <w:t>Section 162(m)</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as well as other performance-based awards.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Equity Plan Information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present, the Company has two existing equity incentive plans previously approved by our stockholders. Our 2004 Plan, under which 2,944,206 options to purchase shares of our Common Stock are currently outstanding, has been nearly depleted of shares and will expire by its terms on December 1, 2014. Our 2000 Stock Option Plan, under which 152,900 options to purchase shares of our Common Stock are currently outstanding, was closed to further grants upon the adoption of the 2004 Plan. All currently outstanding grants made under the 2000 Stock Option Plan will expire during 2014. Additionally, 405,550 options to purchase shares of our Common Stock are outstanding pursuant to new-hire inducement grants.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includes aggregated information regarding awards outstanding as of December 18, 2013, and the proposed number of shares issuable under the 2013 Plan: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As a percentage of</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760" w:type="dxa"/>
            <w:vAlign w:val="bottom"/>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stock outstanding (1)</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76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3,495,989</w:t>
            </w:r>
          </w:p>
        </w:tc>
        <w:tc>
          <w:tcPr>
            <w:tcW w:w="86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outstanding equity awards</w:t>
            </w: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shares subject to outstanding awards as of December 18,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3,495,989</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8"/>
        </w:trPr>
        <w:tc>
          <w:tcPr>
            <w:tcW w:w="5640" w:type="dxa"/>
            <w:vAlign w:val="bottom"/>
          </w:tcPr>
          <w:p>
            <w:pPr>
              <w:spacing w:after="0"/>
              <w:rPr>
                <w:sz w:val="20"/>
                <w:szCs w:val="20"/>
                <w:color w:val="auto"/>
              </w:rPr>
            </w:pPr>
            <w:r>
              <w:rPr>
                <w:rFonts w:ascii="Arial" w:cs="Arial" w:eastAsia="Arial" w:hAnsi="Arial"/>
                <w:sz w:val="18"/>
                <w:szCs w:val="18"/>
                <w:color w:val="auto"/>
              </w:rPr>
              <w:t>Total shares available for future awards as of December 18, 2013</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Arial" w:cs="Arial" w:eastAsia="Arial" w:hAnsi="Arial"/>
                <w:sz w:val="18"/>
                <w:szCs w:val="18"/>
                <w:color w:val="auto"/>
              </w:rPr>
              <w:t>under 2004 Plan</w:t>
            </w:r>
          </w:p>
        </w:tc>
        <w:tc>
          <w:tcPr>
            <w:tcW w:w="760" w:type="dxa"/>
            <w:vAlign w:val="bottom"/>
          </w:tcPr>
          <w:p>
            <w:pPr>
              <w:jc w:val="right"/>
              <w:spacing w:after="0"/>
              <w:rPr>
                <w:sz w:val="20"/>
                <w:szCs w:val="20"/>
                <w:color w:val="auto"/>
              </w:rPr>
            </w:pPr>
            <w:r>
              <w:rPr>
                <w:rFonts w:ascii="Arial" w:cs="Arial" w:eastAsia="Arial" w:hAnsi="Arial"/>
                <w:sz w:val="18"/>
                <w:szCs w:val="18"/>
                <w:color w:val="auto"/>
              </w:rPr>
              <w:t>20,979</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Proposed shares available for future awards under 2013 Plan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4,000,000</w:t>
            </w:r>
          </w:p>
        </w:tc>
        <w:tc>
          <w:tcPr>
            <w:tcW w:w="2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63"/>
        </w:trPr>
        <w:tc>
          <w:tcPr>
            <w:tcW w:w="5640" w:type="dxa"/>
            <w:vAlign w:val="bottom"/>
          </w:tcPr>
          <w:p>
            <w:pPr>
              <w:ind w:left="430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1" w:name="page12"/>
    <w:bookmarkEnd w:id="11"/>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t>Includes Common Stock outstanding and Common stock Equivalent of our Preferred Stock.</w:t>
      </w:r>
    </w:p>
    <w:p>
      <w:pPr>
        <w:spacing w:after="0" w:line="15" w:lineRule="exact"/>
        <w:rPr>
          <w:rFonts w:ascii="Arial" w:cs="Arial" w:eastAsia="Arial" w:hAnsi="Arial"/>
          <w:sz w:val="18"/>
          <w:szCs w:val="18"/>
          <w:color w:val="auto"/>
        </w:rPr>
      </w:pPr>
    </w:p>
    <w:p>
      <w:pPr>
        <w:jc w:val="both"/>
        <w:ind w:left="460" w:right="22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Plus an annual evergreen increase equal to up to 2% of the then outstanding shares of our Common Stock, subject to a maximum pool size of 15% of the common stock and common equivalent shares underlying the Preferred Stock. The percentage of stock outstanding does not take into account any future increases in the share pool as a result of the evergreen feature.</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with respect to all of our equity compensation plans in effect as of September 30, 2013 is provided on page 20 under the heading “Equity Compensation Plan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believes that equity grants are a critical part of the Company’s compensation program. Stockholder approval of the 2013 Plan would allow us to continue to attract and retain employees, directors, consultants and key advisors with equity incentives. The Board believes that the number of shares authorized to be issued under the 2013 Plan is necessary in order to continue to meet our compensation objectives. Stock-based awards comprise a significant component of the compensation of our executive management team and are important tool in attracting and retaining key employees. Furthermore, the Board believes the grant of equity based compensation awards aligns the long-term interests of shareholders and key employees. In determining to propose that the stockholders approve 4,000,000 shares, plus an annual increase of 2% of outstanding shares, to be authorized for issuance under the 2013 Plan, the Compensation Committee and Board considered our historical grant practices, data for annual burn rate (a measure of shares subject to stock-based awards granted annually as a percentage of shares issued and outstanding) and total equity overhang (a measure of shares subject to stock-based awards outstanding or reserved for future grant as a percentage of shares issued and outstanding), as well as Institutional Shareholder Services (ISS) guidelines.</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If used in connection with stock-based awards made over a hypothetical five year period, the proposed 4,000,000 additional shares, plus up to 2% of outstanding shares per year subject to an overall 15% cap, would enable an average annual burn rate of approximately 5% (or less on a fully diluted basis), well below the ISS allowable cap for 2013 of 6.70% for annual burn rate for Pharmaceuticals and Biotechnology companies listed on the Russell 3000. Also, the Board considered the equity overhang. Prior to adoption of the 2013 Plan, the Company’s overhang is 7.1%. The Board believes this is well below the overhang of companies of comparable companies. The Board reviewed the overhang of 25 drug development companies without approved therapeutics with market capitalizations such that the market capitalization of the Company was roughly equal to the median. The median overhang of these companies was 16.2% of basic shares outstanding (not fully diluted). Eight of these companies had overhangs that were well over 20% and none had an overhang as low as the Company’s overhang. The addition of 4,000,000 shares would leave the Company with an overhang at approximately 15.2%, still below the median. Even with the annual increase of up to 2%, the Board believes overhang can be effectively managed comparable to this peer group as shares exercise or as awards expire.</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stockholder approval of the 2013 Plan would preserve our ability to grant a range of tax-efficient stock-based incentive awards under the 2013 Plan. Section 162(m) generally limits the deductibility for U.S. income tax purposes of compensation paid to a publicly held corporation’s CEO or its three most highly paid named executive officers (other than its CEO or CFO) to the extent it exceeds $1 million. Certain performance-based compensation can be exempt from this limit if the requirements under Section 162(m) are met, including that the material terms, including the performance goals, be disclosed to and approved by stockholders every five years. For the 2013 Plan, these terms are described under “Eligibility,” “Individual Limits” and “Performance Criteria” below. Even with stockholder approval, there is no guarantee that compensation will be treated as exempt performance-based compensation under Section 162(m). Furthermore, our Compensation Committee has the authority to provide compensation that is not exempt from the Section 162(m) deductibility limits.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stockholders last approved an amendment to increase the number of shares available under the 2004 Plan at our Annual Meeting held in March 2013. If stockholders do not approve this Proposal Two, the Company can continue to make awards under the 2004 Plan, but we will have very limited shares available for future equity grants, the 2004 Plan will expire in December 2014, and our ability to make tax deductible performance awards to executive officers after that period will be limited under Section 162(m).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2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the 2013 Plan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December 2013, the Board adopted the 2013 Plan, subject to approval by our stockholders. This summary is not a complete description of all provisions of the 2013 Plan and is qualified in its entirety by reference to the 2013 Plan, which is attached as Annex A to this Proxy Statement.</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2013 Plan is to advance the Company’s interests by providing for the grant to participants of stock-based and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2013 Plan is administered by our Compensation Committee, who has the authority to, among other things, interpret the 2013</w:t>
      </w:r>
      <w:r>
        <w:rPr>
          <w:rFonts w:ascii="Arial" w:cs="Arial" w:eastAsia="Arial" w:hAnsi="Arial"/>
          <w:sz w:val="16"/>
          <w:szCs w:val="16"/>
          <w:i w:val="1"/>
          <w:iCs w:val="1"/>
          <w:color w:val="auto"/>
        </w:rPr>
        <w:t xml:space="preserve"> </w:t>
      </w:r>
      <w:r>
        <w:rPr>
          <w:rFonts w:ascii="Arial" w:cs="Arial" w:eastAsia="Arial" w:hAnsi="Arial"/>
          <w:sz w:val="16"/>
          <w:szCs w:val="16"/>
          <w:color w:val="auto"/>
        </w:rPr>
        <w:t>Plan, determine eligibility for, grant and determine the terms of awards under the 2013 Plan, and to do all things necessary or appropriate to carry out the purposes of the 2013 Plan. Our Compensation Committee’s determinations under the 2013 Plan are conclusive and binding.</w:t>
      </w:r>
    </w:p>
    <w:p>
      <w:pPr>
        <w:spacing w:after="0" w:line="10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No awards will be made after the tenth anniversary of the plan’s adoption, but previously granted awards may continue beyond that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their terms.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Subject to adjustment, the maximum number of shares of our common stock that may be delivered in satisfaction of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Plan is 4,000,000 plus an annual increase each January 1 (beginning January 1, 2015 and with the last increase on January 1, 2023) equal to the lesser of two percent (2%) of the number of then outstanding shares of our common stock, provided that the sum of the shares issued under the 2013 Plan and the then applicable reserve of shares issuable under the 2013 Plan may not exceed 15% of the sum of the total shares of common stock issued and outstanding, plus the common-equivalent shares of common stock underlying Preferred Stock then outstanding, without regard to any applicable conversion limits. Any shares of common stock underlying awards that are settled in cash or that otherwise expire, terminate or are forfeited prior to the issuance of stock, would again be available for issuance under the 2013 Plan. Shares of common stock that are withheld by the Company from an award in payment of the exercise price of any award requiring exercise or in satisfaction of the tax withholding requirements with respect to any award will not again be available for issuance under the 2013 Plan. On December 18, 2013, the closing price of our common stock as reflected on NASDAQ was $9.14.</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Individual Limits</w:t>
      </w:r>
      <w:r>
        <w:rPr>
          <w:rFonts w:ascii="Arial" w:cs="Arial" w:eastAsia="Arial" w:hAnsi="Arial"/>
          <w:sz w:val="16"/>
          <w:szCs w:val="16"/>
          <w:color w:val="auto"/>
        </w:rPr>
        <w:t>. The maximum number of shares for which options may be granted and the maximum number of shares of stock subject to SARs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be granted to any person in any calendar year for purposes of Section 162(m) is, in each case, 750,000 shares. The maximum number of shares subject to other awards that may be granted to any person in any calendar year for purposes of Section 162(m) is 750,000 shares. The maximum amount that may be paid to any person in any calendar year for purposes of Section 162(m) with respect to cash awards is $750,000.</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Compensation Committee selects participants from among the key employees, directors, consultants and advisors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Eligibility for options intended to be incentive stock options (“</w:t>
      </w:r>
      <w:r>
        <w:rPr>
          <w:rFonts w:ascii="Arial" w:cs="Arial" w:eastAsia="Arial" w:hAnsi="Arial"/>
          <w:sz w:val="18"/>
          <w:szCs w:val="18"/>
          <w:b w:val="1"/>
          <w:bCs w:val="1"/>
          <w:color w:val="auto"/>
        </w:rPr>
        <w:t>ISOs</w:t>
      </w:r>
      <w:r>
        <w:rPr>
          <w:rFonts w:ascii="Arial" w:cs="Arial" w:eastAsia="Arial" w:hAnsi="Arial"/>
          <w:sz w:val="18"/>
          <w:szCs w:val="18"/>
          <w:color w:val="auto"/>
        </w:rPr>
        <w:t>”) is limited to employees of the Company or certain affiliates. As of December 18, 2013, approximately 55 employees and 5 directors would be eligible to participate in the 2013 Plan.</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2013 Plan provides for grants of options, SARs, restricted and unrestricted stock and stock units, performance awards, cash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awards convertible into or otherwise based on shares of our stock. Dividend equivalents may also be provided in connection with awards under the 2013 Plan.</w:t>
      </w:r>
    </w:p>
    <w:p>
      <w:pPr>
        <w:spacing w:after="0" w:line="59"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Restricted and Unrestricted Stock</w:t>
      </w:r>
      <w:r>
        <w:rPr>
          <w:rFonts w:ascii="Arial" w:cs="Arial" w:eastAsia="Arial" w:hAnsi="Arial"/>
          <w:sz w:val="18"/>
          <w:szCs w:val="18"/>
          <w:color w:val="auto"/>
        </w:rPr>
        <w:t>: A restricted stock award is an award of common stock subject to forfeiture restrictions, while an unrestricted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 is not subject to restrictions.</w:t>
      </w:r>
    </w:p>
    <w:p>
      <w:pPr>
        <w:spacing w:after="0" w:line="44" w:lineRule="exact"/>
        <w:rPr>
          <w:rFonts w:ascii="Arial" w:cs="Arial" w:eastAsia="Arial" w:hAnsi="Arial"/>
          <w:sz w:val="18"/>
          <w:szCs w:val="18"/>
          <w:color w:val="auto"/>
        </w:rPr>
      </w:pPr>
    </w:p>
    <w:p>
      <w:pPr>
        <w:ind w:left="900" w:right="200" w:hanging="325"/>
        <w:spacing w:after="0" w:line="32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Stock Options and SARs</w:t>
      </w:r>
      <w:r>
        <w:rPr>
          <w:rFonts w:ascii="Arial" w:cs="Arial" w:eastAsia="Arial" w:hAnsi="Arial"/>
          <w:sz w:val="15"/>
          <w:szCs w:val="15"/>
          <w:color w:val="auto"/>
        </w:rPr>
        <w:t>: The 2013 Plan provides for the grant of ISOs, non-qualified stock options (“</w:t>
      </w:r>
      <w:r>
        <w:rPr>
          <w:rFonts w:ascii="Arial" w:cs="Arial" w:eastAsia="Arial" w:hAnsi="Arial"/>
          <w:sz w:val="15"/>
          <w:szCs w:val="15"/>
          <w:b w:val="1"/>
          <w:bCs w:val="1"/>
          <w:color w:val="auto"/>
        </w:rPr>
        <w:t>NSOs</w:t>
      </w:r>
      <w:r>
        <w:rPr>
          <w:rFonts w:ascii="Arial" w:cs="Arial" w:eastAsia="Arial" w:hAnsi="Arial"/>
          <w:sz w:val="15"/>
          <w:szCs w:val="15"/>
          <w:color w:val="auto"/>
        </w:rPr>
        <w:t>”), and SARs. The exercise price of an</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and the base price against which a SAR is to be measured, may not be less than the fair market value (or, in the case of an ISO granted to a ten percent stockholder, 110% of the fair market value) of a share of common stock on the date of grant. Our Compensation Committee determines when stock options or SARs become exercisable and the terms on which such awards remain exercisable. Stock options and SARs will generally have a maximum term of ten years. SARs are payable in cash, in shares of our common stock or in a combination of cash and shares.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Units</w:t>
      </w:r>
      <w:r>
        <w:rPr>
          <w:rFonts w:ascii="Arial" w:cs="Arial" w:eastAsia="Arial" w:hAnsi="Arial"/>
          <w:sz w:val="18"/>
          <w:szCs w:val="18"/>
          <w:color w:val="auto"/>
        </w:rPr>
        <w:t>: A stock unit award is denominated in shares of common stock and entitles the participant to receive stock or cash measured by the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in the future. The delivery of stock or cash under a stock unit may be subject to the satisfaction of performance or other vesting conditions.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A performance award is an award the vesting, settlement or exercisability of which is subject to specified performance criteria.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 cash award is an award denominated in cash.</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Our Compensation Committee has the authority to determine the vesting schedule applicable to each award, and to accelerate the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exercisability of any award.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Our Compensation Committee determines the effect of termination of employment or service on an award.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Compensation Committee or in an award agreement, upon a termination of employment or service all unvested options and other awards requiring exercise will terminate and all other unvested awards will be forfeited.</w:t>
      </w:r>
    </w:p>
    <w:p>
      <w:pPr>
        <w:spacing w:after="0" w:line="14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The 2013 Plan provides that grants of performance awards may be made based upon, and subject to achieving,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over a specified performance period. Performance objectives with respect to those awards that are intended to qualify as “performance-based compensation” for purposes of Section 162(m) are limited to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the extent consistent with the requirements for satisfying the performance-based compensation exception under Section 162(m), our Compensation Committee may provide in the case of any award intended to qualify for such exception that one or more of the performance objectives applicable to an award will be adjusted in an objectively determinable manner to reflect events (for example, acquisitions and divestitures) occurring during the performance period of such award that affect the applicable performance objectives.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Awards under the 2013 Plan may not be transferred except by will or by the laws of descent and distribution, unless (for awards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ISOs) otherwise provided by our Compensation Committee.</w:t>
      </w:r>
    </w:p>
    <w:p>
      <w:pPr>
        <w:spacing w:after="0" w:line="13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a consolidation, merger or similar transaction, a sale or transfer of all or substantially all of the Company’s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or a dissolution or liquidation of the Company, our Compensation Committee may, among other things, provide for the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 In the event of a Change in Control, each outstanding Award will fully vest and become exercisable unless the Compensation Committee, acting in its sole discretion, elects otherwise. Except as our Compensation Committee may otherwise determine awards not assumed or exercised will terminate in connection with such corporate transaction. Change in Control has the meaning set forth in the 2013 Plan, but generally means a person or entity becoming the owner of securities representing fifty percent (50%) or more of the combined voting power of the Company’s then outstanding securities entitled to vote for directors; the consummation of a merger or consolidation of the Company with any other corporation, other than a merger or consolidation that would result in the voting securities of the Company continuing to represent more than fifty percent</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(50%) of the total voting power represented by the voting securities of the Company or such surviving entity outstanding immediately after such merger or consolidation; the consummation of the sale or disposition by the Company of all or substantially all of its assets; or a change in the composition of the Board, as a result of which fewer than a majority of the directors are incumbent directors.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4" w:name="page15"/>
    <w:bookmarkEnd w:id="14"/>
    <w:p>
      <w:pPr>
        <w:ind w:right="60" w:firstLine="456"/>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w:t>
      </w:r>
      <w:r>
        <w:rPr>
          <w:rFonts w:ascii="Arial" w:cs="Arial" w:eastAsia="Arial" w:hAnsi="Arial"/>
          <w:sz w:val="18"/>
          <w:szCs w:val="18"/>
          <w:color w:val="auto"/>
        </w:rPr>
        <w:t>. In the event of certain corporate transactions (including, but not limited to, a stock dividend, stock split or combination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or other change in the Company’s capital structure that constitutes an equity restructuring within the meaning of ASC 718), our Compensation Committee will make appropriate adjustments to the maximum number of shares that may be delivered under and the individual limits included in the 2013 Plan, and will also make appropriate adjustments to the number and kind of shares of stock or securities subject to awards, the exercise prices of such awards or any other terms of awards affected by such change. Our Compensation Committee may also make the types of adjustments described above to take into account distributions to stockholders and events other than those listed above if it determines that such adjustments are appropriate to avoid distortion in the operation of the plan.</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can amend the 2013 Plan or outstanding awards, or terminate the 2013 Plan as to future grants</w:t>
      </w:r>
      <w:r>
        <w:rPr>
          <w:rFonts w:ascii="Arial" w:cs="Arial" w:eastAsia="Arial" w:hAnsi="Arial"/>
          <w:sz w:val="18"/>
          <w:szCs w:val="18"/>
          <w:i w:val="1"/>
          <w:iCs w:val="1"/>
          <w:color w:val="auto"/>
        </w:rPr>
        <w:t xml:space="preserve"> </w:t>
      </w:r>
      <w:r>
        <w:rPr>
          <w:rFonts w:ascii="Arial" w:cs="Arial" w:eastAsia="Arial" w:hAnsi="Arial"/>
          <w:sz w:val="18"/>
          <w:szCs w:val="18"/>
          <w:color w:val="auto"/>
        </w:rPr>
        <w:t>of awards, except that our Compensation Committee will not be able alter the terms of an award if it would affect materially and adversely a participant’s rights under the award without the participant’s consent (unless expressly provided in the 2013 Plan or reserved by our Compensation Committee at the time of grant). Stockholder approval will be required for any amendment to the extent such approval is required by law, including the Code or applicable stock exchange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Under 2013 Plan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is a summary of some of the material federal income tax consequences associated with the grant and exercise of awards under the 2013 Plan under current federal tax laws and certain other tax considerations associated with awards under the 2013 Plan. The summary does not address tax rates or non-U.S., state or local tax consequences, nor does it address employment-tax or other federal tax consequences except as noted.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who is awarded or purchases shares subject to a substantial risk of forfeiture generally does not have income until the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An 83(b) election must be made not later than thirty (30)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determining capital gain or loss on a sale of shares awarded under the 2013 Plan, the holding period in the shares begins when the participant realizes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ISOs</w:t>
      </w:r>
      <w:r>
        <w:rPr>
          <w:rFonts w:ascii="Arial" w:cs="Arial" w:eastAsia="Arial" w:hAnsi="Arial"/>
          <w:sz w:val="16"/>
          <w:szCs w:val="16"/>
          <w:color w:val="auto"/>
        </w:rPr>
        <w:t>. In general, a participant realizes no taxable income upon the grant or exercise of an ISO. However, the exercise of an ISO may result in an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NSOs</w:t>
      </w:r>
      <w:r>
        <w:rPr>
          <w:rFonts w:ascii="Arial" w:cs="Arial" w:eastAsia="Arial" w:hAnsi="Arial"/>
          <w:sz w:val="18"/>
          <w:szCs w:val="18"/>
          <w:color w:val="auto"/>
        </w:rPr>
        <w:t>. In general, a participant has no taxable income upon the grant of an NSO but realizes income in connection with exercise of the option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excess (at time of exercise) of the fair market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 An ISO that is exercised more than three months after termination of employment (other than termination by reason of death) is generally treated as an NSO. ISOs are also treated as NSOs to the extent they first become exercisable by an individual in any calendar year for shares having a fair market value (determined as of the date of grant) in excess of $100,000.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grant of a SAR does not itself result in taxable income, nor does taxable income result merely because a SAR becomes exercisable. In general,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grant of a restricted stock unit does not itself generally result in taxable income. Instead, the participant is taxed upon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 corresponding deduction is generally available to the Company), unless he or she has made a proper election to defer receipt of the shares (or cash if the award is cash settled) under Section 409A of the Code (“</w:t>
      </w:r>
      <w:r>
        <w:rPr>
          <w:rFonts w:ascii="Arial" w:cs="Arial" w:eastAsia="Arial" w:hAnsi="Arial"/>
          <w:sz w:val="18"/>
          <w:szCs w:val="18"/>
          <w:b w:val="1"/>
          <w:bCs w:val="1"/>
          <w:color w:val="auto"/>
        </w:rPr>
        <w:t>Section 409A</w:t>
      </w:r>
      <w:r>
        <w:rPr>
          <w:rFonts w:ascii="Arial" w:cs="Arial" w:eastAsia="Arial" w:hAnsi="Arial"/>
          <w:sz w:val="18"/>
          <w:szCs w:val="18"/>
          <w:color w:val="auto"/>
        </w:rPr>
        <w:t>”). If the shares delivered are restricted for tax purposes, the participant will instead be subject to the rules described above for restricted stock.</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Section 162(m)</w:t>
      </w:r>
      <w:r>
        <w:rPr>
          <w:rFonts w:ascii="Arial" w:cs="Arial" w:eastAsia="Arial" w:hAnsi="Arial"/>
          <w:sz w:val="16"/>
          <w:szCs w:val="16"/>
          <w:color w:val="auto"/>
        </w:rPr>
        <w:t>. Stock options, SARs and certain performance awards under the 2013 Plan are generally intended to be exempt or eligible for exemption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deductibility limits of Section 162(m). However, as discussed above in “Reasons for Seeking Stockholder Approval,” the Compensation Committee will have discretionary authority to provide compensation that is not exempt from the limits on deductibility under Section 162(m).</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imposes an additional 20% income tax, plus, in some cases, a further income tax in the nature of interest, on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that does not comply with deferral, payment-timing and other formal and operational requirements specified in Section 409A and related regulations and that is not exempt from those requirements. Stock options and SARs granted under the 2013 Plan are intended to be exempt from Section 409A. The 2013 Plan gives the Compensation Committee the flexibility to prescribe terms for other awards that are consistent with the requirements of, or an exemption from, Section 409A.</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Certain Change of Control Payments</w:t>
      </w:r>
      <w:r>
        <w:rPr>
          <w:rFonts w:ascii="Arial" w:cs="Arial" w:eastAsia="Arial" w:hAnsi="Arial"/>
          <w:sz w:val="18"/>
          <w:szCs w:val="18"/>
          <w:color w:val="auto"/>
        </w:rPr>
        <w:t>. Under Section 280G of the Code, the vesting or accelerated exercisability of options or the vesting and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UNANIMOUSLY RECOMMENDS A VOTE “FOR” PROPOSAL TWO.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compensation program objective is to attract and retain executives who can achieve the short and long-term goals of the Company. The program seeks to do the following: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talent needed to achieve the Company’s strategic and operational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Motivate employees by providing competitive compensation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and reinforce individual performers who do an outstanding job;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 the interests of senior management with the interests of the stockholders.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comprised solely of independent directors, makes all compensation decisions regarding the Chief Executive Officer of the Company and reviews and approves the compensation of other Named Executive Officers (NEOs). The compensation of other officers is reviewed annually by the Compensation Committee. The Compensation Committee can and does exercise its discretion to modify any recommended adjustment or award to senior executives.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Compensation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Below is a discussion of the three principal components of our executive compensation program. These are in addition to the benefits programs generally available to our employees, including health, life, disability insurance and a 401(k) plan. We believe that paying a mix of these three components to our executive officers is appropriate to meet the objectives described above. The Compensation Committee retains authority to allocate total compensation between the three components on an annual basis, with a view toward maintaining an optimal balance between the three components to reward performance over time. Therefore, payments in any particular category may fluctuate from year to year to reflect individual performance, the Company’s financial position and operational performance, and competition for executive talent in our industry. The three principal components to our compensation program are:</w:t>
      </w:r>
    </w:p>
    <w:p>
      <w:pPr>
        <w:spacing w:after="0" w:line="120"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Base Salary: Each of our executive officers receives a fixed base salary. The Compensation Committee reviews base salary on a regular basis to determine the appropriateness of each executive officers’ base salary based on professional judgment and comparative analysis of salaries paid for comparable positions at comparable companies, with the objective of compensating officers at or near the 50</w:t>
      </w:r>
      <w:r>
        <w:rPr>
          <w:rFonts w:ascii="Arial" w:cs="Arial" w:eastAsia="Arial" w:hAnsi="Arial"/>
          <w:sz w:val="10"/>
          <w:szCs w:val="10"/>
          <w:color w:val="auto"/>
        </w:rPr>
        <w:t>th</w:t>
      </w:r>
      <w:r>
        <w:rPr>
          <w:rFonts w:ascii="Arial" w:cs="Arial" w:eastAsia="Arial" w:hAnsi="Arial"/>
          <w:sz w:val="16"/>
          <w:szCs w:val="16"/>
          <w:color w:val="auto"/>
        </w:rPr>
        <w:t xml:space="preserve"> percentile.</w:t>
      </w:r>
    </w:p>
    <w:p>
      <w:pPr>
        <w:spacing w:after="0" w:line="107"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Equity Awards: The Company’s equity compensation program is designed to incentivize employees to work toward the short-term and long-term goals of the Company and to align the interests of employees with the interests of stockholders. All employees are eligible to participate in the Company’s equity compensation program.</w:t>
      </w:r>
    </w:p>
    <w:p>
      <w:pPr>
        <w:spacing w:after="0" w:line="140" w:lineRule="exact"/>
        <w:rPr>
          <w:sz w:val="20"/>
          <w:szCs w:val="20"/>
          <w:color w:val="auto"/>
        </w:rPr>
      </w:pPr>
    </w:p>
    <w:p>
      <w:pPr>
        <w:ind w:left="460" w:right="480"/>
        <w:spacing w:after="0" w:line="256" w:lineRule="auto"/>
        <w:rPr>
          <w:sz w:val="20"/>
          <w:szCs w:val="20"/>
          <w:color w:val="auto"/>
        </w:rPr>
      </w:pPr>
      <w:r>
        <w:rPr>
          <w:rFonts w:ascii="Arial" w:cs="Arial" w:eastAsia="Arial" w:hAnsi="Arial"/>
          <w:sz w:val="18"/>
          <w:szCs w:val="18"/>
          <w:color w:val="auto"/>
        </w:rPr>
        <w:t>Performance and Hiring Awards: Based on individual performance, the Company gives cash performance bonuses to employees. These bonuses are generally paid to executive officers on an annual basis and are approved by the Compensation Committee based upon input from the CEO. The Compensation Committee sets annual performance goals for the CEO and determines any bonus award based on achievement of these goals and the Company’s overall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paid to our NEO’s is described on pages 21 and 22 of this proxy statement for the fiscal year ended September 30, 2013.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is asking stockholders to cast a non-binding, advisory vote FOR the following resolution:</w:t>
      </w:r>
    </w:p>
    <w:p>
      <w:pPr>
        <w:spacing w:after="0" w:line="16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7" w:name="page18"/>
    <w:bookmarkEnd w:id="17"/>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must be approved by the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2014,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order to be ratified, Proposal 4 must be approved by a majority of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FOUR.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2013 and 2012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2013, and September 30, 2012:</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$106,000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$ 159,065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Audit-related fees (2)</w:t>
            </w:r>
          </w:p>
        </w:tc>
        <w:tc>
          <w:tcPr>
            <w:tcW w:w="2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$ 201,524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periodic reviews of Forms 10-Q and 10-K.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Fees invoiced by RS&amp;J related to Comfort Letters and Consents for financings and registration statements, and other agreed-upon procedures.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2013, which include the consolidated balance sheets of the Company as of September 30, 2013 and 2012, and the related consolidated statements of operations, stockholders’ equity and cash flows for the years ended September 30, 2013 and 2012 and for the period from May 7, 2003 (inception) through September 30, 2013, and the notes thereto.</w:t>
      </w:r>
    </w:p>
    <w:p>
      <w:pPr>
        <w:spacing w:after="0" w:line="8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Charles P. McKenney and Michael S. Perry. All members of the Audit Committee are “independent,” as defined in Rule 10A-3 under the Exchange Act and Rule 5605(c) of the NASDAQ Marketplace Rules, and are financially literate.</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18, 2013,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Charles McKenney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by Statement on Auditing Standards No. 61, as amended, “Communication with Audit Committees.”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12" w:lineRule="exact"/>
        <w:rPr>
          <w:sz w:val="20"/>
          <w:szCs w:val="20"/>
          <w:color w:val="auto"/>
        </w:rPr>
      </w:pPr>
    </w:p>
    <w:p>
      <w:pPr>
        <w:ind w:right="240" w:firstLine="456"/>
        <w:spacing w:after="0" w:line="339" w:lineRule="auto"/>
        <w:rPr>
          <w:sz w:val="20"/>
          <w:szCs w:val="20"/>
          <w:color w:val="auto"/>
        </w:rPr>
      </w:pPr>
      <w:r>
        <w:rPr>
          <w:rFonts w:ascii="Arial" w:cs="Arial" w:eastAsia="Arial" w:hAnsi="Arial"/>
          <w:sz w:val="15"/>
          <w:szCs w:val="15"/>
          <w:b w:val="1"/>
          <w:bCs w:val="1"/>
          <w:color w:val="auto"/>
        </w:rPr>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2013,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Charles P. McKenney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S. Perry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table sets forth the beneficial ownership of the Company’s Common Stock as of December 18, 2013,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1050, Pasadena, California 91101 unless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Number and Percentage of Shares Beneficially</w:t>
            </w:r>
          </w:p>
        </w:tc>
      </w:tr>
      <w:tr>
        <w:trPr>
          <w:trHeight w:val="161"/>
        </w:trPr>
        <w:tc>
          <w:tcPr>
            <w:tcW w:w="5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88"/>
              </w:rPr>
              <w:t>Owned (1)</w:t>
            </w:r>
          </w:p>
        </w:tc>
      </w:tr>
      <w:tr>
        <w:trPr>
          <w:trHeight w:val="142"/>
        </w:trPr>
        <w:tc>
          <w:tcPr>
            <w:tcW w:w="52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RA Capital LP. (3)</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20 Park Plaza</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280" w:type="dxa"/>
            <w:vAlign w:val="bottom"/>
          </w:tcPr>
          <w:p>
            <w:pPr>
              <w:ind w:left="440"/>
              <w:spacing w:after="0"/>
              <w:rPr>
                <w:sz w:val="20"/>
                <w:szCs w:val="20"/>
                <w:color w:val="auto"/>
              </w:rPr>
            </w:pPr>
            <w:r>
              <w:rPr>
                <w:rFonts w:ascii="Arial" w:cs="Arial" w:eastAsia="Arial" w:hAnsi="Arial"/>
                <w:sz w:val="18"/>
                <w:szCs w:val="18"/>
                <w:color w:val="auto"/>
              </w:rPr>
              <w:t>Boston, MA 02116</w:t>
            </w:r>
          </w:p>
        </w:tc>
        <w:tc>
          <w:tcPr>
            <w:tcW w:w="1280" w:type="dxa"/>
            <w:vAlign w:val="bottom"/>
          </w:tcPr>
          <w:p>
            <w:pPr>
              <w:jc w:val="right"/>
              <w:spacing w:after="0"/>
              <w:rPr>
                <w:sz w:val="20"/>
                <w:szCs w:val="20"/>
                <w:color w:val="auto"/>
              </w:rPr>
            </w:pPr>
            <w:r>
              <w:rPr>
                <w:rFonts w:ascii="Arial" w:cs="Arial" w:eastAsia="Arial" w:hAnsi="Arial"/>
                <w:sz w:val="18"/>
                <w:szCs w:val="18"/>
                <w:color w:val="auto"/>
              </w:rPr>
              <w:t>3,867,005</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9.99%</w:t>
            </w:r>
          </w:p>
        </w:tc>
      </w:tr>
      <w:tr>
        <w:trPr>
          <w:trHeight w:val="209"/>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Baker Bros. Advisors LLC (2)</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667 Madison Ave</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York, NY 10065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3,867,005</w:t>
            </w:r>
          </w:p>
        </w:tc>
        <w:tc>
          <w:tcPr>
            <w:tcW w:w="2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Austin W. Marxe &amp; David M Greenhouse (4)</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 Special Situations Funds</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527 Madison Avenue</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Suite 2600</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280" w:type="dxa"/>
            <w:vAlign w:val="bottom"/>
          </w:tcPr>
          <w:p>
            <w:pPr>
              <w:ind w:left="440"/>
              <w:spacing w:after="0"/>
              <w:rPr>
                <w:sz w:val="20"/>
                <w:szCs w:val="20"/>
                <w:color w:val="auto"/>
              </w:rPr>
            </w:pPr>
            <w:r>
              <w:rPr>
                <w:rFonts w:ascii="Arial" w:cs="Arial" w:eastAsia="Arial" w:hAnsi="Arial"/>
                <w:sz w:val="18"/>
                <w:szCs w:val="18"/>
                <w:color w:val="auto"/>
              </w:rPr>
              <w:t>New York, NY 10022</w:t>
            </w:r>
          </w:p>
        </w:tc>
        <w:tc>
          <w:tcPr>
            <w:tcW w:w="1280" w:type="dxa"/>
            <w:vAlign w:val="bottom"/>
          </w:tcPr>
          <w:p>
            <w:pPr>
              <w:jc w:val="right"/>
              <w:spacing w:after="0"/>
              <w:rPr>
                <w:sz w:val="20"/>
                <w:szCs w:val="20"/>
                <w:color w:val="auto"/>
              </w:rPr>
            </w:pPr>
            <w:r>
              <w:rPr>
                <w:rFonts w:ascii="Arial" w:cs="Arial" w:eastAsia="Arial" w:hAnsi="Arial"/>
                <w:sz w:val="18"/>
                <w:szCs w:val="18"/>
                <w:color w:val="auto"/>
              </w:rPr>
              <w:t>3,867,005</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9.99%</w:t>
            </w:r>
          </w:p>
        </w:tc>
      </w:tr>
      <w:tr>
        <w:trPr>
          <w:trHeight w:val="209"/>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Camber Capital Management LLC (5)</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101 Huntington Avenue</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Boston, MA 02199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w:t>
            </w:r>
          </w:p>
        </w:tc>
        <w:tc>
          <w:tcPr>
            <w:tcW w:w="2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QVT Financial LP (6)</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1177 Avenue of the Americas</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5280" w:type="dxa"/>
            <w:vAlign w:val="bottom"/>
          </w:tcPr>
          <w:p>
            <w:pPr>
              <w:ind w:left="440"/>
              <w:spacing w:after="0"/>
              <w:rPr>
                <w:sz w:val="20"/>
                <w:szCs w:val="20"/>
                <w:color w:val="auto"/>
              </w:rPr>
            </w:pPr>
            <w:r>
              <w:rPr>
                <w:rFonts w:ascii="Arial" w:cs="Arial" w:eastAsia="Arial" w:hAnsi="Arial"/>
                <w:sz w:val="18"/>
                <w:szCs w:val="18"/>
                <w:color w:val="auto"/>
              </w:rPr>
              <w:t>New York, NY 10036</w:t>
            </w:r>
          </w:p>
        </w:tc>
        <w:tc>
          <w:tcPr>
            <w:tcW w:w="1280" w:type="dxa"/>
            <w:vAlign w:val="bottom"/>
          </w:tcPr>
          <w:p>
            <w:pPr>
              <w:jc w:val="right"/>
              <w:spacing w:after="0"/>
              <w:rPr>
                <w:sz w:val="20"/>
                <w:szCs w:val="20"/>
                <w:color w:val="auto"/>
              </w:rPr>
            </w:pPr>
            <w:r>
              <w:rPr>
                <w:rFonts w:ascii="Arial" w:cs="Arial" w:eastAsia="Arial" w:hAnsi="Arial"/>
                <w:sz w:val="18"/>
                <w:szCs w:val="18"/>
                <w:color w:val="auto"/>
              </w:rPr>
              <w:t>2,047,781</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Chris Anzalone (7)</w:t>
            </w:r>
          </w:p>
        </w:tc>
        <w:tc>
          <w:tcPr>
            <w:tcW w:w="1280" w:type="dxa"/>
            <w:vAlign w:val="bottom"/>
          </w:tcPr>
          <w:p>
            <w:pPr>
              <w:jc w:val="right"/>
              <w:spacing w:after="0"/>
              <w:rPr>
                <w:sz w:val="20"/>
                <w:szCs w:val="20"/>
                <w:color w:val="auto"/>
              </w:rPr>
            </w:pPr>
            <w:r>
              <w:rPr>
                <w:rFonts w:ascii="Arial" w:cs="Arial" w:eastAsia="Arial" w:hAnsi="Arial"/>
                <w:sz w:val="18"/>
                <w:szCs w:val="18"/>
                <w:color w:val="auto"/>
              </w:rPr>
              <w:t>422,461</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Kenneth Myszkowski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Bruce Given (9)</w:t>
            </w:r>
          </w:p>
        </w:tc>
        <w:tc>
          <w:tcPr>
            <w:tcW w:w="1280" w:type="dxa"/>
            <w:vAlign w:val="bottom"/>
          </w:tcPr>
          <w:p>
            <w:pPr>
              <w:jc w:val="right"/>
              <w:spacing w:after="0"/>
              <w:rPr>
                <w:sz w:val="20"/>
                <w:szCs w:val="20"/>
                <w:color w:val="auto"/>
              </w:rPr>
            </w:pPr>
            <w:r>
              <w:rPr>
                <w:rFonts w:ascii="Arial" w:cs="Arial" w:eastAsia="Arial" w:hAnsi="Arial"/>
                <w:sz w:val="18"/>
                <w:szCs w:val="18"/>
                <w:color w:val="auto"/>
              </w:rPr>
              <w:t>81,730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Edward Frykman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Charles McKenney (11)</w:t>
            </w:r>
          </w:p>
        </w:tc>
        <w:tc>
          <w:tcPr>
            <w:tcW w:w="1280" w:type="dxa"/>
            <w:vAlign w:val="bottom"/>
          </w:tcPr>
          <w:p>
            <w:pPr>
              <w:jc w:val="right"/>
              <w:spacing w:after="0"/>
              <w:rPr>
                <w:sz w:val="20"/>
                <w:szCs w:val="20"/>
                <w:color w:val="auto"/>
              </w:rPr>
            </w:pPr>
            <w:r>
              <w:rPr>
                <w:rFonts w:ascii="Arial" w:cs="Arial" w:eastAsia="Arial" w:hAnsi="Arial"/>
                <w:sz w:val="18"/>
                <w:szCs w:val="18"/>
                <w:color w:val="auto"/>
              </w:rPr>
              <w:t>55,220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Mauro Ferrari (12)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Douglass Given (13)</w:t>
            </w:r>
          </w:p>
        </w:tc>
        <w:tc>
          <w:tcPr>
            <w:tcW w:w="1280" w:type="dxa"/>
            <w:vAlign w:val="bottom"/>
          </w:tcPr>
          <w:p>
            <w:pPr>
              <w:jc w:val="right"/>
              <w:spacing w:after="0"/>
              <w:rPr>
                <w:sz w:val="20"/>
                <w:szCs w:val="20"/>
                <w:color w:val="auto"/>
              </w:rPr>
            </w:pPr>
            <w:r>
              <w:rPr>
                <w:rFonts w:ascii="Arial" w:cs="Arial" w:eastAsia="Arial" w:hAnsi="Arial"/>
                <w:sz w:val="18"/>
                <w:szCs w:val="18"/>
                <w:color w:val="auto"/>
              </w:rPr>
              <w:t>40,000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S. Perry (14)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All executive officers and directors as a</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280" w:type="dxa"/>
            <w:vAlign w:val="bottom"/>
          </w:tcPr>
          <w:p>
            <w:pPr>
              <w:ind w:left="640"/>
              <w:spacing w:after="0"/>
              <w:rPr>
                <w:sz w:val="20"/>
                <w:szCs w:val="20"/>
                <w:color w:val="auto"/>
              </w:rPr>
            </w:pPr>
            <w:r>
              <w:rPr>
                <w:rFonts w:ascii="Arial" w:cs="Arial" w:eastAsia="Arial" w:hAnsi="Arial"/>
                <w:sz w:val="18"/>
                <w:szCs w:val="18"/>
                <w:color w:val="auto"/>
              </w:rPr>
              <w:t>group (8 persons) (15)</w:t>
            </w:r>
          </w:p>
        </w:tc>
        <w:tc>
          <w:tcPr>
            <w:tcW w:w="1280" w:type="dxa"/>
            <w:vAlign w:val="bottom"/>
          </w:tcPr>
          <w:p>
            <w:pPr>
              <w:jc w:val="right"/>
              <w:spacing w:after="0"/>
              <w:rPr>
                <w:sz w:val="20"/>
                <w:szCs w:val="20"/>
                <w:color w:val="auto"/>
              </w:rPr>
            </w:pPr>
            <w:r>
              <w:rPr>
                <w:rFonts w:ascii="Arial" w:cs="Arial" w:eastAsia="Arial" w:hAnsi="Arial"/>
                <w:sz w:val="18"/>
                <w:szCs w:val="18"/>
                <w:color w:val="auto"/>
              </w:rPr>
              <w:t>850,560</w:t>
            </w:r>
          </w:p>
        </w:tc>
        <w:tc>
          <w:tcPr>
            <w:tcW w:w="212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331"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38,708,579 shares of Common Stock issued and outstanding as of December 18, 2013. Shares not outstanding but deemed beneficially owned by virtue of the right of a person to acquire them as of December 18, 2013, or within sixty days of such date (including upon conversion of the Preferred Stock), are treated as outstanding only when determining the percentage owned by such individual and when determining the percentage owned by a group.</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Schedule 13F-HR filed November 14, 2013 on behalf of Baker Bros. Advisors LLC.</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Schedule 13G/A filed November 14, 2013 on behalf of RA Capital L.P.</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Schedule 13F filed November 8, 2013 on behalf of AWM Investment Co., Inc.</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Schedule 13F-HR filed November 14, 2013 on behalf of Camber Capital Management LLC.</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a Schedule 13G filed October 18, 2013 on behalf of QVT Financial LP.</w:t>
      </w:r>
    </w:p>
    <w:p>
      <w:pPr>
        <w:spacing w:after="0" w:line="9" w:lineRule="exact"/>
        <w:rPr>
          <w:rFonts w:ascii="Arial" w:cs="Arial" w:eastAsia="Arial" w:hAnsi="Arial"/>
          <w:sz w:val="18"/>
          <w:szCs w:val="18"/>
          <w:color w:val="auto"/>
        </w:rPr>
      </w:pPr>
    </w:p>
    <w:p>
      <w:pPr>
        <w:ind w:left="452" w:right="60"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15,772 shares issuable upon the exercise of common stock purchase warrants and 372,515 shares issuable upon the exercise of stock options that are exercisable within 60 days of December 18, 2013.</w:t>
      </w: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121,812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121,939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55,500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53,000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40,000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38,542 shares issuable upon the exercise of stock options that are exercisable within 60 days of December 18, 2013.</w:t>
      </w:r>
    </w:p>
    <w:p>
      <w:pPr>
        <w:spacing w:after="0" w:line="9" w:lineRule="exact"/>
        <w:rPr>
          <w:rFonts w:ascii="Arial" w:cs="Arial" w:eastAsia="Arial" w:hAnsi="Arial"/>
          <w:sz w:val="18"/>
          <w:szCs w:val="18"/>
          <w:color w:val="auto"/>
        </w:rPr>
      </w:pPr>
    </w:p>
    <w:p>
      <w:pPr>
        <w:ind w:left="452" w:hanging="452"/>
        <w:spacing w:after="0" w:line="261"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787,944 shares issuable upon the exercise of stock options, and 15,772 shares issuable upon the exercise of common stock purchase warrants that are exercisable within 60 days of December 18, 2013.</w:t>
      </w:r>
    </w:p>
    <w:p>
      <w:pPr>
        <w:spacing w:after="0" w:line="12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12"/>
          </w:cols>
          <w:pgMar w:left="248" w:top="28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2013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76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8"/>
              </w:rPr>
              <w:t>Equity Compensation Plan Information</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16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820" w:type="dxa"/>
            <w:vAlign w:val="bottom"/>
          </w:tcPr>
          <w:p>
            <w:pPr>
              <w:spacing w:after="0"/>
              <w:rPr>
                <w:sz w:val="12"/>
                <w:szCs w:val="12"/>
                <w:color w:val="auto"/>
              </w:rPr>
            </w:pPr>
          </w:p>
        </w:tc>
        <w:tc>
          <w:tcPr>
            <w:tcW w:w="16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0"/>
              </w:rPr>
              <w:t>options,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820" w:type="dxa"/>
            <w:vAlign w:val="bottom"/>
          </w:tcPr>
          <w:p>
            <w:pPr>
              <w:spacing w:after="0"/>
              <w:rPr>
                <w:sz w:val="12"/>
                <w:szCs w:val="12"/>
                <w:color w:val="auto"/>
              </w:rPr>
            </w:pPr>
          </w:p>
        </w:tc>
        <w:tc>
          <w:tcPr>
            <w:tcW w:w="16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48"/>
        </w:trPr>
        <w:tc>
          <w:tcPr>
            <w:tcW w:w="6660" w:type="dxa"/>
            <w:vAlign w:val="bottom"/>
            <w:gridSpan w:val="3"/>
            <w:vMerge w:val="continue"/>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7"/>
              </w:rPr>
              <w:t>rights</w:t>
            </w:r>
          </w:p>
        </w:tc>
        <w:tc>
          <w:tcPr>
            <w:tcW w:w="100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 (1)</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3,118,085</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4.67</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280" w:type="dxa"/>
            <w:vAlign w:val="bottom"/>
          </w:tcPr>
          <w:p>
            <w:pPr>
              <w:jc w:val="right"/>
              <w:spacing w:after="0"/>
              <w:rPr>
                <w:sz w:val="20"/>
                <w:szCs w:val="20"/>
                <w:color w:val="auto"/>
              </w:rPr>
            </w:pPr>
            <w:r>
              <w:rPr>
                <w:rFonts w:ascii="Arial" w:cs="Arial" w:eastAsia="Arial" w:hAnsi="Arial"/>
                <w:sz w:val="18"/>
                <w:szCs w:val="18"/>
                <w:color w:val="auto"/>
              </w:rPr>
              <w:t>301,200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4.69</w:t>
            </w: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3,419,285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4.68</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outstanding representing 2,965,185 shares subject to the 2004 Equity Incentive Plan and 152,900 shares subject to the 2000 Stock Option Plan. No additional shares are available for issuance under the 2000 option plan.</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inducement options issued to newly hired employees.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of the Registrant</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December 18, 2013 are provided below. Biographical information regarding these officers is set forth under the following table, except for Dr. Anzalone, whose biography is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6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Since October 1, 2009, Dr. Given has been a director of the Company’s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Calando Pharmaceuticals, Inc., and since February 1, 2010, Dr. Given has been Chief Executive Officer of Leonardo Biosystems, Inc., in which Arrowhead holds a minority equity interest. Dr. Given was a member of the Board of Directors for ICON, plc. from 2004 until his retirement in 2013 and Chairman of its Board of Directors from 2010 to 2013. Dr. Given served as the President and Chief Executive Officer, and as a member of the Board of Directors of Encysive Pharmaceuticals, an R&amp;D-based commercial pharmaceutical company, roles he held from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2002 through 2007. Subsequent to his tenure at Encysive until 2011, Dr. Given was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compensation paid, awarded or earned for services rendered during fiscal 2013 and fiscal 2012 by our Chief Executive Officer, our Chief Financial Officer, and our Chief Operating Officer. We refer to those persons collectively as our “Named Executive Officers”.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320" w:type="dxa"/>
            <w:vAlign w:val="bottom"/>
            <w:gridSpan w:val="4"/>
            <w:vMerge w:val="continue"/>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4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84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 (2)</w:t>
            </w:r>
          </w:p>
        </w:tc>
        <w:tc>
          <w:tcPr>
            <w:tcW w:w="280" w:type="dxa"/>
            <w:vAlign w:val="bottom"/>
          </w:tcPr>
          <w:p>
            <w:pPr>
              <w:spacing w:after="0"/>
              <w:rPr>
                <w:sz w:val="14"/>
                <w:szCs w:val="14"/>
                <w:color w:val="auto"/>
              </w:rPr>
            </w:pPr>
          </w:p>
        </w:tc>
        <w:tc>
          <w:tcPr>
            <w:tcW w:w="760" w:type="dxa"/>
            <w:vAlign w:val="bottom"/>
          </w:tcPr>
          <w:p>
            <w:pPr>
              <w:jc w:val="right"/>
              <w:ind w:right="21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Christopher Anzalone</w:t>
            </w:r>
          </w:p>
        </w:tc>
        <w:tc>
          <w:tcPr>
            <w:tcW w:w="35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40"/>
              <w:spacing w:after="0" w:line="182" w:lineRule="exact"/>
              <w:rPr>
                <w:sz w:val="20"/>
                <w:szCs w:val="20"/>
                <w:color w:val="auto"/>
              </w:rPr>
            </w:pPr>
            <w:r>
              <w:rPr>
                <w:rFonts w:ascii="Arial" w:cs="Arial" w:eastAsia="Arial" w:hAnsi="Arial"/>
                <w:sz w:val="18"/>
                <w:szCs w:val="18"/>
                <w:color w:val="auto"/>
                <w:w w:val="84"/>
              </w:rPr>
              <w:t>2013</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504,808</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463,393</w:t>
            </w: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1,043,201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&amp; Chief Executive Officer</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473,000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811,685</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1,484,685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320" w:type="dxa"/>
            <w:vAlign w:val="bottom"/>
            <w:gridSpan w:val="4"/>
          </w:tcPr>
          <w:p>
            <w:pPr>
              <w:spacing w:after="0"/>
              <w:rPr>
                <w:sz w:val="20"/>
                <w:szCs w:val="20"/>
                <w:color w:val="auto"/>
              </w:rPr>
            </w:pPr>
            <w:r>
              <w:rPr>
                <w:rFonts w:ascii="Arial" w:cs="Arial" w:eastAsia="Arial" w:hAnsi="Arial"/>
                <w:sz w:val="18"/>
                <w:szCs w:val="18"/>
                <w:color w:val="auto"/>
              </w:rPr>
              <w:t>Ken Myszkowski</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277,644</w:t>
            </w:r>
          </w:p>
        </w:tc>
        <w:tc>
          <w:tcPr>
            <w:tcW w:w="640" w:type="dxa"/>
            <w:vAlign w:val="bottom"/>
          </w:tcPr>
          <w:p>
            <w:pPr>
              <w:jc w:val="right"/>
              <w:spacing w:after="0"/>
              <w:rPr>
                <w:sz w:val="20"/>
                <w:szCs w:val="20"/>
                <w:color w:val="auto"/>
              </w:rPr>
            </w:pPr>
            <w:r>
              <w:rPr>
                <w:rFonts w:ascii="Arial" w:cs="Arial" w:eastAsia="Arial" w:hAnsi="Arial"/>
                <w:sz w:val="18"/>
                <w:szCs w:val="18"/>
                <w:color w:val="auto"/>
              </w:rPr>
              <w:t>27,500</w:t>
            </w:r>
          </w:p>
        </w:tc>
        <w:tc>
          <w:tcPr>
            <w:tcW w:w="280" w:type="dxa"/>
            <w:vAlign w:val="bottom"/>
          </w:tcPr>
          <w:p>
            <w:pPr>
              <w:spacing w:after="0"/>
              <w:rPr>
                <w:sz w:val="24"/>
                <w:szCs w:val="24"/>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173,740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8,891</w:t>
            </w:r>
          </w:p>
        </w:tc>
        <w:tc>
          <w:tcPr>
            <w:tcW w:w="760" w:type="dxa"/>
            <w:vAlign w:val="bottom"/>
          </w:tcPr>
          <w:p>
            <w:pPr>
              <w:jc w:val="right"/>
              <w:spacing w:after="0"/>
              <w:rPr>
                <w:sz w:val="20"/>
                <w:szCs w:val="20"/>
                <w:color w:val="auto"/>
              </w:rPr>
            </w:pPr>
            <w:r>
              <w:rPr>
                <w:rFonts w:ascii="Arial" w:cs="Arial" w:eastAsia="Arial" w:hAnsi="Arial"/>
                <w:sz w:val="18"/>
                <w:szCs w:val="18"/>
                <w:color w:val="auto"/>
              </w:rPr>
              <w:t>487,775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2012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262,000</w:t>
            </w:r>
          </w:p>
        </w:tc>
        <w:tc>
          <w:tcPr>
            <w:tcW w:w="64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425,672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9,731</w:t>
            </w:r>
          </w:p>
        </w:tc>
        <w:tc>
          <w:tcPr>
            <w:tcW w:w="760" w:type="dxa"/>
            <w:vAlign w:val="bottom"/>
          </w:tcPr>
          <w:p>
            <w:pPr>
              <w:jc w:val="right"/>
              <w:spacing w:after="0"/>
              <w:rPr>
                <w:sz w:val="20"/>
                <w:szCs w:val="20"/>
                <w:color w:val="auto"/>
              </w:rPr>
            </w:pPr>
            <w:r>
              <w:rPr>
                <w:rFonts w:ascii="Arial" w:cs="Arial" w:eastAsia="Arial" w:hAnsi="Arial"/>
                <w:sz w:val="18"/>
                <w:szCs w:val="18"/>
                <w:color w:val="auto"/>
              </w:rPr>
              <w:t>757,403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Bruce Given</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363,462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334,900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Operating Officer (3)</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317,000</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605,445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40" w:hanging="452"/>
        <w:spacing w:after="0" w:line="28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column represents the total grant date fair value, computed in accordance with ASC 718, of stock options granted during fiscal year 2013 and 2012. The assumptions used to calculate the value of the stock underlying the option awards are set forth in Note 10 of the Notes to the Consolidated Financial Statements included with the Company’s Annual Report on 10-K, except that the assumed forfeiture rate used for these purposes is zero.</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Bruce Given was hired on October 26, 2012, thus compensation reflected in 2012 is for a partial year of approximately eleven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Arrangements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Each of the Company’s Named Executive Officers is an at-will employee. Mr. Anzalone’s employment agreement, as amended, provides for a minimum base salary of $500,000 and for an annual review of his salary by the Compensation Committee. Mr. Myszkowski’s annual salary is determined on an annual basis by the Compensation Committee. The Named Executive Officers’ annual bonus and stock and option awards are determined on an annual basis by the Compensation Committee. The Company generally does not have severance or change of control arrangements with its Named Executive Officers, except that Mr. Anzalone is entitled to severance pay equal to one month’s base salary and an amount equal to the premiums on his medical and dental benefits for thirty days upon termination in accordance with his employment agreement. Mr. Myszkowski is entitled to severance pay equal to three month’s base salary plus an amount equal to the premiums on his medical and dental benefits for the same period. Additionally, pursuant to the 2004 Equity Incentive Plan, any unvested awards held by plan participants, including the Named Executive Officers, become fully vested upon a change of control, except as otherwise determined by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provides information, with respect to the Named Executive Officers, concerning the Outstanding Equity Awards of the Company’s stock as of September 30, 2013. Note the information provided here reflects adjustments related to the 1 for 10 reverse stock split effected on November 17,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(Exercisable)</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320" w:type="dxa"/>
            <w:vAlign w:val="bottom"/>
            <w:gridSpan w:val="2"/>
          </w:tcPr>
          <w:p>
            <w:pPr>
              <w:jc w:val="center"/>
              <w:ind w:left="413"/>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112,650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10/8/2019</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56,325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9.90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10/21/2021</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102,708</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183,333</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5/6/2013</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69,991</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9/21/2023</w:t>
            </w:r>
          </w:p>
        </w:tc>
      </w:tr>
      <w:tr>
        <w:trPr>
          <w:trHeight w:val="208"/>
        </w:trPr>
        <w:tc>
          <w:tcPr>
            <w:tcW w:w="6080" w:type="dxa"/>
            <w:vAlign w:val="bottom"/>
          </w:tcPr>
          <w:p>
            <w:pPr>
              <w:spacing w:after="0"/>
              <w:rPr>
                <w:sz w:val="20"/>
                <w:szCs w:val="20"/>
                <w:color w:val="auto"/>
              </w:rPr>
            </w:pPr>
            <w:r>
              <w:rPr>
                <w:rFonts w:ascii="Arial" w:cs="Arial" w:eastAsia="Arial" w:hAnsi="Arial"/>
                <w:sz w:val="18"/>
                <w:szCs w:val="18"/>
                <w:color w:val="auto"/>
              </w:rPr>
              <w:t>Ken Myszkowski</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1,823</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7.00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11/16/2019</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8,000</w:t>
            </w:r>
          </w:p>
        </w:tc>
        <w:tc>
          <w:tcPr>
            <w:tcW w:w="4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9,500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9.90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7,188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4.60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10/21/2021</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32,854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50,146</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9/28/2022</w:t>
            </w:r>
          </w:p>
        </w:tc>
      </w:tr>
      <w:tr>
        <w:trPr>
          <w:trHeight w:val="216"/>
        </w:trPr>
        <w:tc>
          <w:tcPr>
            <w:tcW w:w="60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2.01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5/6/2023</w:t>
            </w:r>
          </w:p>
        </w:tc>
      </w:tr>
      <w:tr>
        <w:trPr>
          <w:trHeight w:val="222"/>
        </w:trPr>
        <w:tc>
          <w:tcPr>
            <w:tcW w:w="6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4.75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9/21/2023</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Bruce Given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9/28/2019</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10/26/2021</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66,458</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155,833</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5/6/2023</w:t>
            </w:r>
          </w:p>
        </w:tc>
      </w:tr>
      <w:tr>
        <w:trPr>
          <w:trHeight w:val="216"/>
        </w:trPr>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for 30,000 options granted to Bruce Given as an inducement grant upon his hire, all option awards were granted under the 2004 Equity Incentive Plan of the Company. Options are priced at the market closing price on the day of the award. Options have various vesting parameters, but generally vest within 48 months or less after the award is granted.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named executive officers exercised any options or had any restricted stock vest in fiscal year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2013, all of its officers, directors and significant stockholders complied with all applicable filing requirements under Section 16(a).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5" w:right="239" w:bottom="1440" w:gutter="0" w:footer="0" w:header="0"/>
        </w:sectPr>
      </w:pPr>
    </w:p>
    <w:bookmarkStart w:id="24" w:name="page25"/>
    <w:bookmarkEnd w:id="24"/>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September 30, 2013,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3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Leonardo Biosystems, Inc. (“</w:t>
      </w:r>
      <w:r>
        <w:rPr>
          <w:rFonts w:ascii="Arial" w:cs="Arial" w:eastAsia="Arial" w:hAnsi="Arial"/>
          <w:sz w:val="16"/>
          <w:szCs w:val="16"/>
          <w:b w:val="1"/>
          <w:bCs w:val="1"/>
          <w:color w:val="auto"/>
        </w:rPr>
        <w:t>Leonardo</w:t>
      </w:r>
      <w:r>
        <w:rPr>
          <w:rFonts w:ascii="Arial" w:cs="Arial" w:eastAsia="Arial" w:hAnsi="Arial"/>
          <w:sz w:val="16"/>
          <w:szCs w:val="16"/>
          <w:color w:val="auto"/>
        </w:rPr>
        <w:t>”) was co-founded by the Company’s President and Chief Executive Officer, Dr. Christopher Anzalone, who beneficially owns approximately 9.4% of the outstanding voting securities of Leonardo. Dr. Anzalone does not hold options, warrants or any other rights to acquire securities of Leonardo. Dr. Anzalone has the right to appoint a representative to the Board of Directors of Leonardo. Dr. Anzalone has not received any compensation for his work on behalf of Leonardo since joining the Company on December 1, 2007.</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2013, a portion of Arrowhead employee salary costs, including Dr. Anzalone’s salary and administrative overhead, was charged to Leonardo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management and administrative services provided by Arrowhead to Leonardo. During fiscal 2013, the charge for services provided to Leonardo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$166,000. In addition, during fiscal 2013, Arrowhead made cash advances to Leonardo of $344,000. It is not clear if Leonardo will be able to re-pay Arrowhead,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amounts due from Leonardo have been fully reserved. In addition, Dr. Bruce Given, the Company’s Chief Operating Officer, and CEO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Leonardo is the brother of Dr. Douglass Given, a member of Arrowhead’s Board of Directors. Dr. Douglass Given has no financial interest in Leonardo.</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will mail, without charge to any stockholder upon written request, a copy of the Company’s Annual Report on Form 10-K for the year ended September 30, 2013 including the financial statements, schedules and a list of exhibits. Requests should be sent to Arrowhead Research Corporation, 225 S. Lake Avenue, Suite 1050 Pasadena, CA 91101, Attn: Corporate Secretary, Phone (626) 304-3400.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Sharing the Same Address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2013</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274" w:right="3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 2013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which is incorporated by reference, defines the terms used in the Plan and sets forth certain operational rules related to those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PURPOSE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w:t>
      </w:r>
    </w:p>
    <w:p>
      <w:pPr>
        <w:spacing w:after="0" w:line="21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96" w:lineRule="exact"/>
        <w:rPr>
          <w:rFonts w:ascii="Arial" w:cs="Arial" w:eastAsia="Arial" w:hAnsi="Arial"/>
          <w:sz w:val="18"/>
          <w:szCs w:val="18"/>
          <w:b w:val="1"/>
          <w:bCs w:val="1"/>
          <w:color w:val="auto"/>
        </w:rPr>
      </w:pPr>
    </w:p>
    <w:p>
      <w:pPr>
        <w:ind w:firstLine="464"/>
        <w:spacing w:after="0" w:line="285"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maximum number of shares of Stock that may be delivered in satisfaction of Awards under the Plan is 4,000,000 plus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each January 1 (beginning January 1, 2015 and with the last increase on January 1, 2023) equal to the lesser of: (i) two percent (2%) of the number of then outstanding shares of Stock or (ii) such lesser number as determined by the Board, provided, however, that the sum of (A) the Shares issued under the Plan, plus (B) the then-applicable reserve of Shares issuable under the Plan, may not exceed fifteen percent (15%) of the sum of (C) the total Stock issued and outstanding, plus (D) all Stock underlying any series or class of convertible preferred stock then outstanding (determined without regard to any applicable conversion limits on such preferred stock). Notwithstanding the preceding sentence, no more than 25,000,000 shares of Stock may be delivered either in satisfaction of ISOs awarded under the Plan or, to the extent required by applicable law, to Participants who are residents of the State of California on the date of grant (“</w:t>
      </w:r>
      <w:r>
        <w:rPr>
          <w:rFonts w:ascii="Arial" w:cs="Arial" w:eastAsia="Arial" w:hAnsi="Arial"/>
          <w:sz w:val="16"/>
          <w:szCs w:val="16"/>
          <w:i w:val="1"/>
          <w:iCs w:val="1"/>
          <w:u w:val="single" w:color="auto"/>
          <w:color w:val="auto"/>
        </w:rPr>
        <w:t>California Participants</w:t>
      </w:r>
      <w:r>
        <w:rPr>
          <w:rFonts w:ascii="Arial" w:cs="Arial" w:eastAsia="Arial" w:hAnsi="Arial"/>
          <w:sz w:val="16"/>
          <w:szCs w:val="16"/>
          <w:color w:val="auto"/>
        </w:rPr>
        <w:t>”). Nothing in this Section 4(a) will be construed as requiring that any, or any fixed number of, (x) ISOs be awarded under the Plan or (y) Awards to California Participants be made under the Plan. For purposes of this Section 4(a), the number of shares of Stock delivered in satisfaction of Awards will be determined (i) by treating as having been delivered any shares of Stock underlying the portion of any Award that is settled in cash or the portion of any Award that expires, terminates or is forfeited prior to the issuance of Stock thereunder, (ii) by treating as having been delivered any shares of Stock underlying the portion of any Award that is settled in Stock, and (iii) by treating as having been delivered any shares of Stock withheld by the Company from any Award in payment of the exercise price of any Award requiring exercise or in satisfaction of the tax withholding requirements with respect to any Award. To the extent consistent with the requirements of Section 422 and the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w:t>
      </w:r>
    </w:p>
    <w:p>
      <w:pPr>
        <w:spacing w:after="0" w:line="123" w:lineRule="exact"/>
        <w:rPr>
          <w:rFonts w:ascii="Arial" w:cs="Arial" w:eastAsia="Arial" w:hAnsi="Arial"/>
          <w:sz w:val="16"/>
          <w:szCs w:val="16"/>
          <w:color w:val="auto"/>
        </w:rPr>
      </w:pPr>
    </w:p>
    <w:p>
      <w:pPr>
        <w:ind w:right="480" w:firstLine="464"/>
        <w:spacing w:after="0" w:line="268"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Type of Shares</w:t>
      </w:r>
      <w:r>
        <w:rPr>
          <w:rFonts w:ascii="Arial" w:cs="Arial" w:eastAsia="Arial" w:hAnsi="Arial"/>
          <w:sz w:val="18"/>
          <w:szCs w:val="18"/>
          <w:color w:val="auto"/>
        </w:rPr>
        <w:t>. Stock delivered by the Company under the Plan may be authorized but unissued Stock or previously issued Stock acquired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No fractional shares of Stock will be delivered under the Plan.</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Section 162(m) Limits</w:t>
      </w:r>
      <w:r>
        <w:rPr>
          <w:rFonts w:ascii="Arial" w:cs="Arial" w:eastAsia="Arial" w:hAnsi="Arial"/>
          <w:sz w:val="18"/>
          <w:szCs w:val="18"/>
          <w:color w:val="auto"/>
        </w:rPr>
        <w:t>. For purposes of Section 162(m), the following additional limits will apply to Awards of the specified type granted, or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Awards, payable to any person in any calendar year:</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Stock Options: 750,000 shares of Stock.</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SARs: 750,000 shares of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27" w:name="page28"/>
    <w:bookmarkEnd w:id="27"/>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other than Stock Options, SARs or Cash Awards: 750,000 shares of Stock.</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Awards: $750,000.</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applying the foregoing limits, (i) all Awards of the specified type granted to the same person in the same calendar year will be aggregated and made subject to one limit; (ii) the limits applicable to Stock Options and SARs refer to the number of shares of Stock subject to those Awards; (iii) the share limit under clause (3) refers to the maximum number of shares of Stock that may be delivered, or the value of which could be paid in cash or other property, under an Award or Awards of the type specified in clause (3) assuming a maximum payout; and (iv) the dollar limit under clause (4) refers to the maximum dollar amount payable under an Award or Awards of the type specified in clause (4) assuming a maximum payout. The foregoing provisions will be construed in a manner consistent with Section 162(m), including, without limitation, where applicable, the rules under Section 162(m) pertaining to permissible deferrals of exempt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ELIGIBILITY AND PARTICIPATION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either the Company or to a subsidiary of the Company that would be described in the first sentence of Treas. Regs. §1.409A-1(b)(5)(iii)(E).</w:t>
      </w:r>
    </w:p>
    <w:p>
      <w:pPr>
        <w:spacing w:after="0" w:line="19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All Awards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323" w:lineRule="auto"/>
        <w:tabs>
          <w:tab w:leader="none" w:pos="1161" w:val="left"/>
        </w:tabs>
        <w:numPr>
          <w:ilvl w:val="2"/>
          <w:numId w:val="24"/>
        </w:numPr>
        <w:rPr>
          <w:rFonts w:ascii="Arial" w:cs="Arial" w:eastAsia="Arial" w:hAnsi="Arial"/>
          <w:sz w:val="15"/>
          <w:szCs w:val="15"/>
          <w:color w:val="auto"/>
        </w:rPr>
      </w:pPr>
      <w:r>
        <w:rPr>
          <w:rFonts w:ascii="Arial" w:cs="Arial" w:eastAsia="Arial" w:hAnsi="Arial"/>
          <w:sz w:val="15"/>
          <w:szCs w:val="15"/>
          <w:i w:val="1"/>
          <w:iCs w:val="1"/>
          <w:u w:val="single" w:color="auto"/>
          <w:color w:val="auto"/>
        </w:rPr>
        <w:t>Award Provisions</w:t>
      </w:r>
      <w:r>
        <w:rPr>
          <w:rFonts w:ascii="Arial" w:cs="Arial" w:eastAsia="Arial" w:hAnsi="Arial"/>
          <w:sz w:val="15"/>
          <w:szCs w:val="15"/>
          <w:color w:val="auto"/>
        </w:rPr>
        <w:t>. The Administrator will determine the terms of all Awards, subject to the limitations provided herein. By accepting (or, under</w:t>
      </w:r>
      <w:r>
        <w:rPr>
          <w:rFonts w:ascii="Arial" w:cs="Arial" w:eastAsia="Arial" w:hAnsi="Arial"/>
          <w:sz w:val="15"/>
          <w:szCs w:val="15"/>
          <w:i w:val="1"/>
          <w:iCs w:val="1"/>
          <w:color w:val="auto"/>
        </w:rPr>
        <w:t xml:space="preserve"> </w:t>
      </w:r>
      <w:r>
        <w:rPr>
          <w:rFonts w:ascii="Arial" w:cs="Arial" w:eastAsia="Arial" w:hAnsi="Arial"/>
          <w:sz w:val="15"/>
          <w:szCs w:val="15"/>
          <w:color w:val="auto"/>
        </w:rPr>
        <w:t>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97" w:lineRule="exact"/>
        <w:rPr>
          <w:rFonts w:ascii="Arial" w:cs="Arial" w:eastAsia="Arial" w:hAnsi="Arial"/>
          <w:sz w:val="15"/>
          <w:szCs w:val="15"/>
          <w:color w:val="auto"/>
        </w:rPr>
      </w:pPr>
    </w:p>
    <w:p>
      <w:pPr>
        <w:ind w:right="60" w:firstLine="921"/>
        <w:spacing w:after="0" w:line="268" w:lineRule="auto"/>
        <w:tabs>
          <w:tab w:leader="none" w:pos="1161" w:val="left"/>
        </w:tabs>
        <w:numPr>
          <w:ilvl w:val="2"/>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Term of Plan</w:t>
      </w:r>
      <w:r>
        <w:rPr>
          <w:rFonts w:ascii="Arial" w:cs="Arial" w:eastAsia="Arial" w:hAnsi="Arial"/>
          <w:sz w:val="18"/>
          <w:szCs w:val="18"/>
          <w:color w:val="auto"/>
        </w:rPr>
        <w:t>. No Awards may be made after ten years from the Date of Adoption, but previously granted Awards may continue beyond that date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their terms.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Transferability</w:t>
      </w:r>
      <w:r>
        <w:rPr>
          <w:rFonts w:ascii="Arial" w:cs="Arial" w:eastAsia="Arial" w:hAnsi="Arial"/>
          <w:sz w:val="16"/>
          <w:szCs w:val="16"/>
          <w:color w:val="auto"/>
        </w:rPr>
        <w:t>. Neither ISOs nor, except as the Administrator otherwise expressly provides in accordance with the third sentence of this</w:t>
      </w:r>
    </w:p>
    <w:p>
      <w:pPr>
        <w:spacing w:after="0" w:line="38" w:lineRule="exact"/>
        <w:rPr>
          <w:sz w:val="20"/>
          <w:szCs w:val="20"/>
          <w:color w:val="auto"/>
        </w:rPr>
      </w:pPr>
    </w:p>
    <w:p>
      <w:pPr>
        <w:jc w:val="both"/>
        <w:ind w:right="160"/>
        <w:spacing w:after="0" w:line="295" w:lineRule="auto"/>
        <w:rPr>
          <w:sz w:val="20"/>
          <w:szCs w:val="20"/>
          <w:color w:val="auto"/>
        </w:rPr>
      </w:pPr>
      <w:r>
        <w:rPr>
          <w:rFonts w:ascii="Arial" w:cs="Arial" w:eastAsia="Arial" w:hAnsi="Arial"/>
          <w:sz w:val="16"/>
          <w:szCs w:val="16"/>
          <w:color w:val="auto"/>
        </w:rPr>
        <w:t>Section 6(a)(3), other 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as amended), subject to such limitations as the Administrator may impose.</w:t>
      </w:r>
    </w:p>
    <w:p>
      <w:pPr>
        <w:spacing w:after="0" w:line="115" w:lineRule="exact"/>
        <w:rPr>
          <w:sz w:val="20"/>
          <w:szCs w:val="20"/>
          <w:color w:val="auto"/>
        </w:rPr>
      </w:pPr>
    </w:p>
    <w:p>
      <w:pPr>
        <w:jc w:val="both"/>
        <w:ind w:right="120" w:firstLine="921"/>
        <w:spacing w:after="0" w:line="298" w:lineRule="auto"/>
        <w:tabs>
          <w:tab w:leader="none" w:pos="1161" w:val="left"/>
        </w:tabs>
        <w:numPr>
          <w:ilvl w:val="0"/>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etc</w:t>
      </w:r>
      <w:r>
        <w:rPr>
          <w:rFonts w:ascii="Arial" w:cs="Arial" w:eastAsia="Arial" w:hAnsi="Arial"/>
          <w:sz w:val="16"/>
          <w:szCs w:val="16"/>
          <w:color w:val="auto"/>
        </w:rPr>
        <w:t>. The Administrator will determine the time or times at which an Award will vest or become exercisable and the terms on which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8" w:name="page29"/>
    <w:bookmarkEnd w:id="28"/>
    <w:p>
      <w:pPr>
        <w:ind w:left="700" w:right="100" w:firstLine="422"/>
        <w:spacing w:after="0" w:line="306" w:lineRule="auto"/>
        <w:tabs>
          <w:tab w:leader="none" w:pos="1417"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06" w:lineRule="exact"/>
        <w:rPr>
          <w:rFonts w:ascii="Arial" w:cs="Arial" w:eastAsia="Arial" w:hAnsi="Arial"/>
          <w:sz w:val="16"/>
          <w:szCs w:val="16"/>
          <w:color w:val="auto"/>
        </w:rPr>
      </w:pPr>
    </w:p>
    <w:p>
      <w:pPr>
        <w:ind w:left="700" w:firstLine="422"/>
        <w:spacing w:after="0" w:line="256" w:lineRule="auto"/>
        <w:tabs>
          <w:tab w:leader="none" w:pos="14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w:t>
      </w:r>
    </w:p>
    <w:p>
      <w:pPr>
        <w:spacing w:after="0" w:line="143" w:lineRule="exact"/>
        <w:rPr>
          <w:rFonts w:ascii="Arial" w:cs="Arial" w:eastAsia="Arial" w:hAnsi="Arial"/>
          <w:sz w:val="18"/>
          <w:szCs w:val="18"/>
          <w:color w:val="auto"/>
        </w:rPr>
      </w:pPr>
    </w:p>
    <w:p>
      <w:pPr>
        <w:jc w:val="both"/>
        <w:ind w:left="700" w:right="200" w:firstLine="422"/>
        <w:spacing w:after="0" w:line="256" w:lineRule="auto"/>
        <w:tabs>
          <w:tab w:leader="none" w:pos="14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w:t>
      </w:r>
    </w:p>
    <w:p>
      <w:pPr>
        <w:spacing w:after="0" w:line="143" w:lineRule="exact"/>
        <w:rPr>
          <w:rFonts w:ascii="Arial" w:cs="Arial" w:eastAsia="Arial" w:hAnsi="Arial"/>
          <w:sz w:val="18"/>
          <w:szCs w:val="18"/>
          <w:color w:val="auto"/>
        </w:rPr>
      </w:pPr>
    </w:p>
    <w:p>
      <w:pPr>
        <w:ind w:left="700" w:right="160" w:firstLine="422"/>
        <w:spacing w:after="0" w:line="298" w:lineRule="auto"/>
        <w:tabs>
          <w:tab w:leader="none" w:pos="141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w:t>
      </w:r>
    </w:p>
    <w:p>
      <w:pPr>
        <w:spacing w:after="0" w:line="112" w:lineRule="exact"/>
        <w:rPr>
          <w:rFonts w:ascii="Arial" w:cs="Arial" w:eastAsia="Arial" w:hAnsi="Arial"/>
          <w:sz w:val="16"/>
          <w:szCs w:val="16"/>
          <w:color w:val="auto"/>
        </w:rPr>
      </w:pPr>
    </w:p>
    <w:p>
      <w:pPr>
        <w:ind w:left="700" w:right="60" w:firstLine="422"/>
        <w:spacing w:after="0" w:line="256" w:lineRule="auto"/>
        <w:tabs>
          <w:tab w:leader="none" w:pos="13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spacing w:after="0" w:line="143" w:lineRule="exact"/>
        <w:rPr>
          <w:rFonts w:ascii="Arial" w:cs="Arial" w:eastAsia="Arial" w:hAnsi="Arial"/>
          <w:sz w:val="18"/>
          <w:szCs w:val="18"/>
          <w:color w:val="auto"/>
        </w:rPr>
      </w:pPr>
    </w:p>
    <w:p>
      <w:pPr>
        <w:ind w:right="60" w:firstLine="921"/>
        <w:spacing w:after="0" w:line="291" w:lineRule="auto"/>
        <w:tabs>
          <w:tab w:leader="none" w:pos="1161"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Restrictions</w:t>
      </w:r>
      <w:r>
        <w:rPr>
          <w:rFonts w:ascii="Arial" w:cs="Arial" w:eastAsia="Arial" w:hAnsi="Arial"/>
          <w:sz w:val="16"/>
          <w:szCs w:val="16"/>
          <w:color w:val="auto"/>
        </w:rPr>
        <w:t>. The Administrator may cancel, rescind, withhold or otherwise limit or restrict any Award at any time if the Participant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in accordance with any applicable Company clawback or recoupment policy, as such policy may be amended and in effect from time to time, or as otherwise required by law or applicable stock exchange listing standards, including, without limitation, Section 10D of the Exchange Act, or any stock exchange or similar rule adopted under said Section.</w:t>
      </w:r>
    </w:p>
    <w:p>
      <w:pPr>
        <w:spacing w:after="0" w:line="120" w:lineRule="exact"/>
        <w:rPr>
          <w:rFonts w:ascii="Arial" w:cs="Arial" w:eastAsia="Arial" w:hAnsi="Arial"/>
          <w:sz w:val="16"/>
          <w:szCs w:val="16"/>
          <w:color w:val="auto"/>
        </w:rPr>
      </w:pPr>
    </w:p>
    <w:p>
      <w:pPr>
        <w:jc w:val="both"/>
        <w:ind w:right="220" w:firstLine="921"/>
        <w:spacing w:after="0" w:line="298" w:lineRule="auto"/>
        <w:tabs>
          <w:tab w:leader="none" w:pos="1161"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Taxes</w:t>
      </w:r>
      <w:r>
        <w:rPr>
          <w:rFonts w:ascii="Arial" w:cs="Arial" w:eastAsia="Arial" w:hAnsi="Arial"/>
          <w:sz w:val="16"/>
          <w:szCs w:val="16"/>
          <w:color w:val="auto"/>
        </w:rPr>
        <w:t>. The grant of an Award and the delivery, vesting and retention of Stock, cash or other property under an Award are conditioned upon full</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112" w:lineRule="exact"/>
        <w:rPr>
          <w:rFonts w:ascii="Arial" w:cs="Arial" w:eastAsia="Arial" w:hAnsi="Arial"/>
          <w:sz w:val="16"/>
          <w:szCs w:val="16"/>
          <w:color w:val="auto"/>
        </w:rPr>
      </w:pPr>
    </w:p>
    <w:p>
      <w:pPr>
        <w:ind w:right="20" w:firstLine="921"/>
        <w:spacing w:after="0" w:line="294" w:lineRule="auto"/>
        <w:tabs>
          <w:tab w:leader="none" w:pos="1161"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Dividend Equivalents, Etc</w:t>
      </w:r>
      <w:r>
        <w:rPr>
          <w:rFonts w:ascii="Arial" w:cs="Arial" w:eastAsia="Arial" w:hAnsi="Arial"/>
          <w:sz w:val="16"/>
          <w:szCs w:val="16"/>
          <w:color w:val="auto"/>
        </w:rPr>
        <w:t>. The Administrator may provide for the payment of amounts (on terms and subject to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may be subject to such limits or restrictions as the Administrator may impose.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9" w:name="page30"/>
    <w:bookmarkEnd w:id="29"/>
    <w:p>
      <w:pPr>
        <w:ind w:right="20" w:firstLine="921"/>
        <w:spacing w:after="0" w:line="255" w:lineRule="auto"/>
        <w:tabs>
          <w:tab w:leader="none" w:pos="1161" w:val="left"/>
        </w:tabs>
        <w:numPr>
          <w:ilvl w:val="2"/>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Limited</w:t>
      </w:r>
      <w:r>
        <w:rPr>
          <w:rFonts w:ascii="Arial" w:cs="Arial" w:eastAsia="Arial" w:hAnsi="Arial"/>
          <w:sz w:val="18"/>
          <w:szCs w:val="18"/>
          <w:color w:val="auto"/>
        </w:rPr>
        <w:t>. Nothing in the Plan or in any Award will be construed as giving any person the right to continued employment or service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42" w:lineRule="exact"/>
        <w:rPr>
          <w:rFonts w:ascii="Arial" w:cs="Arial" w:eastAsia="Arial" w:hAnsi="Arial"/>
          <w:sz w:val="18"/>
          <w:szCs w:val="18"/>
          <w:color w:val="auto"/>
        </w:rPr>
      </w:pPr>
    </w:p>
    <w:p>
      <w:pPr>
        <w:ind w:right="280" w:firstLine="921"/>
        <w:spacing w:after="0" w:line="286" w:lineRule="auto"/>
        <w:tabs>
          <w:tab w:leader="none" w:pos="1161" w:val="left"/>
        </w:tabs>
        <w:numPr>
          <w:ilvl w:val="2"/>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Section 162(m)</w:t>
      </w:r>
      <w:r>
        <w:rPr>
          <w:rFonts w:ascii="Arial" w:cs="Arial" w:eastAsia="Arial" w:hAnsi="Arial"/>
          <w:sz w:val="16"/>
          <w:szCs w:val="16"/>
          <w:color w:val="auto"/>
        </w:rPr>
        <w:t>. In the case of any Performance Award (other than a Stock Option or SAR) intended to qualify for the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exception under Section 162(m), the Administrator will establish the applicable Performance Criterion or Criteria in writing no later than ninety</w:t>
      </w:r>
    </w:p>
    <w:p>
      <w:pPr>
        <w:jc w:val="both"/>
        <w:ind w:right="660" w:firstLine="8"/>
        <w:spacing w:after="0" w:line="302" w:lineRule="auto"/>
        <w:tabs>
          <w:tab w:leader="none" w:pos="3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days after the commencement of the period of service to which the performance relates (or at such earlier time as is required to qualify the Award as performance-based under Section 162(m)) and, prior to the event or occurrence (grant, vesting or payment, as the case may be) that is conditioned on the attainment of such Performance Criterion or Criteria, will certify whether it or they have been attained.</w:t>
      </w:r>
    </w:p>
    <w:p>
      <w:pPr>
        <w:spacing w:after="0" w:line="109" w:lineRule="exact"/>
        <w:rPr>
          <w:rFonts w:ascii="Arial" w:cs="Arial" w:eastAsia="Arial" w:hAnsi="Arial"/>
          <w:sz w:val="16"/>
          <w:szCs w:val="16"/>
          <w:color w:val="auto"/>
        </w:rPr>
      </w:pPr>
    </w:p>
    <w:p>
      <w:pPr>
        <w:ind w:right="120" w:firstLine="921"/>
        <w:spacing w:after="0" w:line="288" w:lineRule="auto"/>
        <w:tabs>
          <w:tab w:leader="none" w:pos="1249" w:val="left"/>
        </w:tabs>
        <w:numPr>
          <w:ilvl w:val="2"/>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Coordination with Other Plans</w:t>
      </w:r>
      <w:r>
        <w:rPr>
          <w:rFonts w:ascii="Arial" w:cs="Arial" w:eastAsia="Arial" w:hAnsi="Arial"/>
          <w:sz w:val="16"/>
          <w:szCs w:val="16"/>
          <w:color w:val="auto"/>
        </w:rPr>
        <w:t>. Awards under the Plan may be granted in tandem with, or in satisfaction of or substitution for,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 In any case where an award is made under another plan or program of the Company or its Affiliates and such award is intended to qualify for the performance-based compensation exception under Section 162(m), and such award is settled by the delivery of Stock or another Award under the Plan, the applicable Section 162(m) limitations under both the other plan or program and under the Plan will be applied to the Plan as necessary (as determined by the Administrator) to preserve the availability of the Section 162(m) performance-based compensation exception with respect thereto.</w:t>
      </w:r>
    </w:p>
    <w:p>
      <w:pPr>
        <w:spacing w:after="0" w:line="119" w:lineRule="exact"/>
        <w:rPr>
          <w:rFonts w:ascii="Arial" w:cs="Arial" w:eastAsia="Arial" w:hAnsi="Arial"/>
          <w:sz w:val="16"/>
          <w:szCs w:val="16"/>
          <w:color w:val="auto"/>
        </w:rPr>
      </w:pPr>
    </w:p>
    <w:p>
      <w:pPr>
        <w:ind w:firstLine="921"/>
        <w:spacing w:after="0" w:line="268" w:lineRule="auto"/>
        <w:tabs>
          <w:tab w:leader="none" w:pos="1243" w:val="left"/>
        </w:tabs>
        <w:numPr>
          <w:ilvl w:val="2"/>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Section 409A</w:t>
      </w:r>
      <w:r>
        <w:rPr>
          <w:rFonts w:ascii="Arial" w:cs="Arial" w:eastAsia="Arial" w:hAnsi="Arial"/>
          <w:sz w:val="18"/>
          <w:szCs w:val="18"/>
          <w:color w:val="auto"/>
        </w:rPr>
        <w:t>. Each Award will contain such terms as the Administrator determines, and will be construed and administered, such that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qualifies for an exemption from the requirements of Section 409A or satisfies such requirements.</w:t>
      </w:r>
    </w:p>
    <w:p>
      <w:pPr>
        <w:spacing w:after="0" w:line="131" w:lineRule="exact"/>
        <w:rPr>
          <w:rFonts w:ascii="Arial" w:cs="Arial" w:eastAsia="Arial" w:hAnsi="Arial"/>
          <w:sz w:val="18"/>
          <w:szCs w:val="18"/>
          <w:color w:val="auto"/>
        </w:rPr>
      </w:pPr>
    </w:p>
    <w:p>
      <w:pPr>
        <w:ind w:right="120" w:firstLine="921"/>
        <w:spacing w:after="0" w:line="268" w:lineRule="auto"/>
        <w:tabs>
          <w:tab w:leader="none" w:pos="1249" w:val="left"/>
        </w:tabs>
        <w:numPr>
          <w:ilvl w:val="2"/>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Fair Market Value</w:t>
      </w:r>
      <w:r>
        <w:rPr>
          <w:rFonts w:ascii="Arial" w:cs="Arial" w:eastAsia="Arial" w:hAnsi="Arial"/>
          <w:sz w:val="18"/>
          <w:szCs w:val="18"/>
          <w:color w:val="auto"/>
        </w:rPr>
        <w:t>. In determining the fair market value of any share of Stock under the Plan, the Administrator will make the determination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good faith consistent with the rules of Section 422 and Section 409A to the extent applicable.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Options and SARs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94" w:lineRule="auto"/>
        <w:tabs>
          <w:tab w:leader="none" w:pos="1161" w:val="left"/>
        </w:tabs>
        <w:numPr>
          <w:ilvl w:val="2"/>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Time And Manner Of Exercise</w:t>
      </w:r>
      <w:r>
        <w:rPr>
          <w:rFonts w:ascii="Arial" w:cs="Arial" w:eastAsia="Arial" w:hAnsi="Arial"/>
          <w:sz w:val="16"/>
          <w:szCs w:val="16"/>
          <w:color w:val="auto"/>
        </w:rPr>
        <w:t>. Unless the Administrator expressly provides otherwise, no Stock Option or SAR will be deemed to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15" w:lineRule="exact"/>
        <w:rPr>
          <w:rFonts w:ascii="Arial" w:cs="Arial" w:eastAsia="Arial" w:hAnsi="Arial"/>
          <w:sz w:val="16"/>
          <w:szCs w:val="16"/>
          <w:color w:val="auto"/>
        </w:rPr>
      </w:pPr>
    </w:p>
    <w:p>
      <w:pPr>
        <w:jc w:val="both"/>
        <w:ind w:firstLine="921"/>
        <w:spacing w:after="0" w:line="306" w:lineRule="auto"/>
        <w:tabs>
          <w:tab w:leader="none" w:pos="1161" w:val="left"/>
        </w:tabs>
        <w:numPr>
          <w:ilvl w:val="2"/>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w:t>
      </w:r>
      <w:r>
        <w:rPr>
          <w:rFonts w:ascii="Arial" w:cs="Arial" w:eastAsia="Arial" w:hAnsi="Arial"/>
          <w:sz w:val="16"/>
          <w:szCs w:val="16"/>
          <w:color w:val="auto"/>
        </w:rPr>
        <w:t>. The exercise price (or the base value from which appreciation is to be measured) of each Award requiring exercise will be no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100% (or in the case of an ISO granted to a ten-percent shareholder within the meaning of subsection (b)(6) of Section 422, 110%) of the fair market value of the Stock subject to the Award, determined as of the date of grant, or such higher amount as the Administrator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30" w:name="page31"/>
    <w:bookmarkEnd w:id="3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spacing w:after="0" w:line="118" w:lineRule="exact"/>
        <w:rPr>
          <w:sz w:val="20"/>
          <w:szCs w:val="20"/>
          <w:color w:val="auto"/>
        </w:rPr>
      </w:pPr>
    </w:p>
    <w:p>
      <w:pPr>
        <w:ind w:right="160" w:firstLine="921"/>
        <w:spacing w:after="0" w:line="332" w:lineRule="auto"/>
        <w:tabs>
          <w:tab w:leader="none" w:pos="1161" w:val="left"/>
        </w:tabs>
        <w:numPr>
          <w:ilvl w:val="2"/>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Of Exercise Price</w:t>
      </w:r>
      <w:r>
        <w:rPr>
          <w:rFonts w:ascii="Arial" w:cs="Arial" w:eastAsia="Arial" w:hAnsi="Arial"/>
          <w:sz w:val="16"/>
          <w:szCs w:val="16"/>
          <w:color w:val="auto"/>
        </w:rPr>
        <w:t>. Where the exercise of an Award is to be accompanied by payment, payment of the exercise price will be by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check acceptable to the Administrator or by such other legally permissible means, if any, as may be acceptable to the Administrator.</w:t>
      </w:r>
    </w:p>
    <w:p>
      <w:pPr>
        <w:spacing w:after="0" w:line="85" w:lineRule="exact"/>
        <w:rPr>
          <w:rFonts w:ascii="Arial" w:cs="Arial" w:eastAsia="Arial" w:hAnsi="Arial"/>
          <w:sz w:val="16"/>
          <w:szCs w:val="16"/>
          <w:color w:val="auto"/>
        </w:rPr>
      </w:pPr>
    </w:p>
    <w:p>
      <w:pPr>
        <w:ind w:right="40" w:firstLine="921"/>
        <w:spacing w:after="0" w:line="291" w:lineRule="auto"/>
        <w:tabs>
          <w:tab w:leader="none" w:pos="1161" w:val="left"/>
        </w:tabs>
        <w:numPr>
          <w:ilvl w:val="2"/>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Maximum Term</w:t>
      </w:r>
      <w:r>
        <w:rPr>
          <w:rFonts w:ascii="Arial" w:cs="Arial" w:eastAsia="Arial" w:hAnsi="Arial"/>
          <w:sz w:val="16"/>
          <w:szCs w:val="16"/>
          <w:color w:val="auto"/>
        </w:rPr>
        <w:t>. Stock Options and SARs will have a maximum term not to exceed ten (10) years from the date of grant (or five (5) years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grant in the case of an ISO granted to a ten-percent shareholder described in Section 6(b)(2) above); provided, however, that, if a Participant still holding an outstanding but unexercised NSO or SAR ten (10) years from the date of grant (or, in the case of an NSO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 w:cs="Arial" w:eastAsia="Arial" w:hAnsi="Arial"/>
          <w:sz w:val="10"/>
          <w:szCs w:val="10"/>
          <w:color w:val="auto"/>
        </w:rPr>
        <w:t>th</w:t>
      </w:r>
      <w:r>
        <w:rPr>
          <w:rFonts w:ascii="Arial" w:cs="Arial" w:eastAsia="Arial" w:hAnsi="Arial"/>
          <w:sz w:val="16"/>
          <w:szCs w:val="16"/>
          <w:color w:val="auto"/>
        </w:rPr>
        <w:t>) day following the date the Participant is no longer prohibited from engaging in such open market sales.</w:t>
      </w:r>
    </w:p>
    <w:p>
      <w:pPr>
        <w:spacing w:after="0" w:line="195" w:lineRule="exact"/>
        <w:rPr>
          <w:rFonts w:ascii="Arial" w:cs="Arial" w:eastAsia="Arial" w:hAnsi="Arial"/>
          <w:sz w:val="16"/>
          <w:szCs w:val="16"/>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Mergers, etc</w:t>
      </w:r>
      <w:r>
        <w:rPr>
          <w:rFonts w:ascii="Arial" w:cs="Arial" w:eastAsia="Arial" w:hAnsi="Arial"/>
          <w:sz w:val="16"/>
          <w:szCs w:val="16"/>
          <w:color w:val="auto"/>
        </w:rPr>
        <w:t>. Except as otherwise provided in an Award agreement, the following provisions will apply in the event of a Covered Transaction:</w:t>
      </w:r>
    </w:p>
    <w:p>
      <w:pPr>
        <w:spacing w:after="0" w:line="113" w:lineRule="exact"/>
        <w:rPr>
          <w:rFonts w:ascii="Arial" w:cs="Arial" w:eastAsia="Arial" w:hAnsi="Arial"/>
          <w:sz w:val="16"/>
          <w:szCs w:val="16"/>
          <w:color w:val="auto"/>
        </w:rPr>
      </w:pPr>
    </w:p>
    <w:p>
      <w:pPr>
        <w:jc w:val="both"/>
        <w:ind w:right="140" w:firstLine="921"/>
        <w:spacing w:after="0" w:line="306" w:lineRule="auto"/>
        <w:tabs>
          <w:tab w:leader="none" w:pos="1161" w:val="left"/>
        </w:tabs>
        <w:numPr>
          <w:ilvl w:val="2"/>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Assumption or Substitution</w:t>
      </w:r>
      <w:r>
        <w:rPr>
          <w:rFonts w:ascii="Arial" w:cs="Arial" w:eastAsia="Arial" w:hAnsi="Arial"/>
          <w:sz w:val="16"/>
          <w:szCs w:val="16"/>
          <w:color w:val="auto"/>
        </w:rPr>
        <w:t>. If the Covered Transaction is one in which there is an acquiring or surviving entity, the Administrator may (but,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25" w:lineRule="exact"/>
        <w:rPr>
          <w:rFonts w:ascii="Arial" w:cs="Arial" w:eastAsia="Arial" w:hAnsi="Arial"/>
          <w:sz w:val="16"/>
          <w:szCs w:val="16"/>
          <w:color w:val="auto"/>
        </w:rPr>
      </w:pPr>
    </w:p>
    <w:p>
      <w:pPr>
        <w:ind w:right="40" w:firstLine="921"/>
        <w:spacing w:after="0" w:line="289" w:lineRule="auto"/>
        <w:tabs>
          <w:tab w:leader="none" w:pos="1161" w:val="left"/>
        </w:tabs>
        <w:numPr>
          <w:ilvl w:val="2"/>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Cash-Out of Awards</w:t>
      </w:r>
      <w:r>
        <w:rPr>
          <w:rFonts w:ascii="Arial" w:cs="Arial" w:eastAsia="Arial" w:hAnsi="Arial"/>
          <w:sz w:val="16"/>
          <w:szCs w:val="16"/>
          <w:color w:val="auto"/>
        </w:rPr>
        <w:t>. Subject to Section 7(a)(5) below the Administrator may (but, for the avoidance of doubt, need not) provide for payment (a</w:t>
      </w:r>
      <w:r>
        <w:rPr>
          <w:rFonts w:ascii="Arial" w:cs="Arial" w:eastAsia="Arial" w:hAnsi="Arial"/>
          <w:sz w:val="16"/>
          <w:szCs w:val="16"/>
          <w:i w:val="1"/>
          <w:iCs w:val="1"/>
          <w:color w:val="auto"/>
        </w:rPr>
        <w:t xml:space="preserve"> </w:t>
      </w:r>
      <w:r>
        <w:rPr>
          <w:rFonts w:ascii="Arial" w:cs="Arial" w:eastAsia="Arial" w:hAnsi="Arial"/>
          <w:sz w:val="16"/>
          <w:szCs w:val="16"/>
          <w:color w:val="auto"/>
        </w:rPr>
        <w:t>“cash-out”),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w:t>
      </w:r>
    </w:p>
    <w:p>
      <w:pPr>
        <w:spacing w:after="0" w:line="37" w:lineRule="exact"/>
        <w:rPr>
          <w:rFonts w:ascii="Arial" w:cs="Arial" w:eastAsia="Arial" w:hAnsi="Arial"/>
          <w:sz w:val="16"/>
          <w:szCs w:val="16"/>
          <w:color w:val="auto"/>
        </w:rPr>
      </w:pPr>
    </w:p>
    <w:p>
      <w:pPr>
        <w:ind w:firstLine="921"/>
        <w:spacing w:after="0" w:line="289" w:lineRule="auto"/>
        <w:tabs>
          <w:tab w:leader="none" w:pos="1161" w:val="left"/>
        </w:tabs>
        <w:numPr>
          <w:ilvl w:val="2"/>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 of Certain Awards</w:t>
      </w:r>
      <w:r>
        <w:rPr>
          <w:rFonts w:ascii="Arial" w:cs="Arial" w:eastAsia="Arial" w:hAnsi="Arial"/>
          <w:sz w:val="16"/>
          <w:szCs w:val="16"/>
          <w:color w:val="auto"/>
        </w:rPr>
        <w:t>. Subject to Section 7(a)(5) below, the Administrator may (but, for the avoidance of doubt, need not) provide that</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Notwithstanding the foregoing, in the event of a Change in Control, each outstanding Award will, absent an affirmative determination by the Administrator to the contrary (which determination may be made in the Administrator’s sole and absolute discretion) fully vest and become exercisable immediately prior to the consummation of such Change in Control, and the Administrator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31" w:name="page32"/>
    <w:bookmarkEnd w:id="31"/>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w:t>
      </w:r>
    </w:p>
    <w:p>
      <w:pPr>
        <w:spacing w:after="0" w:line="26" w:lineRule="exact"/>
        <w:rPr>
          <w:sz w:val="20"/>
          <w:szCs w:val="20"/>
          <w:color w:val="auto"/>
        </w:rPr>
      </w:pPr>
    </w:p>
    <w:p>
      <w:pPr>
        <w:ind w:right="80" w:firstLine="921"/>
        <w:spacing w:after="0" w:line="335" w:lineRule="auto"/>
        <w:tabs>
          <w:tab w:leader="none" w:pos="1161" w:val="left"/>
        </w:tabs>
        <w:numPr>
          <w:ilvl w:val="2"/>
          <w:numId w:val="33"/>
        </w:numPr>
        <w:rPr>
          <w:rFonts w:ascii="Arial" w:cs="Arial" w:eastAsia="Arial" w:hAnsi="Arial"/>
          <w:sz w:val="15"/>
          <w:szCs w:val="15"/>
          <w:color w:val="auto"/>
        </w:rPr>
      </w:pPr>
      <w:r>
        <w:rPr>
          <w:rFonts w:ascii="Arial" w:cs="Arial" w:eastAsia="Arial" w:hAnsi="Arial"/>
          <w:sz w:val="15"/>
          <w:szCs w:val="15"/>
          <w:i w:val="1"/>
          <w:iCs w:val="1"/>
          <w:u w:val="single" w:color="auto"/>
          <w:color w:val="auto"/>
        </w:rPr>
        <w:t>Termination of Awards Upon Consummation of Covered Transaction</w:t>
      </w:r>
      <w:r>
        <w:rPr>
          <w:rFonts w:ascii="Arial" w:cs="Arial" w:eastAsia="Arial" w:hAnsi="Arial"/>
          <w:sz w:val="15"/>
          <w:szCs w:val="15"/>
          <w:color w:val="auto"/>
        </w:rPr>
        <w:t>. Except as the Administrator may otherwise determine in any case and</w:t>
      </w:r>
      <w:r>
        <w:rPr>
          <w:rFonts w:ascii="Arial" w:cs="Arial" w:eastAsia="Arial" w:hAnsi="Arial"/>
          <w:sz w:val="15"/>
          <w:szCs w:val="15"/>
          <w:i w:val="1"/>
          <w:iCs w:val="1"/>
          <w:color w:val="auto"/>
        </w:rPr>
        <w:t xml:space="preserve"> </w:t>
      </w:r>
      <w:r>
        <w:rPr>
          <w:rFonts w:ascii="Arial" w:cs="Arial" w:eastAsia="Arial" w:hAnsi="Arial"/>
          <w:sz w:val="15"/>
          <w:szCs w:val="15"/>
          <w:color w:val="auto"/>
        </w:rPr>
        <w:t>except for the 15-day exercise period set forth above in Section 7(a)(3), each Award will automatically terminate (and in the case of outstanding shares of Restricted Stock, will automatically be forfeited) upon consummation of the Covered Transaction, other than Awards assumed pursuant to Section 7(a)(1) above.</w:t>
      </w:r>
    </w:p>
    <w:p>
      <w:pPr>
        <w:spacing w:after="0" w:line="7" w:lineRule="exact"/>
        <w:rPr>
          <w:rFonts w:ascii="Arial" w:cs="Arial" w:eastAsia="Arial" w:hAnsi="Arial"/>
          <w:sz w:val="15"/>
          <w:szCs w:val="15"/>
          <w:color w:val="auto"/>
        </w:rPr>
      </w:pPr>
    </w:p>
    <w:p>
      <w:pPr>
        <w:ind w:right="100" w:firstLine="921"/>
        <w:spacing w:after="0" w:line="289" w:lineRule="auto"/>
        <w:tabs>
          <w:tab w:leader="none" w:pos="1161" w:val="left"/>
        </w:tabs>
        <w:numPr>
          <w:ilvl w:val="2"/>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Limitations</w:t>
      </w:r>
      <w:r>
        <w:rPr>
          <w:rFonts w:ascii="Arial" w:cs="Arial" w:eastAsia="Arial" w:hAnsi="Arial"/>
          <w:sz w:val="16"/>
          <w:szCs w:val="16"/>
          <w:color w:val="auto"/>
        </w:rPr>
        <w:t>. Any share of Stock and any cash or other property delivered pursuant to Section 7(a)(2) or Section 7(a)(3) above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and Distributions With Respect to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291" w:lineRule="auto"/>
        <w:tabs>
          <w:tab w:leader="none" w:pos="1161" w:val="left"/>
        </w:tabs>
        <w:numPr>
          <w:ilvl w:val="2"/>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Basic Adjustment Provisions</w:t>
      </w:r>
      <w:r>
        <w:rPr>
          <w:rFonts w:ascii="Arial" w:cs="Arial" w:eastAsia="Arial" w:hAnsi="Arial"/>
          <w:sz w:val="16"/>
          <w:szCs w:val="16"/>
          <w:color w:val="auto"/>
        </w:rPr>
        <w:t>. In the event of a stock dividend, stock split or combination of shares (including a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spacing w:after="0" w:line="120" w:lineRule="exact"/>
        <w:rPr>
          <w:rFonts w:ascii="Arial" w:cs="Arial" w:eastAsia="Arial" w:hAnsi="Arial"/>
          <w:sz w:val="16"/>
          <w:szCs w:val="16"/>
          <w:color w:val="auto"/>
        </w:rPr>
      </w:pPr>
    </w:p>
    <w:p>
      <w:pPr>
        <w:jc w:val="both"/>
        <w:ind w:right="100" w:firstLine="921"/>
        <w:spacing w:after="0" w:line="298" w:lineRule="auto"/>
        <w:tabs>
          <w:tab w:leader="none" w:pos="1161" w:val="left"/>
        </w:tabs>
        <w:numPr>
          <w:ilvl w:val="2"/>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Certain Other Adjustments</w:t>
      </w:r>
      <w:r>
        <w:rPr>
          <w:rFonts w:ascii="Arial" w:cs="Arial" w:eastAsia="Arial" w:hAnsi="Arial"/>
          <w:sz w:val="16"/>
          <w:szCs w:val="16"/>
          <w:color w:val="auto"/>
        </w:rPr>
        <w:t>. The Administrator may also make adjustments of the type described in Section 7(b)(1) above to take into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the requirements of Section 409A, and for the performance-based compensation rules of Section 162(m), where applicable.</w:t>
      </w:r>
    </w:p>
    <w:p>
      <w:pPr>
        <w:spacing w:after="0" w:line="112" w:lineRule="exact"/>
        <w:rPr>
          <w:rFonts w:ascii="Arial" w:cs="Arial" w:eastAsia="Arial" w:hAnsi="Arial"/>
          <w:sz w:val="16"/>
          <w:szCs w:val="16"/>
          <w:color w:val="auto"/>
        </w:rPr>
      </w:pPr>
    </w:p>
    <w:p>
      <w:pPr>
        <w:ind w:right="340" w:firstLine="921"/>
        <w:spacing w:after="0" w:line="268" w:lineRule="auto"/>
        <w:tabs>
          <w:tab w:leader="none" w:pos="1161" w:val="left"/>
        </w:tabs>
        <w:numPr>
          <w:ilvl w:val="2"/>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Continuing Application of Plan Terms</w:t>
      </w:r>
      <w:r>
        <w:rPr>
          <w:rFonts w:ascii="Arial" w:cs="Arial" w:eastAsia="Arial" w:hAnsi="Arial"/>
          <w:sz w:val="18"/>
          <w:szCs w:val="18"/>
          <w:color w:val="auto"/>
        </w:rPr>
        <w:t>. References in the Plan to shares of Stock will be construed to include any stock or securities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adjustment pursuant to this Section 7.</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32" w:name="page33"/>
    <w:bookmarkEnd w:id="3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AMENDMENT AND TERMINATION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COMPENSATION ARRANGEMENTS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20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right="40" w:firstLine="464"/>
        <w:spacing w:after="0" w:line="289"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i w:val="1"/>
          <w:iCs w:val="1"/>
          <w:u w:val="single" w:color="auto"/>
          <w:color w:val="auto"/>
        </w:rPr>
        <w:t>Waiver of Jury Trial</w:t>
      </w:r>
      <w:r>
        <w:rPr>
          <w:rFonts w:ascii="Arial" w:cs="Arial" w:eastAsia="Arial" w:hAnsi="Arial"/>
          <w:sz w:val="16"/>
          <w:szCs w:val="16"/>
          <w:color w:val="auto"/>
        </w:rPr>
        <w:t>. By accepting an Award under the Plan, each Participant waives any right to a trial by jury in any action, proceeding or</w:t>
      </w:r>
      <w:r>
        <w:rPr>
          <w:rFonts w:ascii="Arial" w:cs="Arial" w:eastAsia="Arial" w:hAnsi="Arial"/>
          <w:sz w:val="16"/>
          <w:szCs w:val="16"/>
          <w:i w:val="1"/>
          <w:iCs w:val="1"/>
          <w:color w:val="auto"/>
        </w:rPr>
        <w:t xml:space="preserve"> </w:t>
      </w:r>
      <w:r>
        <w:rPr>
          <w:rFonts w:ascii="Arial" w:cs="Arial" w:eastAsia="Arial" w:hAnsi="Arial"/>
          <w:sz w:val="16"/>
          <w:szCs w:val="16"/>
          <w:color w:val="auto"/>
        </w:rPr>
        <w:t>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18" w:lineRule="exact"/>
        <w:rPr>
          <w:rFonts w:ascii="Arial" w:cs="Arial" w:eastAsia="Arial" w:hAnsi="Arial"/>
          <w:sz w:val="16"/>
          <w:szCs w:val="16"/>
          <w:color w:val="auto"/>
        </w:rPr>
      </w:pPr>
    </w:p>
    <w:p>
      <w:pPr>
        <w:ind w:right="20" w:firstLine="464"/>
        <w:spacing w:after="0" w:line="255"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 of Liability</w:t>
      </w:r>
      <w:r>
        <w:rPr>
          <w:rFonts w:ascii="Arial" w:cs="Arial" w:eastAsia="Arial" w:hAnsi="Arial"/>
          <w:sz w:val="18"/>
          <w:szCs w:val="18"/>
          <w:color w:val="auto"/>
        </w:rPr>
        <w:t>. Notwithstanding anything to the contrary in the Plan, neither the Company, nor any Affiliate, nor the Administrator, nor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2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SUB-PLANS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33" w:name="page34"/>
    <w:bookmarkEnd w:id="33"/>
    <w:p>
      <w:pPr>
        <w:ind w:left="272" w:hanging="272"/>
        <w:spacing w:after="0"/>
        <w:tabs>
          <w:tab w:leader="none" w:pos="27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6" w:lineRule="exact"/>
        <w:rPr>
          <w:rFonts w:ascii="Arial" w:cs="Arial" w:eastAsia="Arial" w:hAnsi="Arial"/>
          <w:sz w:val="18"/>
          <w:szCs w:val="18"/>
          <w:b w:val="1"/>
          <w:bCs w:val="1"/>
          <w:color w:val="auto"/>
        </w:rPr>
      </w:pPr>
    </w:p>
    <w:p>
      <w:pPr>
        <w:ind w:left="-8" w:right="20" w:firstLine="464"/>
        <w:spacing w:after="0" w:line="259"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Certain Requirements of Corporate Law</w:t>
      </w:r>
      <w:r>
        <w:rPr>
          <w:rFonts w:ascii="Arial" w:cs="Arial" w:eastAsia="Arial" w:hAnsi="Arial"/>
          <w:sz w:val="18"/>
          <w:szCs w:val="18"/>
          <w:color w:val="auto"/>
        </w:rPr>
        <w:t>. Awards will be granted and administered consistent with the requirements of applicable Delaware law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issuance of stock and the consideration to be received therefor, and with the applicable requirements of the stock exchange or other trading system on which the Stock is listed or entered for trading, in each case as determined by the Administrator.</w:t>
      </w:r>
    </w:p>
    <w:p>
      <w:pPr>
        <w:spacing w:after="0" w:line="140" w:lineRule="exact"/>
        <w:rPr>
          <w:rFonts w:ascii="Arial" w:cs="Arial" w:eastAsia="Arial" w:hAnsi="Arial"/>
          <w:sz w:val="18"/>
          <w:szCs w:val="18"/>
          <w:color w:val="auto"/>
        </w:rPr>
      </w:pPr>
    </w:p>
    <w:p>
      <w:pPr>
        <w:ind w:left="-8" w:firstLine="464"/>
        <w:spacing w:after="0" w:line="255" w:lineRule="auto"/>
        <w:tabs>
          <w:tab w:leader="none" w:pos="697" w:val="left"/>
        </w:tabs>
        <w:numPr>
          <w:ilvl w:val="1"/>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Matters</w:t>
      </w:r>
      <w:r>
        <w:rPr>
          <w:rFonts w:ascii="Arial" w:cs="Arial" w:eastAsia="Arial" w:hAnsi="Arial"/>
          <w:sz w:val="18"/>
          <w:szCs w:val="18"/>
          <w:color w:val="auto"/>
        </w:rPr>
        <w:t>. Except as otherwise provided by the express terms of an Award agreement, under a sub-plan described in Section 12 or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13(a) above, the provisions of the Plan and of Awards under the Plan and all claims or disputes arising out of our based upon the Plan or any Award under the Plan or relating to the subject matter hereof or thereof will be governed by and construed in accordance with the domestic substantive laws of the State of California without giving effect to any choice or conflict of laws provision or rule that would cause the application of the domestic substantive laws of any other jurisdiction.</w:t>
      </w:r>
    </w:p>
    <w:p>
      <w:pPr>
        <w:spacing w:after="0" w:line="142" w:lineRule="exact"/>
        <w:rPr>
          <w:rFonts w:ascii="Arial" w:cs="Arial" w:eastAsia="Arial" w:hAnsi="Arial"/>
          <w:sz w:val="18"/>
          <w:szCs w:val="18"/>
          <w:color w:val="auto"/>
        </w:rPr>
      </w:pPr>
    </w:p>
    <w:p>
      <w:pPr>
        <w:ind w:left="-8" w:right="20" w:firstLine="464"/>
        <w:spacing w:after="0" w:line="289" w:lineRule="auto"/>
        <w:tabs>
          <w:tab w:leader="none" w:pos="687" w:val="left"/>
        </w:tabs>
        <w:numPr>
          <w:ilvl w:val="1"/>
          <w:numId w:val="37"/>
        </w:numPr>
        <w:rPr>
          <w:rFonts w:ascii="Arial" w:cs="Arial" w:eastAsia="Arial" w:hAnsi="Arial"/>
          <w:sz w:val="16"/>
          <w:szCs w:val="16"/>
          <w:color w:val="auto"/>
        </w:rPr>
      </w:pPr>
      <w:r>
        <w:rPr>
          <w:rFonts w:ascii="Arial" w:cs="Arial" w:eastAsia="Arial" w:hAnsi="Arial"/>
          <w:sz w:val="16"/>
          <w:szCs w:val="16"/>
          <w:i w:val="1"/>
          <w:iCs w:val="1"/>
          <w:u w:val="single" w:color="auto"/>
          <w:color w:val="auto"/>
        </w:rPr>
        <w:t>Jurisdiction</w:t>
      </w:r>
      <w:r>
        <w:rPr>
          <w:rFonts w:ascii="Arial" w:cs="Arial" w:eastAsia="Arial" w:hAnsi="Arial"/>
          <w:sz w:val="16"/>
          <w:szCs w:val="16"/>
          <w:color w:val="auto"/>
        </w:rPr>
        <w:t>. By accepting an Award, each Participant will be deemed to (a) have submitted irrevocably and unconditionally to the jurisdiction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and state courts located within the geographic boundaries of the United States District Court for the Central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Central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92"/>
          </w:cols>
          <w:pgMar w:left="248" w:top="274" w:right="259" w:bottom="1440" w:gutter="0" w:footer="0" w:header="0"/>
        </w:sectPr>
      </w:pPr>
    </w:p>
    <w:bookmarkStart w:id="34" w:name="page35"/>
    <w:bookmarkEnd w:id="34"/>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except that the Compensation Committee may delegate (i) to one or more of its members (or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other members of the Board (including the full Board)) such of its duties, powers and responsibilities as it may determine; (ii) to one or more officers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3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Any corporation or other entity that stands in a relationship to the Company that would result in the Company and such corporation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entity being treated as one employer under Section 414(b) and Section 414(c) of the Code.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Any or a combination of the following:</w:t>
      </w:r>
    </w:p>
    <w:p>
      <w:pPr>
        <w:spacing w:after="0" w:line="90" w:lineRule="exact"/>
        <w:rPr>
          <w:sz w:val="20"/>
          <w:szCs w:val="20"/>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Awards (other than Awards described in (i) through (vii) above) that are convertible into or otherwise based 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Cash Award</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denominated in cash.</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case of any Participant who is party to an employment or severance-benefit agreement that contains a definition of “Cause,” the definition</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274" w:right="279" w:bottom="1440" w:gutter="0" w:footer="0" w:header="0"/>
        </w:sectPr>
      </w:pPr>
    </w:p>
    <w:bookmarkStart w:id="35" w:name="page36"/>
    <w:bookmarkEnd w:id="35"/>
    <w:p>
      <w:pPr>
        <w:ind w:right="20" w:firstLine="456"/>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u w:val="single" w:color="auto"/>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to occur of (i) a “person,” as such term is used in Sections 13(d) and 14(d) of the Exchange Act (other than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its subsidiaries or an employee benefit plan of the Company or any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w:t>
      </w:r>
    </w:p>
    <w:p>
      <w:pPr>
        <w:spacing w:after="0" w:line="3" w:lineRule="exact"/>
        <w:rPr>
          <w:sz w:val="20"/>
          <w:szCs w:val="20"/>
          <w:color w:val="auto"/>
        </w:rPr>
      </w:pPr>
    </w:p>
    <w:p>
      <w:pPr>
        <w:ind w:firstLine="8"/>
        <w:spacing w:after="0" w:line="287"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the Plan is approved by the stockholders,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of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Arrowhead Research Corporation.</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Covered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 a consolidation, merger, or similar transaction or series of related transactions, including a sale or other disposition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4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Date of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earlier of the date the Plan was approved by the Company’s stockholders or adopted by the Board, as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 who is employed by the Company or an Affiliate.</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Participant’s employment or other service relationship with the Company and its Affiliates. Employment will be deemed to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u w:val="single" w:color="auto"/>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Exchange Act of 1934, as amended.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ISO</w:t>
      </w:r>
      <w:r>
        <w:rPr>
          <w:rFonts w:ascii="Arial" w:cs="Arial" w:eastAsia="Arial" w:hAnsi="Arial"/>
          <w:sz w:val="18"/>
          <w:szCs w:val="18"/>
          <w:i w:val="1"/>
          <w:iCs w:val="1"/>
          <w:color w:val="auto"/>
        </w:rPr>
        <w:t xml:space="preserve">”: </w:t>
      </w:r>
      <w:r>
        <w:rPr>
          <w:rFonts w:ascii="Arial" w:cs="Arial" w:eastAsia="Arial" w:hAnsi="Arial"/>
          <w:sz w:val="18"/>
          <w:szCs w:val="18"/>
          <w:color w:val="auto"/>
        </w:rPr>
        <w:t>A Stock Option intended to be an “incentive stock option” within the meaning of Section 422. Each Stock Option granted pursuant to the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providing by its terms that it is to be an NSO unless, as of the date of grant, it is expressly designated as an ISO.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NSO</w:t>
      </w:r>
      <w:r>
        <w:rPr>
          <w:rFonts w:ascii="Arial" w:cs="Arial" w:eastAsia="Arial" w:hAnsi="Arial"/>
          <w:sz w:val="18"/>
          <w:szCs w:val="18"/>
          <w:i w:val="1"/>
          <w:iCs w:val="1"/>
          <w:color w:val="auto"/>
        </w:rPr>
        <w:t xml:space="preserve">”: </w:t>
      </w:r>
      <w:r>
        <w:rPr>
          <w:rFonts w:ascii="Arial" w:cs="Arial" w:eastAsia="Arial" w:hAnsi="Arial"/>
          <w:sz w:val="18"/>
          <w:szCs w:val="18"/>
          <w:color w:val="auto"/>
        </w:rPr>
        <w:t>A Stock Option that is not intended to be an “incentive stock option” within the meaning of Section 422.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 person who is granted an Award under the Plan.</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subject to Performance Criteria. The Administrator in its discretion may grant Performance Awards that are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for the performance-based compensation exception under Section 162(m) and Performance Awards that are not intended so to qualify.</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criteria, other than the mere continuation of Employment or the mere passage of time, the satisfaction of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Arrowhead Research Corporation 2013 Incentive Plan as from time to time amended and in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restrictions requiring that it be redelivered or offered for sale to the Company if specified conditions are not satisfied.</w:t>
      </w:r>
    </w:p>
    <w:p>
      <w:pPr>
        <w:spacing w:after="0" w:line="19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 Stock Unit that is, or as to which the delivery of Stock or cash in lieu of Stock is, subject to the satisfaction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other vesting conditions.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SAR</w:t>
      </w:r>
      <w:r>
        <w:rPr>
          <w:rFonts w:ascii="Arial" w:cs="Arial" w:eastAsia="Arial" w:hAnsi="Arial"/>
          <w:sz w:val="16"/>
          <w:szCs w:val="16"/>
          <w:i w:val="1"/>
          <w:iCs w:val="1"/>
          <w:color w:val="auto"/>
        </w:rPr>
        <w:t xml:space="preserve">”: </w:t>
      </w:r>
      <w:r>
        <w:rPr>
          <w:rFonts w:ascii="Arial" w:cs="Arial" w:eastAsia="Arial" w:hAnsi="Arial"/>
          <w:sz w:val="16"/>
          <w:szCs w:val="16"/>
          <w:color w:val="auto"/>
        </w:rPr>
        <w:t>A right entitling the holder upon exercise to receive an amount (payable in cash and/or in shares of Stock of equivalent value) equal to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market value of the shares of Stock subject to the right over the base value from which appreciation under the SAR is to be measured.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422</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u w:val="single" w:color="auto"/>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the Company, par value $0.001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entitling the holder to acquire shares of Stock upon payment of the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An unfunded and unsecured promise, denominated in shares of Stock, to deliver Stock or cash measured by the value of Stock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Unrestricted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Stock not subject to any restrictions under the terms of the Award.</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860"/>
          </w:cols>
          <w:pgMar w:left="700" w:top="280" w:right="339" w:bottom="1440"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
    <w:nsid w:val="6CEAF087"/>
    <w:multiLevelType w:val="hybridMultilevel"/>
    <w:lvl w:ilvl="0">
      <w:lvlJc w:val="left"/>
      <w:lvlText w:val="(%1)"/>
      <w:numFmt w:val="decimal"/>
      <w:start w:val="4"/>
    </w:lvl>
  </w:abstractNum>
  <w:abstractNum w:abstractNumId="25">
    <w:nsid w:val="22221A70"/>
    <w:multiLevelType w:val="hybridMultilevel"/>
    <w:lvl w:ilvl="0">
      <w:lvlJc w:val="left"/>
      <w:lvlText w:val="%1"/>
      <w:numFmt w:val="decimal"/>
      <w:start w:val="1"/>
    </w:lvl>
    <w:lvl w:ilvl="1">
      <w:lvlJc w:val="left"/>
      <w:lvlText w:val="(%2)"/>
      <w:numFmt w:val="upperLetter"/>
      <w:start w:val="1"/>
    </w:lvl>
  </w:abstractNum>
  <w:abstractNum w:abstractNumId="26">
    <w:nsid w:val="4516DDE9"/>
    <w:multiLevelType w:val="hybridMultilevel"/>
    <w:lvl w:ilvl="0">
      <w:lvlJc w:val="left"/>
      <w:lvlText w:val="(%1)"/>
      <w:numFmt w:val="decimal"/>
      <w:start w:val="5"/>
    </w:lvl>
    <w:lvl w:ilvl="1">
      <w:lvlJc w:val="left"/>
      <w:lvlText w:val="%2"/>
      <w:numFmt w:val="upperLetter"/>
      <w:start w:val="1"/>
    </w:lvl>
  </w:abstractNum>
  <w:abstractNum w:abstractNumId="27">
    <w:nsid w:val="3006C8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abstractNum>
  <w:abstractNum w:abstractNumId="28">
    <w:nsid w:val="614FD4A1"/>
    <w:multiLevelType w:val="hybridMultilevel"/>
    <w:lvl w:ilvl="0">
      <w:lvlJc w:val="left"/>
      <w:lvlText w:val="(%1)"/>
      <w:numFmt w:val="decimal"/>
      <w:start w:val="90"/>
    </w:lvl>
    <w:lvl w:ilvl="1">
      <w:lvlJc w:val="left"/>
      <w:lvlText w:val="(%2)"/>
      <w:numFmt w:val="lowerLetter"/>
      <w:start w:val="1"/>
    </w:lvl>
    <w:lvl w:ilvl="2">
      <w:lvlJc w:val="left"/>
      <w:lvlText w:val="(%3)"/>
      <w:numFmt w:val="decimal"/>
      <w:start w:val="10"/>
    </w:lvl>
  </w:abstractNum>
  <w:abstractNum w:abstractNumId="29">
    <w:nsid w:val="419AC2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0">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1">
    <w:nsid w:val="440BADF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3">
    <w:nsid w:val="3804823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4">
    <w:nsid w:val="77465F0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5">
    <w:nsid w:val="7724C67E"/>
    <w:multiLevelType w:val="hybridMultilevel"/>
    <w:lvl w:ilvl="0">
      <w:lvlJc w:val="left"/>
      <w:lvlText w:val="%1."/>
      <w:numFmt w:val="decimal"/>
      <w:start w:val="11"/>
    </w:lvl>
    <w:lvl w:ilvl="1">
      <w:lvlJc w:val="left"/>
      <w:lvlText w:val="(%2)"/>
      <w:numFmt w:val="lowerLetter"/>
      <w:start w:val="1"/>
    </w:lvl>
  </w:abstractNum>
  <w:abstractNum w:abstractNumId="36">
    <w:nsid w:val="5C482A97"/>
    <w:multiLevelType w:val="hybridMultilevel"/>
    <w:lvl w:ilvl="0">
      <w:lvlJc w:val="left"/>
      <w:lvlText w:val="%1."/>
      <w:numFmt w:val="decimal"/>
      <w:start w:val="13"/>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2019-12-06T06:12:02Z</dcterms:created>
  <dcterms:modified xsi:type="dcterms:W3CDTF">2019-12-06T06:12:02Z</dcterms:modified>
</cp:coreProperties>
</file>