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UNDER SECTION 13 OR 15(d) OF THE SECURITIES EXCHANGE ACT OF 1934</w:t>
      </w:r>
    </w:p>
    <w:p>
      <w:pPr>
        <w:spacing w:after="0" w:line="1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2014</w:t>
      </w:r>
    </w:p>
    <w:p>
      <w:pPr>
        <w:spacing w:after="0" w:line="189"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UNDER SECTION 13 OR 15(d) OF THE SECURITIES EXCHANGE ACT OF 1934</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ARROWHEAD RESEARCH CORPORATION</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7" w:lineRule="exact"/>
        <w:rPr>
          <w:sz w:val="24"/>
          <w:szCs w:val="24"/>
          <w:color w:val="auto"/>
        </w:rPr>
      </w:pPr>
    </w:p>
    <w:tbl>
      <w:tblPr>
        <w:tblLayout w:type="fixed"/>
        <w:tblInd w:w="2140" w:type="dxa"/>
        <w:tblCellMar>
          <w:top w:w="0" w:type="dxa"/>
          <w:left w:w="0" w:type="dxa"/>
          <w:bottom w:w="0" w:type="dxa"/>
          <w:right w:w="0" w:type="dxa"/>
        </w:tblCellMar>
      </w:tblPr>
      <w:tr>
        <w:trPr>
          <w:trHeight w:val="214"/>
        </w:trPr>
        <w:tc>
          <w:tcPr>
            <w:tcW w:w="15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20" w:type="dxa"/>
            <w:vAlign w:val="bottom"/>
            <w:gridSpan w:val="3"/>
          </w:tcPr>
          <w:p>
            <w:pPr>
              <w:jc w:val="right"/>
              <w:ind w:right="588"/>
              <w:spacing w:after="0"/>
              <w:rPr>
                <w:sz w:val="20"/>
                <w:szCs w:val="20"/>
                <w:color w:val="auto"/>
              </w:rPr>
            </w:pPr>
            <w:r>
              <w:rPr>
                <w:rFonts w:ascii="Times New Roman" w:cs="Times New Roman" w:eastAsia="Times New Roman" w:hAnsi="Times New Roman"/>
                <w:sz w:val="18"/>
                <w:szCs w:val="18"/>
                <w:b w:val="1"/>
                <w:bCs w:val="1"/>
                <w:color w:val="auto"/>
              </w:rPr>
              <w:t>46-0408024</w:t>
            </w:r>
          </w:p>
        </w:tc>
      </w:tr>
      <w:tr>
        <w:trPr>
          <w:trHeight w:val="190"/>
        </w:trPr>
        <w:tc>
          <w:tcPr>
            <w:tcW w:w="15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0"/>
        </w:trPr>
        <w:tc>
          <w:tcPr>
            <w:tcW w:w="1560" w:type="dxa"/>
            <w:vAlign w:val="bottom"/>
          </w:tcPr>
          <w:p>
            <w:pPr>
              <w:spacing w:after="0"/>
              <w:rPr>
                <w:sz w:val="24"/>
                <w:szCs w:val="24"/>
                <w:color w:val="auto"/>
              </w:rPr>
            </w:pPr>
          </w:p>
        </w:tc>
        <w:tc>
          <w:tcPr>
            <w:tcW w:w="6020" w:type="dxa"/>
            <w:vAlign w:val="bottom"/>
            <w:gridSpan w:val="3"/>
          </w:tcPr>
          <w:p>
            <w:pPr>
              <w:jc w:val="center"/>
              <w:ind w:right="1908"/>
              <w:spacing w:after="0"/>
              <w:rPr>
                <w:sz w:val="20"/>
                <w:szCs w:val="20"/>
                <w:color w:val="auto"/>
              </w:rPr>
            </w:pPr>
            <w:r>
              <w:rPr>
                <w:rFonts w:ascii="Times New Roman" w:cs="Times New Roman" w:eastAsia="Times New Roman" w:hAnsi="Times New Roman"/>
                <w:sz w:val="18"/>
                <w:szCs w:val="18"/>
                <w:b w:val="1"/>
                <w:bCs w:val="1"/>
                <w:color w:val="auto"/>
                <w:w w:val="99"/>
              </w:rPr>
              <w:t>225 S. Lake Avenue, Suite 1050</w:t>
            </w:r>
          </w:p>
        </w:tc>
      </w:tr>
      <w:tr>
        <w:trPr>
          <w:trHeight w:val="216"/>
        </w:trPr>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40" w:type="dxa"/>
            <w:vAlign w:val="bottom"/>
            <w:gridSpan w:val="2"/>
          </w:tcPr>
          <w:p>
            <w:pPr>
              <w:jc w:val="center"/>
              <w:ind w:right="2808"/>
              <w:spacing w:after="0"/>
              <w:rPr>
                <w:sz w:val="20"/>
                <w:szCs w:val="20"/>
                <w:color w:val="auto"/>
              </w:rPr>
            </w:pPr>
            <w:r>
              <w:rPr>
                <w:rFonts w:ascii="Times New Roman" w:cs="Times New Roman" w:eastAsia="Times New Roman" w:hAnsi="Times New Roman"/>
                <w:sz w:val="18"/>
                <w:szCs w:val="18"/>
                <w:b w:val="1"/>
                <w:bCs w:val="1"/>
                <w:color w:val="auto"/>
                <w:w w:val="99"/>
              </w:rPr>
              <w:t>Pasadena, California 91101</w:t>
            </w:r>
          </w:p>
        </w:tc>
      </w:tr>
      <w:tr>
        <w:trPr>
          <w:trHeight w:val="214"/>
        </w:trPr>
        <w:tc>
          <w:tcPr>
            <w:tcW w:w="1560" w:type="dxa"/>
            <w:vAlign w:val="bottom"/>
          </w:tcPr>
          <w:p>
            <w:pPr>
              <w:spacing w:after="0"/>
              <w:rPr>
                <w:sz w:val="18"/>
                <w:szCs w:val="18"/>
                <w:color w:val="auto"/>
              </w:rPr>
            </w:pPr>
          </w:p>
        </w:tc>
        <w:tc>
          <w:tcPr>
            <w:tcW w:w="3160" w:type="dxa"/>
            <w:vAlign w:val="bottom"/>
            <w:gridSpan w:val="2"/>
          </w:tcPr>
          <w:p>
            <w:pPr>
              <w:jc w:val="center"/>
              <w:ind w:left="794"/>
              <w:spacing w:after="0"/>
              <w:rPr>
                <w:sz w:val="20"/>
                <w:szCs w:val="20"/>
                <w:color w:val="auto"/>
              </w:rPr>
            </w:pPr>
            <w:r>
              <w:rPr>
                <w:rFonts w:ascii="Times New Roman" w:cs="Times New Roman" w:eastAsia="Times New Roman" w:hAnsi="Times New Roman"/>
                <w:sz w:val="18"/>
                <w:szCs w:val="18"/>
                <w:b w:val="1"/>
                <w:bCs w:val="1"/>
                <w:color w:val="auto"/>
                <w:w w:val="99"/>
              </w:rPr>
              <w:t>(626) 304-3400</w:t>
            </w:r>
          </w:p>
        </w:tc>
        <w:tc>
          <w:tcPr>
            <w:tcW w:w="2860" w:type="dxa"/>
            <w:vAlign w:val="bottom"/>
          </w:tcPr>
          <w:p>
            <w:pPr>
              <w:spacing w:after="0"/>
              <w:rPr>
                <w:sz w:val="18"/>
                <w:szCs w:val="18"/>
                <w:color w:val="auto"/>
              </w:rPr>
            </w:pPr>
          </w:p>
        </w:tc>
      </w:tr>
      <w:tr>
        <w:trPr>
          <w:trHeight w:val="190"/>
        </w:trPr>
        <w:tc>
          <w:tcPr>
            <w:tcW w:w="1560" w:type="dxa"/>
            <w:vAlign w:val="bottom"/>
          </w:tcPr>
          <w:p>
            <w:pPr>
              <w:spacing w:after="0"/>
              <w:rPr>
                <w:sz w:val="16"/>
                <w:szCs w:val="16"/>
                <w:color w:val="auto"/>
              </w:rPr>
            </w:pPr>
          </w:p>
        </w:tc>
        <w:tc>
          <w:tcPr>
            <w:tcW w:w="6020" w:type="dxa"/>
            <w:vAlign w:val="bottom"/>
            <w:gridSpan w:val="3"/>
          </w:tcPr>
          <w:p>
            <w:pPr>
              <w:jc w:val="center"/>
              <w:ind w:right="1908"/>
              <w:spacing w:after="0"/>
              <w:rPr>
                <w:sz w:val="20"/>
                <w:szCs w:val="20"/>
                <w:color w:val="auto"/>
              </w:rPr>
            </w:pPr>
            <w:r>
              <w:rPr>
                <w:rFonts w:ascii="Times New Roman" w:cs="Times New Roman" w:eastAsia="Times New Roman" w:hAnsi="Times New Roman"/>
                <w:sz w:val="14"/>
                <w:szCs w:val="14"/>
                <w:b w:val="1"/>
                <w:bCs w:val="1"/>
                <w:color w:val="auto"/>
              </w:rPr>
              <w:t>(Address and telephone number of principal executive offices)</w:t>
            </w:r>
          </w:p>
        </w:tc>
      </w:tr>
      <w:tr>
        <w:trPr>
          <w:trHeight w:val="145"/>
        </w:trPr>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r>
    </w:tbl>
    <w:p>
      <w:pPr>
        <w:spacing w:after="0" w:line="171"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62" w:right="299" w:bottom="1440" w:gutter="0" w:footer="0" w:header="0"/>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700" w:space="720"/>
            <w:col w:w="4920" w:space="720"/>
            <w:col w:w="2380" w:space="720"/>
            <w:col w:w="200"/>
          </w:cols>
          <w:pgMar w:left="240" w:top="362" w:right="29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700" w:space="720"/>
            <w:col w:w="160" w:space="80"/>
            <w:col w:w="4680" w:space="720"/>
            <w:col w:w="2380" w:space="720"/>
            <w:col w:w="200"/>
          </w:cols>
          <w:pgMar w:left="240" w:top="362" w:right="299" w:bottom="1440" w:gutter="0" w:footer="0" w:header="0"/>
          <w:type w:val="continuous"/>
        </w:sect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8880" w:space="180"/>
            <w:col w:w="2300"/>
          </w:cols>
          <w:pgMar w:left="240" w:top="362" w:right="299" w:bottom="1440" w:gutter="0" w:footer="0" w:header="0"/>
          <w:type w:val="continuous"/>
        </w:sectPr>
      </w:pP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February 5, 2015 was 54,792,649.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3100" w:type="dxa"/>
            <w:vAlign w:val="bottom"/>
            <w:gridSpan w:val="9"/>
            <w:vMerge w:val="restart"/>
          </w:tcPr>
          <w:p>
            <w:pPr>
              <w:spacing w:after="0"/>
              <w:rPr>
                <w:rFonts w:ascii="Times New Roman" w:cs="Times New Roman" w:eastAsia="Times New Roman" w:hAnsi="Times New Roman"/>
                <w:sz w:val="17"/>
                <w:szCs w:val="17"/>
                <w:b w:val="1"/>
                <w:bCs w:val="1"/>
                <w:color w:val="0000EE"/>
                <w:w w:val="99"/>
              </w:rPr>
            </w:pPr>
            <w:hyperlink w:anchor="page3">
              <w:r>
                <w:rPr>
                  <w:rFonts w:ascii="Times New Roman" w:cs="Times New Roman" w:eastAsia="Times New Roman" w:hAnsi="Times New Roman"/>
                  <w:sz w:val="17"/>
                  <w:szCs w:val="17"/>
                  <w:b w:val="1"/>
                  <w:bCs w:val="1"/>
                  <w:color w:val="0000EE"/>
                  <w:w w:val="99"/>
                </w:rPr>
                <w:t>PART I — FINANCIAL INFORMATION</w:t>
              </w:r>
            </w:hyperlink>
          </w:p>
        </w:tc>
        <w:tc>
          <w:tcPr>
            <w:tcW w:w="7680" w:type="dxa"/>
            <w:vAlign w:val="bottom"/>
            <w:gridSpan w:val="10"/>
            <w:vMerge w:val="restart"/>
          </w:tcPr>
          <w:p>
            <w:pPr>
              <w:spacing w:after="0"/>
              <w:rPr>
                <w:sz w:val="15"/>
                <w:szCs w:val="15"/>
                <w:color w:val="auto"/>
              </w:rPr>
            </w:pPr>
          </w:p>
        </w:tc>
        <w:tc>
          <w:tcPr>
            <w:tcW w:w="6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9"/>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9"/>
              </w:rPr>
            </w:pPr>
            <w:hyperlink w:anchor="page3">
              <w:r>
                <w:rPr>
                  <w:rFonts w:ascii="Times New Roman" w:cs="Times New Roman" w:eastAsia="Times New Roman" w:hAnsi="Times New Roman"/>
                  <w:sz w:val="17"/>
                  <w:szCs w:val="17"/>
                  <w:color w:val="0000EE"/>
                  <w:w w:val="99"/>
                </w:rPr>
                <w:t>ITEM 1. FINANCIAL STATEMENTS (unaudited)</w:t>
              </w:r>
            </w:hyperlink>
          </w:p>
        </w:tc>
        <w:tc>
          <w:tcPr>
            <w:tcW w:w="726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Consolidated Balance Sheets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Consolidated Statements of Operations</w:t>
              </w:r>
            </w:hyperlink>
          </w:p>
        </w:tc>
        <w:tc>
          <w:tcPr>
            <w:tcW w:w="766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Consolidated Statement of Stockholders’ Equity</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3"/>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Notes to Consolidated Financial Statements</w:t>
              </w:r>
            </w:hyperlink>
          </w:p>
        </w:tc>
        <w:tc>
          <w:tcPr>
            <w:tcW w:w="734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w w:val="99"/>
              </w:rPr>
            </w:pPr>
            <w:hyperlink w:anchor="page18">
              <w:r>
                <w:rPr>
                  <w:rFonts w:ascii="Times New Roman" w:cs="Times New Roman" w:eastAsia="Times New Roman" w:hAnsi="Times New Roman"/>
                  <w:sz w:val="17"/>
                  <w:szCs w:val="17"/>
                  <w:color w:val="0000EE"/>
                  <w:w w:val="99"/>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w w:val="99"/>
              </w:rPr>
            </w:pPr>
            <w:hyperlink w:anchor="page25">
              <w:r>
                <w:rPr>
                  <w:rFonts w:ascii="Times New Roman" w:cs="Times New Roman" w:eastAsia="Times New Roman" w:hAnsi="Times New Roman"/>
                  <w:sz w:val="17"/>
                  <w:szCs w:val="17"/>
                  <w:color w:val="0000EE"/>
                  <w:w w:val="99"/>
                </w:rPr>
                <w:t>ITEM 3. QUANTITATIVE AND QUALITATIVE DISCLOSURES ABOUT MARKET RISK</w:t>
              </w:r>
            </w:hyperlink>
          </w:p>
        </w:tc>
        <w:tc>
          <w:tcPr>
            <w:tcW w:w="43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25">
              <w:r>
                <w:rPr>
                  <w:rFonts w:ascii="Times New Roman" w:cs="Times New Roman" w:eastAsia="Times New Roman" w:hAnsi="Times New Roman"/>
                  <w:sz w:val="17"/>
                  <w:szCs w:val="17"/>
                  <w:color w:val="0000EE"/>
                </w:rPr>
                <w:t>ITEM 4. CONTROLS AND PROCEDURES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304"/>
        </w:trPr>
        <w:tc>
          <w:tcPr>
            <w:tcW w:w="3100" w:type="dxa"/>
            <w:vAlign w:val="bottom"/>
            <w:tcBorders>
              <w:top w:val="single" w:sz="8" w:color="0000EE"/>
            </w:tcBorders>
            <w:gridSpan w:val="9"/>
          </w:tcPr>
          <w:p>
            <w:pPr>
              <w:spacing w:after="0"/>
              <w:rPr>
                <w:rFonts w:ascii="Times New Roman" w:cs="Times New Roman" w:eastAsia="Times New Roman" w:hAnsi="Times New Roman"/>
                <w:sz w:val="17"/>
                <w:szCs w:val="17"/>
                <w:b w:val="1"/>
                <w:bCs w:val="1"/>
                <w:color w:val="0000EE"/>
              </w:rPr>
            </w:pPr>
            <w:hyperlink w:anchor="page26">
              <w:r>
                <w:rPr>
                  <w:rFonts w:ascii="Times New Roman" w:cs="Times New Roman" w:eastAsia="Times New Roman" w:hAnsi="Times New Roman"/>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7"/>
                <w:szCs w:val="17"/>
                <w:color w:val="0000EE"/>
              </w:rPr>
            </w:pPr>
            <w:hyperlink w:anchor="page26">
              <w:r>
                <w:rPr>
                  <w:rFonts w:ascii="Times New Roman" w:cs="Times New Roman" w:eastAsia="Times New Roman" w:hAnsi="Times New Roman"/>
                  <w:sz w:val="17"/>
                  <w:szCs w:val="17"/>
                  <w:color w:val="0000EE"/>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26">
              <w:r>
                <w:rPr>
                  <w:rFonts w:ascii="Times New Roman" w:cs="Times New Roman" w:eastAsia="Times New Roman" w:hAnsi="Times New Roman"/>
                  <w:sz w:val="17"/>
                  <w:szCs w:val="17"/>
                  <w:color w:val="0000EE"/>
                </w:rPr>
                <w:t>ITEM 1A. RISK FACTORS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26">
              <w:r>
                <w:rPr>
                  <w:rFonts w:ascii="Times New Roman" w:cs="Times New Roman" w:eastAsia="Times New Roman" w:hAnsi="Times New Roman"/>
                  <w:sz w:val="17"/>
                  <w:szCs w:val="17"/>
                  <w:color w:val="0000EE"/>
                </w:rPr>
                <w:t>ITEM 2. UNREGISTERED SALES OF EQUITY SECURITIES AND USE OF PROCEEDS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6"/>
          </w:tcPr>
          <w:p>
            <w:pPr>
              <w:spacing w:after="0"/>
              <w:rPr>
                <w:rFonts w:ascii="Times New Roman" w:cs="Times New Roman" w:eastAsia="Times New Roman" w:hAnsi="Times New Roman"/>
                <w:sz w:val="17"/>
                <w:szCs w:val="17"/>
                <w:color w:val="0000EE"/>
              </w:rPr>
            </w:pPr>
            <w:hyperlink w:anchor="page26">
              <w:r>
                <w:rPr>
                  <w:rFonts w:ascii="Times New Roman" w:cs="Times New Roman" w:eastAsia="Times New Roman" w:hAnsi="Times New Roman"/>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7"/>
                <w:szCs w:val="17"/>
                <w:color w:val="0000EE"/>
              </w:rPr>
            </w:pPr>
            <w:hyperlink w:anchor="page26">
              <w:r>
                <w:rPr>
                  <w:rFonts w:ascii="Times New Roman" w:cs="Times New Roman" w:eastAsia="Times New Roman" w:hAnsi="Times New Roman"/>
                  <w:sz w:val="17"/>
                  <w:szCs w:val="17"/>
                  <w:color w:val="0000EE"/>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26">
              <w:r>
                <w:rPr>
                  <w:rFonts w:ascii="Times New Roman" w:cs="Times New Roman" w:eastAsia="Times New Roman" w:hAnsi="Times New Roman"/>
                  <w:sz w:val="17"/>
                  <w:szCs w:val="17"/>
                  <w:color w:val="0000EE"/>
                </w:rPr>
                <w:t>ITEM 5. OTHER INFORMATION</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7"/>
                <w:szCs w:val="17"/>
                <w:color w:val="0000EE"/>
                <w:w w:val="99"/>
              </w:rPr>
            </w:pPr>
            <w:hyperlink w:anchor="page27">
              <w:r>
                <w:rPr>
                  <w:rFonts w:ascii="Times New Roman" w:cs="Times New Roman" w:eastAsia="Times New Roman" w:hAnsi="Times New Roman"/>
                  <w:sz w:val="17"/>
                  <w:szCs w:val="17"/>
                  <w:color w:val="0000EE"/>
                  <w:w w:val="99"/>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304"/>
        </w:trPr>
        <w:tc>
          <w:tcPr>
            <w:tcW w:w="96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w w:val="97"/>
              </w:rPr>
            </w:pPr>
            <w:hyperlink w:anchor="page28">
              <w:r>
                <w:rPr>
                  <w:rFonts w:ascii="Times New Roman" w:cs="Times New Roman" w:eastAsia="Times New Roman" w:hAnsi="Times New Roman"/>
                  <w:sz w:val="17"/>
                  <w:szCs w:val="17"/>
                  <w:color w:val="0000EE"/>
                  <w:w w:val="97"/>
                </w:rPr>
                <w:t>SIGNATURE</w:t>
              </w:r>
            </w:hyperlink>
          </w:p>
        </w:tc>
        <w:tc>
          <w:tcPr>
            <w:tcW w:w="982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82"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684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8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00" w:type="dxa"/>
            <w:vAlign w:val="bottom"/>
          </w:tcPr>
          <w:p>
            <w:pPr>
              <w:spacing w:after="0"/>
              <w:rPr>
                <w:sz w:val="24"/>
                <w:szCs w:val="24"/>
                <w:color w:val="auto"/>
              </w:rPr>
            </w:pPr>
          </w:p>
        </w:tc>
        <w:tc>
          <w:tcPr>
            <w:tcW w:w="6840" w:type="dxa"/>
            <w:vAlign w:val="bottom"/>
          </w:tcPr>
          <w:p>
            <w:pPr>
              <w:jc w:val="center"/>
              <w:ind w:left="3122"/>
              <w:spacing w:after="0"/>
              <w:rPr>
                <w:sz w:val="20"/>
                <w:szCs w:val="20"/>
                <w:color w:val="auto"/>
              </w:rPr>
            </w:pPr>
            <w:r>
              <w:rPr>
                <w:rFonts w:ascii="Times New Roman" w:cs="Times New Roman" w:eastAsia="Times New Roman" w:hAnsi="Times New Roman"/>
                <w:sz w:val="18"/>
                <w:szCs w:val="18"/>
                <w:b w:val="1"/>
                <w:bCs w:val="1"/>
                <w:color w:val="auto"/>
                <w:w w:val="99"/>
              </w:rPr>
              <w:t>Arrowhead Research Corporation</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6840" w:type="dxa"/>
            <w:vAlign w:val="bottom"/>
          </w:tcPr>
          <w:p>
            <w:pPr>
              <w:jc w:val="center"/>
              <w:ind w:left="3122"/>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7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40" w:type="dxa"/>
            <w:vAlign w:val="bottom"/>
          </w:tcPr>
          <w:p>
            <w:pPr>
              <w:spacing w:after="0"/>
              <w:rPr>
                <w:sz w:val="15"/>
                <w:szCs w:val="15"/>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6840" w:type="dxa"/>
            <w:vAlign w:val="bottom"/>
            <w:tcBorders>
              <w:top w:val="single" w:sz="8" w:color="CFF0FC"/>
            </w:tcBorders>
            <w:shd w:val="clear" w:color="auto" w:fill="CFF0FC"/>
          </w:tcPr>
          <w:p>
            <w:pPr>
              <w:ind w:left="2940"/>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103,991,231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132,510,610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Trade receivables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4,451,124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588,626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Other current assets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Short term investments</w:t>
            </w:r>
          </w:p>
        </w:tc>
        <w:tc>
          <w:tcPr>
            <w:tcW w:w="3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23,532,402</w:t>
            </w:r>
          </w:p>
        </w:tc>
        <w:tc>
          <w:tcPr>
            <w:tcW w:w="2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21,653,032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132,164,598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154,800,770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4,124,441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3,872,753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999,809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1,013,473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17,806,499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23,088,346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7,041,414</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41,414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6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162,136,761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182,816,756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tcPr>
          <w:p>
            <w:pPr>
              <w:spacing w:after="0" w:line="20" w:lineRule="exact"/>
              <w:rPr>
                <w:sz w:val="1"/>
                <w:szCs w:val="1"/>
                <w:color w:val="auto"/>
              </w:rPr>
            </w:pPr>
          </w:p>
        </w:tc>
        <w:tc>
          <w:tcPr>
            <w:tcW w:w="6840" w:type="dxa"/>
            <w:vAlign w:val="bottom"/>
            <w:tcBorders>
              <w:top w:val="single" w:sz="8" w:color="CFF0FC"/>
              <w:bottom w:val="single" w:sz="8" w:color="CFF0FC"/>
            </w:tcBorders>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68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Accounts payable</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5,994,951</w:t>
            </w:r>
          </w:p>
        </w:tc>
        <w:tc>
          <w:tcPr>
            <w:tcW w:w="220" w:type="dxa"/>
            <w:vAlign w:val="bottom"/>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2,579,478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1,148,092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1,399,486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2,175,484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3,268,506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109,375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Derivative liabilities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1,790,559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4,173,943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Capital lease obligation</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213,991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213,991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Notes payable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65,213</w:t>
            </w:r>
          </w:p>
        </w:tc>
        <w:tc>
          <w:tcPr>
            <w:tcW w:w="2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58,495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11,497,665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11,847,024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LONG-TERM LIABILITIES</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Capital lease obligation, net of current portion</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705,173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758,340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Contingent consideration obligations</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3,970,931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3,970,931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253,321</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255,206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6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4,929,425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4,984,477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Arrowhead Research Corporation stockholders' equity:</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Preferred stock, $0.001 par value; 5,000,000 shares authorized; 18,300 and 18,300 shares</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issued and outstanding as of December 31, 2014 and September 30, 2014, respectively</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Common stock, $0.001 par value; 145,000,000 shares authorized; 54,715,714 and 54,656,936 shares</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issued and outstanding as of December 31, 2014 and September 30, 2014, respectively</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147,085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393,464,197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391,164,558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Accumulated deficit during the development stage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(247,346,441)</w:t>
            </w:r>
          </w:p>
        </w:tc>
        <w:tc>
          <w:tcPr>
            <w:tcW w:w="140" w:type="dxa"/>
            <w:vAlign w:val="bottom"/>
          </w:tcPr>
          <w:p>
            <w:pPr>
              <w:spacing w:after="0"/>
              <w:rPr>
                <w:sz w:val="15"/>
                <w:szCs w:val="15"/>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(224,771,159)</w:t>
            </w:r>
          </w:p>
        </w:tc>
        <w:tc>
          <w:tcPr>
            <w:tcW w:w="0" w:type="dxa"/>
            <w:vAlign w:val="bottom"/>
          </w:tcPr>
          <w:p>
            <w:pPr>
              <w:spacing w:after="0"/>
              <w:rPr>
                <w:sz w:val="1"/>
                <w:szCs w:val="1"/>
                <w:color w:val="auto"/>
              </w:rPr>
            </w:pPr>
          </w:p>
        </w:tc>
      </w:tr>
      <w:tr>
        <w:trPr>
          <w:trHeight w:val="169"/>
        </w:trPr>
        <w:tc>
          <w:tcPr>
            <w:tcW w:w="7540" w:type="dxa"/>
            <w:vAlign w:val="bottom"/>
            <w:tcBorders>
              <w:top w:val="single" w:sz="8" w:color="CFF0FC"/>
            </w:tcBorders>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Total Arrowhead Research Corporation stockholders' equity</w:t>
            </w:r>
          </w:p>
        </w:tc>
        <w:tc>
          <w:tcPr>
            <w:tcW w:w="3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146,264,859</w:t>
            </w:r>
          </w:p>
        </w:tc>
        <w:tc>
          <w:tcPr>
            <w:tcW w:w="2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166,540,443</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(555,188)</w:t>
            </w:r>
          </w:p>
        </w:tc>
        <w:tc>
          <w:tcPr>
            <w:tcW w:w="140" w:type="dxa"/>
            <w:vAlign w:val="bottom"/>
          </w:tcPr>
          <w:p>
            <w:pPr>
              <w:spacing w:after="0"/>
              <w:rPr>
                <w:sz w:val="15"/>
                <w:szCs w:val="15"/>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6840" w:type="dxa"/>
            <w:vAlign w:val="bottom"/>
            <w:tcBorders>
              <w:top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145,709,671</w:t>
            </w:r>
          </w:p>
        </w:tc>
        <w:tc>
          <w:tcPr>
            <w:tcW w:w="2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165,985,255</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162,136,761</w:t>
            </w:r>
          </w:p>
        </w:tc>
        <w:tc>
          <w:tcPr>
            <w:tcW w:w="22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182,816,756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Arrowhead Research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212"/>
        </w:trPr>
        <w:tc>
          <w:tcPr>
            <w:tcW w:w="6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Three Months ended</w:t>
            </w: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06"/>
        </w:trPr>
        <w:tc>
          <w:tcPr>
            <w:tcW w:w="6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04"/>
        </w:trPr>
        <w:tc>
          <w:tcPr>
            <w:tcW w:w="65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restart"/>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580" w:type="dxa"/>
            <w:vAlign w:val="bottom"/>
            <w:tcBorders>
              <w:bottom w:val="single" w:sz="8" w:color="CFF0FC"/>
            </w:tcBorders>
          </w:tcPr>
          <w:p>
            <w:pPr>
              <w:spacing w:after="0"/>
              <w:rPr>
                <w:sz w:val="9"/>
                <w:szCs w:val="9"/>
                <w:color w:val="auto"/>
              </w:rPr>
            </w:pPr>
          </w:p>
        </w:tc>
        <w:tc>
          <w:tcPr>
            <w:tcW w:w="174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170,750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43,750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17,744,312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3,133,014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Salaries and payroll-related costs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3,150,617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2,086,202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913,784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2,014,856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290,039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25,286,026</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7,053,132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LOSS</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(25,115,276)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(7,009,382)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(138,456)</w:t>
            </w:r>
          </w:p>
        </w:tc>
        <w:tc>
          <w:tcPr>
            <w:tcW w:w="0" w:type="dxa"/>
            <w:vAlign w:val="bottom"/>
          </w:tcPr>
          <w:p>
            <w:pPr>
              <w:spacing w:after="0"/>
              <w:rPr>
                <w:sz w:val="1"/>
                <w:szCs w:val="1"/>
                <w:color w:val="auto"/>
              </w:rPr>
            </w:pPr>
          </w:p>
        </w:tc>
      </w:tr>
      <w:tr>
        <w:trPr>
          <w:trHeight w:val="230"/>
        </w:trPr>
        <w:tc>
          <w:tcPr>
            <w:tcW w:w="6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Gain (loss) on sale of fixed assets, net</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(53,562)</w:t>
            </w: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value of derivatives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2,382,142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(3,519,579)</w:t>
            </w: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income (expense)</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(53,184)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7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2,539,994</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(3,676,350)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(22,575,282)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(10,685,732)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(22,575,282)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(10,685,732)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ATTRIBUTABLE TO ARROWHEAD</w:t>
            </w: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(22,575,282)</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(10,628,312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ARROWHEAD</w:t>
            </w: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SHAREHOLDERS - BASIC &amp; DILUTED:</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6580" w:type="dxa"/>
            <w:vAlign w:val="bottom"/>
            <w:tcBorders>
              <w:top w:val="single" w:sz="8" w:color="CFF0FC"/>
              <w:bottom w:val="single" w:sz="8" w:color="CFF0FC"/>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54,692,392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37,741,743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Arrowhead Research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90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40" w:type="dxa"/>
            <w:vAlign w:val="bottom"/>
            <w:gridSpan w:val="3"/>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900" w:type="dxa"/>
            <w:vAlign w:val="bottom"/>
            <w:gridSpan w:val="6"/>
            <w:vMerge w:val="continue"/>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0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94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1"/>
                <w:szCs w:val="11"/>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1"/>
                <w:szCs w:val="11"/>
                <w:color w:val="auto"/>
              </w:rPr>
            </w:pPr>
          </w:p>
        </w:tc>
        <w:tc>
          <w:tcPr>
            <w:tcW w:w="9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2013</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9,900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w:t>
            </w: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32,489,444</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124,859</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193,514,766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(166,140,969)</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(1,763,877)</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25,734,789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2,911,919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10,145,133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10,148,044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454,863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2,729,545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5,696,173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5,696,173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 issued @ $5.86</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3,071,672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14,057,040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14,060,112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 $18.95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6,325,000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112,575,234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112,581,559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 issued @ $1,000 per share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45,999,954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46,000,000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to Galloway</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Settlements related to derivative liability</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5,956,079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5,956,079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converted to common stock</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9,272,459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(9,234)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Deconsolidation of Calando Pharmaceuticals, Inc.</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1,303,911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1,303,911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for the year ended September 30, 2014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(58,630,190)</w:t>
            </w:r>
          </w:p>
        </w:tc>
        <w:tc>
          <w:tcPr>
            <w:tcW w:w="120" w:type="dxa"/>
            <w:vAlign w:val="bottom"/>
          </w:tcPr>
          <w:p>
            <w:pPr>
              <w:spacing w:after="0"/>
              <w:rPr>
                <w:sz w:val="14"/>
                <w:szCs w:val="14"/>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(95,222)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(58,725,412)</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2014</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18,300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w:t>
            </w: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54,656,936</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147,026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391,164,558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(224,771,159)</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165,985,255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53,578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270,571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12,973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2,014,856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2,014,856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Exercise of exchange rights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loss for the three months ended December 31,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(22,575,282)</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(22,575,282)</w:t>
            </w:r>
          </w:p>
        </w:tc>
        <w:tc>
          <w:tcPr>
            <w:tcW w:w="0" w:type="dxa"/>
            <w:vAlign w:val="bottom"/>
          </w:tcPr>
          <w:p>
            <w:pPr>
              <w:spacing w:after="0"/>
              <w:rPr>
                <w:sz w:val="1"/>
                <w:szCs w:val="1"/>
                <w:color w:val="auto"/>
              </w:rPr>
            </w:pPr>
          </w:p>
        </w:tc>
      </w:tr>
      <w:tr>
        <w:trPr>
          <w:trHeight w:val="171"/>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2014</w:t>
            </w: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2014</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18,300</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54,715,714</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147,085</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393,464,197</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(247,346,441</w:t>
            </w:r>
          </w:p>
        </w:tc>
        <w:tc>
          <w:tcPr>
            <w:tcW w:w="20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145,709,671</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Arrowhead Research 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56"/>
        </w:trPr>
        <w:tc>
          <w:tcPr>
            <w:tcW w:w="7720" w:type="dxa"/>
            <w:vAlign w:val="bottom"/>
            <w:tcBorders>
              <w:top w:val="single" w:sz="8" w:color="CFF0FC"/>
            </w:tcBorders>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2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(22,575,282)</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(10,685,732)</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2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57,420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 attributable to Arrowhead</w:t>
            </w:r>
          </w:p>
        </w:tc>
        <w:tc>
          <w:tcPr>
            <w:tcW w:w="120" w:type="dxa"/>
            <w:vAlign w:val="bottom"/>
          </w:tcPr>
          <w:p>
            <w:pPr>
              <w:spacing w:after="0"/>
              <w:rPr>
                <w:sz w:val="14"/>
                <w:szCs w:val="14"/>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(22,575,282)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(10,628,312)</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(Gain) loss on disposal of fixed assets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26,381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 in value of derivatives</w:t>
            </w:r>
          </w:p>
        </w:tc>
        <w:tc>
          <w:tcPr>
            <w:tcW w:w="12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(2,382,142)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3,519,579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2,014,856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521,138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290,039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Amortization/accretion of note premiums/discounts, net</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347,703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(57,420)</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Receivables</w:t>
            </w:r>
          </w:p>
        </w:tc>
        <w:tc>
          <w:tcPr>
            <w:tcW w:w="12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(11,825)</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Other receivables</w:t>
            </w:r>
          </w:p>
        </w:tc>
        <w:tc>
          <w:tcPr>
            <w:tcW w:w="1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(9,506)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Prepaid expenses</w:t>
            </w:r>
          </w:p>
        </w:tc>
        <w:tc>
          <w:tcPr>
            <w:tcW w:w="12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(3,874,051)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(74,455)</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3,415,473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(610,284)</w:t>
            </w:r>
          </w:p>
        </w:tc>
        <w:tc>
          <w:tcPr>
            <w:tcW w:w="0" w:type="dxa"/>
            <w:vAlign w:val="bottom"/>
          </w:tcPr>
          <w:p>
            <w:pPr>
              <w:spacing w:after="0"/>
              <w:rPr>
                <w:sz w:val="1"/>
                <w:szCs w:val="1"/>
                <w:color w:val="auto"/>
              </w:rPr>
            </w:pPr>
          </w:p>
        </w:tc>
      </w:tr>
      <w:tr>
        <w:trPr>
          <w:trHeight w:val="176"/>
        </w:trPr>
        <w:tc>
          <w:tcPr>
            <w:tcW w:w="7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(1,325,675)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(802)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(222,811)</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(24,200,006)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(7,022,332)</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2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(554,945)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(116,215)</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sale of fixed assets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(19,075,306)</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3,054,774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4,045,956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2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(4,499,671)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(15,145,565)</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Principal payments on capital leases and notes payable</w:t>
            </w:r>
          </w:p>
        </w:tc>
        <w:tc>
          <w:tcPr>
            <w:tcW w:w="1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(103,168)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(54,715)</w:t>
            </w:r>
          </w:p>
        </w:tc>
        <w:tc>
          <w:tcPr>
            <w:tcW w:w="0" w:type="dxa"/>
            <w:vAlign w:val="bottom"/>
          </w:tcPr>
          <w:p>
            <w:pPr>
              <w:spacing w:after="0"/>
              <w:rPr>
                <w:sz w:val="1"/>
                <w:szCs w:val="1"/>
                <w:color w:val="auto"/>
              </w:rPr>
            </w:pPr>
          </w:p>
        </w:tc>
      </w:tr>
      <w:tr>
        <w:trPr>
          <w:trHeight w:val="176"/>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issuance of common stock and preferred stock, net</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62,821,592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the exercise of warrants and stock options</w:t>
            </w:r>
          </w:p>
        </w:tc>
        <w:tc>
          <w:tcPr>
            <w:tcW w:w="12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283,466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180,298</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62,766,877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1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(28,519,379)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40,598,980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CASH AT BEGINNING OF PERIOD</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132,510,610</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19,114,444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AT END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103,991,231</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59,713,424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Supplementary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paid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00"/>
          </w:cols>
          <w:pgMar w:left="240" w:top="117"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Arrowhead Research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and Ablaris Therapeutics, Inc. (“Ablaris”), (4) the term “Common Stock” refers to Arrowhead’s Common Stock, (5) the term “Preferred Stock” refers to Arrowhead’s Preferred Stock and the term “Stockholder(s)” refers to the holders of Arrowhead Common Stock.</w:t>
      </w:r>
    </w:p>
    <w:p>
      <w:pPr>
        <w:spacing w:after="0" w:line="326" w:lineRule="exact"/>
        <w:rPr>
          <w:sz w:val="20"/>
          <w:szCs w:val="20"/>
          <w:color w:val="auto"/>
        </w:rPr>
      </w:pPr>
    </w:p>
    <w:p>
      <w:pPr>
        <w:ind w:right="55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b w:val="1"/>
          <w:bCs w:val="1"/>
          <w:i w:val="1"/>
          <w:iCs w:val="1"/>
          <w:color w:val="auto"/>
        </w:rPr>
        <w:t>ORGANIZATION AND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Nature of Business</w:t>
      </w:r>
    </w:p>
    <w:p>
      <w:pPr>
        <w:jc w:val="both"/>
        <w:ind w:right="480" w:firstLine="518"/>
        <w:spacing w:after="0" w:line="256" w:lineRule="auto"/>
        <w:rPr>
          <w:sz w:val="20"/>
          <w:szCs w:val="20"/>
          <w:color w:val="auto"/>
        </w:rPr>
      </w:pPr>
      <w:r>
        <w:rPr>
          <w:rFonts w:ascii="Times New Roman" w:cs="Times New Roman" w:eastAsia="Times New Roman" w:hAnsi="Times New Roman"/>
          <w:sz w:val="18"/>
          <w:szCs w:val="18"/>
          <w:color w:val="auto"/>
        </w:rPr>
        <w:t>Arrowhead Research Corporation develops novel drugs to treat intractable diseases by silencing the genes that cause them. Using the broadest portfolio of RNA chemistries and efficient modes of delivery, Arrowhead therapies trigger the RNA interference mechanism to induce rapid, deep and durable knockdown of target genes. Arrowhead’s most advanced drug candidate in clinical development is ARC-520, which is designed to treat chronic hepatitis B infection by inhibiting the production of all HBV gene products. The goal is to reverse the immune suppression that prevents the body from controlling the virus and clearing the disease. Arrowhead’s second clinical candidate is ARC-AAT, a treatment for a rare liver disease associated with a genetic disorder that causes alpha-1 antitrypsin deficiency.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Historically, the Company’s primary source of financing has been through the sale of securities of Arrowhead. Research and development activities have required significant capital investment since the Company’s inception. We expect our operations to continue to require cash investment in fiscal 2015 and beyond as the Company pursues its research and development goals, as well as clinical trials and related drug manufacturing.</w:t>
      </w:r>
    </w:p>
    <w:p>
      <w:pPr>
        <w:spacing w:after="0" w:line="17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At December 31, 2014, the Company had $104.0 million in cash to fund operations. In addition to its cash resources, the Company has invested excess cash in investment grade commercial bonds maturing in less than 24 months. These bonds provide a source of liquidity, though the Company plans to hold them until maturity. At December 31, 2014, the Company had invested $41.3 million in bonds. During the three months ended December 31, 2014, the Company’s cash position decreased by $28.5 million which was primarily the result of cash outflows related to continuing operating activities of $24.2 million, other investing activities of $7.0 million and capital expenditures of $0.5 million. These outflows were partially offset by maturities of fixed income investments totaling $3.1 million and proceeds from the exercise of warrants and options of $0.3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119"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76"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Additionally, certain reclassifications have been made to prior period financial statements to conform to the current period presentation.</w:t>
      </w:r>
    </w:p>
    <w:p>
      <w:pPr>
        <w:spacing w:after="0" w:line="184"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Cash and Cash Equivalents—The Company considers all liquid debt instruments purchased with a maturity of three months or less to be cash equivalents. The Company had no restricted cash at December 31, 2014 and September 30, 2014.</w:t>
      </w:r>
    </w:p>
    <w:p>
      <w:pPr>
        <w:spacing w:after="0" w:line="162" w:lineRule="exact"/>
        <w:rPr>
          <w:sz w:val="20"/>
          <w:szCs w:val="20"/>
          <w:color w:val="auto"/>
        </w:rPr>
      </w:pPr>
    </w:p>
    <w:p>
      <w:pPr>
        <w:ind w:right="500" w:firstLine="518"/>
        <w:spacing w:after="0" w:line="266" w:lineRule="auto"/>
        <w:rPr>
          <w:sz w:val="20"/>
          <w:szCs w:val="20"/>
          <w:color w:val="auto"/>
        </w:rPr>
      </w:pPr>
      <w:r>
        <w:rPr>
          <w:rFonts w:ascii="Times New Roman" w:cs="Times New Roman" w:eastAsia="Times New Roman" w:hAnsi="Times New Roman"/>
          <w:sz w:val="18"/>
          <w:szCs w:val="18"/>
          <w:color w:val="auto"/>
        </w:rPr>
        <w:t>Concentration of Credit Risk—The Company maintains several bank accounts for its operations at two financial institutions. These accounts are insured by the Federal Deposit Insurance Corporation (FDIC) for up to $250,000 per account. Management believes the Company is not exposed to significant credit risk due to the financial position of the depository institutions in which these deposits are held.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7" w:name="page8"/>
    <w:bookmarkEnd w:id="7"/>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54"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62"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 Company classifies its investments in marketable debt securities based on the facts and circumstances present at the time of purchase of the securities. At December 31, 2014, the Company classified all of its investments as held-to-maturity.</w:t>
      </w:r>
    </w:p>
    <w:p>
      <w:pPr>
        <w:spacing w:after="0" w:line="162"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4"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Intangible Assets Subject to Amortization—At December 31, 2014, intangible assets subject to amortization include certain license agreements. Intangible assets subject to amortization are reviewed for impairment whenever events or circumstances indicate that the carrying amount of these assets may not be recoverable.</w:t>
      </w:r>
    </w:p>
    <w:p>
      <w:pPr>
        <w:spacing w:after="0" w:line="17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In-Process Research &amp; Development (IPR&amp;D)—IPR&amp;D assets represent capitalized on-going research projects that were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are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8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Contingent Consideration - The consideration for the Company’s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the Company’s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7" w:right="239" w:bottom="1440" w:gutter="0" w:footer="0" w:header="0"/>
        </w:sectPr>
      </w:pPr>
    </w:p>
    <w:bookmarkStart w:id="8" w:name="page9"/>
    <w:bookmarkEnd w:id="8"/>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Revenue Recognition—Revenue from license fees are recorded when persuasive evidence of an arrangement exists, title has passed or services have been rendered, a price is fixed and determinable, and collection is reasonably assured. The Company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Payments under collaborative research and development agreements are recognized as revenue ratably over the relevant periods specified in the agreement, generally the period during which research and development is conducted.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0"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62"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months ended December 31, 2014 and 2013 have been excluded from the calculation of Diluted earnings (loss) per share due to their anti-dilutive effect.</w:t>
      </w:r>
    </w:p>
    <w:p>
      <w:pPr>
        <w:spacing w:after="0" w:line="18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The Company uses historical data and other information to estimate the expected price volatility and the expected forfeiture rate.</w:t>
      </w:r>
    </w:p>
    <w:p>
      <w:pPr>
        <w:spacing w:after="0" w:line="18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and no further adjustments to their valuation are made. Some of the Company’s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8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major classes of property and equipment:</w:t>
      </w:r>
    </w:p>
    <w:p>
      <w:pPr>
        <w:spacing w:after="0" w:line="28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7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2014</w:t>
            </w: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office equipment and furniture</w:t>
            </w:r>
          </w:p>
        </w:tc>
        <w:tc>
          <w:tcPr>
            <w:tcW w:w="13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374,535</w:t>
            </w: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334,162</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36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5,010,151</w:t>
            </w:r>
          </w:p>
        </w:tc>
        <w:tc>
          <w:tcPr>
            <w:tcW w:w="3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4,614,176</w:t>
            </w: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69,623</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69,623</w:t>
            </w:r>
          </w:p>
        </w:tc>
      </w:tr>
      <w:tr>
        <w:trPr>
          <w:trHeight w:val="230"/>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3,117,537</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3,045,022</w:t>
            </w: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fixed assets</w:t>
            </w:r>
          </w:p>
        </w:tc>
        <w:tc>
          <w:tcPr>
            <w:tcW w:w="1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8,571,846</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8,062,983</w:t>
            </w:r>
          </w:p>
        </w:tc>
      </w:tr>
      <w:tr>
        <w:trPr>
          <w:trHeight w:val="230"/>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(4,447,405)</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(4,190,230)</w:t>
            </w:r>
          </w:p>
        </w:tc>
      </w:tr>
      <w:tr>
        <w:trPr>
          <w:trHeight w:val="223"/>
        </w:trPr>
        <w:tc>
          <w:tcPr>
            <w:tcW w:w="4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6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4,124,441</w:t>
            </w:r>
          </w:p>
        </w:tc>
        <w:tc>
          <w:tcPr>
            <w:tcW w:w="3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3,872,753</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Company invests its excess cash balances in short-term and long-term debt securities. Investments at December 31, 2014 consisted of corporate bonds with maturities remaining of less than two years at the time of purchase.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December 31, 2014, all investments were classified as held-to-maturity securities.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short and long-term investments as of December 31, 2014, and September 30, 2014.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5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Gains</w:t>
            </w:r>
          </w:p>
        </w:tc>
        <w:tc>
          <w:tcPr>
            <w:tcW w:w="460" w:type="dxa"/>
            <w:vAlign w:val="bottom"/>
          </w:tcPr>
          <w:p>
            <w:pPr>
              <w:spacing w:after="0"/>
              <w:rPr>
                <w:sz w:val="12"/>
                <w:szCs w:val="12"/>
                <w:color w:val="auto"/>
              </w:rPr>
            </w:pPr>
          </w:p>
        </w:tc>
        <w:tc>
          <w:tcPr>
            <w:tcW w:w="18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r>
      <w:tr>
        <w:trPr>
          <w:trHeight w:val="210"/>
        </w:trPr>
        <w:tc>
          <w:tcPr>
            <w:tcW w:w="3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notes (due within one year)</w:t>
            </w: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23,532,402</w:t>
            </w:r>
          </w:p>
        </w:tc>
        <w:tc>
          <w:tcPr>
            <w:tcW w:w="46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7"/>
              </w:rPr>
              <w:t>(313,407)</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23,218,995</w:t>
            </w:r>
          </w:p>
        </w:tc>
        <w:tc>
          <w:tcPr>
            <w:tcW w:w="220" w:type="dxa"/>
            <w:vAlign w:val="bottom"/>
            <w:tcBorders>
              <w:top w:val="single" w:sz="8" w:color="CFF0FC"/>
            </w:tcBorders>
            <w:shd w:val="clear" w:color="auto" w:fill="CFF0FC"/>
          </w:tcPr>
          <w:p>
            <w:pPr>
              <w:spacing w:after="0"/>
              <w:rPr>
                <w:sz w:val="18"/>
                <w:szCs w:val="18"/>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Commercial notes (due after one year through</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two years)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17,806,499</w:t>
            </w:r>
          </w:p>
        </w:tc>
        <w:tc>
          <w:tcPr>
            <w:tcW w:w="540" w:type="dxa"/>
            <w:vAlign w:val="bottom"/>
          </w:tcPr>
          <w:p>
            <w:pPr>
              <w:spacing w:after="0"/>
              <w:rPr>
                <w:sz w:val="20"/>
                <w:szCs w:val="20"/>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(266,426)</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17,540,073</w:t>
            </w:r>
          </w:p>
        </w:tc>
      </w:tr>
      <w:tr>
        <w:trPr>
          <w:trHeight w:val="210"/>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41,338,901</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7"/>
              </w:rPr>
              <w:t>(579,833)</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40,759,068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2"/>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As of September 30, 2014</w:t>
            </w: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5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Gains</w:t>
            </w:r>
          </w:p>
        </w:tc>
        <w:tc>
          <w:tcPr>
            <w:tcW w:w="460" w:type="dxa"/>
            <w:vAlign w:val="bottom"/>
          </w:tcPr>
          <w:p>
            <w:pPr>
              <w:spacing w:after="0"/>
              <w:rPr>
                <w:sz w:val="12"/>
                <w:szCs w:val="12"/>
                <w:color w:val="auto"/>
              </w:rPr>
            </w:pPr>
          </w:p>
        </w:tc>
        <w:tc>
          <w:tcPr>
            <w:tcW w:w="18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r>
      <w:tr>
        <w:trPr>
          <w:trHeight w:val="210"/>
        </w:trPr>
        <w:tc>
          <w:tcPr>
            <w:tcW w:w="3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notes (due within one year)</w:t>
            </w: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21,653,032</w:t>
            </w:r>
          </w:p>
        </w:tc>
        <w:tc>
          <w:tcPr>
            <w:tcW w:w="46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7"/>
              </w:rPr>
              <w:t>(189,830)</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21,463,202</w:t>
            </w:r>
          </w:p>
        </w:tc>
        <w:tc>
          <w:tcPr>
            <w:tcW w:w="220" w:type="dxa"/>
            <w:vAlign w:val="bottom"/>
            <w:tcBorders>
              <w:top w:val="single" w:sz="8" w:color="CFF0FC"/>
            </w:tcBorders>
            <w:shd w:val="clear" w:color="auto" w:fill="CFF0FC"/>
          </w:tcPr>
          <w:p>
            <w:pPr>
              <w:spacing w:after="0"/>
              <w:rPr>
                <w:sz w:val="18"/>
                <w:szCs w:val="18"/>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Commercial notes (due after one year through</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two years)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23,088,346</w:t>
            </w:r>
          </w:p>
        </w:tc>
        <w:tc>
          <w:tcPr>
            <w:tcW w:w="540" w:type="dxa"/>
            <w:vAlign w:val="bottom"/>
          </w:tcPr>
          <w:p>
            <w:pPr>
              <w:spacing w:after="0"/>
              <w:rPr>
                <w:sz w:val="20"/>
                <w:szCs w:val="20"/>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(217,693)</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22,870,653</w:t>
            </w:r>
          </w:p>
        </w:tc>
      </w:tr>
      <w:tr>
        <w:trPr>
          <w:trHeight w:val="210"/>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44,741,378</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7"/>
              </w:rPr>
              <w:t>(407,523)</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44,333,855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900" w:firstLine="518"/>
        <w:spacing w:after="0" w:line="282" w:lineRule="auto"/>
        <w:rPr>
          <w:sz w:val="20"/>
          <w:szCs w:val="20"/>
          <w:color w:val="auto"/>
        </w:rPr>
      </w:pPr>
      <w:r>
        <w:rPr>
          <w:rFonts w:ascii="Times New Roman" w:cs="Times New Roman" w:eastAsia="Times New Roman" w:hAnsi="Times New Roman"/>
          <w:sz w:val="18"/>
          <w:szCs w:val="18"/>
          <w:color w:val="auto"/>
        </w:rPr>
        <w:t>Intangible assets consist of in-process research and development (“IPR&amp;D”) not subject to amortization, and license agreements subject to amortization, which were capitalized as a part of a business combination.</w:t>
      </w:r>
    </w:p>
    <w:p>
      <w:pPr>
        <w:spacing w:after="0" w:line="16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the Company will determine the useful life of the asset, reclassify the asset out of IPR&amp;D and begin amortization. If the associated R&amp;D effort is abandoned the related IPR&amp;D assets will likely be written off and the Company would record an impairment loss.</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Intangible assets not subject to amortization include IPR&amp;D capitalized as part of a business combination from the acquisition of Roche Madison.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0" w:name="page11"/>
    <w:bookmarkEnd w:id="10"/>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Intangible assets subject to amortization include license agreements capitalized as part of a business combination from the acquisition of Roche Madison. The license agreements are being amortized over the estimated life remaining at the time of acquisition, which was 4 years, and the accumulated amortization of the assets is approximately $175,100. Amortization expense for the three months ended December 31, 2014 and 2013 was $13,700 and $13,700, respectively. Amortization expense is expected to be approximately $41,900 for the remainder of fiscal year 2015, $13,000 in 2016, and zero thereafter.</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on the Company’s intangible asset balances:</w:t>
      </w:r>
    </w:p>
    <w:p>
      <w:pPr>
        <w:spacing w:after="0" w:line="23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 subject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2013</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3,117,322</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3,240,513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(2,172,387)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(2,172,387)</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(54,653)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(54,653)</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(13,664)</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(13,664)</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b w:val="1"/>
          <w:bCs w:val="1"/>
          <w:i w:val="1"/>
          <w:iCs w:val="1"/>
          <w:color w:val="auto"/>
        </w:rPr>
        <w:t>STOCKHOLDERS’ EQUITY</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At December 31, 2014, the Company had a total of 150,000,000 shares of capital stock authorized for issuance, consisting of 145,000,000 shares of Common Stock, par value $0.001 per share, and 5,000,000 shares of Preferred Stock, par value $0.001 per share.</w:t>
      </w:r>
    </w:p>
    <w:p>
      <w:pPr>
        <w:spacing w:after="0" w:line="16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At December 31, 2014, 54,715,714 shares of Common Stock were outstanding. Additionally, 18,300 shares of Preferred Stock were outstanding, including 2,300 shares of Series B Preferred Stock, convertible into 1,256,831 shares of Common Stock, and 16,000 shares of Series C Preferred Stock, convertible into 2,730,375 shares of Common Stock. At December 31, 2014, 7,274,674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4"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Preferred Stock is convertible to Common Stock by its holder at its stated conversion price, though it is not convertible to the extent the holder would beneficially own more than 9.99% of the number of shares of outstanding Common Stock immediately after the conversion. The holders of Preferred Stock are eligible to vote with the Common Stock of the Company on an as-converted basis, but only to the extent they are eligible for conversion without exceeding the 9.99% ownership limitation. The Preferred Stock does not carry a coupon, but it is entitled to receive dividends on a pari passu basis with Common Stock, when and if declared. In any liquidation or dissolution of the Company, the holders of Preferred Stock are entitled to participate in the distribution of the assets, to the extent legally available for distribution, on a pari passu basis with the Common Stock.</w:t>
      </w:r>
    </w:p>
    <w:p>
      <w:pPr>
        <w:spacing w:after="0" w:line="188"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On October 11, 2013, the Company sold 3,071,672 shares of Common Stock, at a price of $5.86 per share, and 46,000 shares of Series C Preferred Stock, at a price of $1,000 per share. The Preferred Shares are convertible into shares of common stock at a conversion price of $5.86. The aggregate purchase price paid by the purchasers for the Common Stock and Series C Preferred Stock was $64,000,000 and the Company received net proceeds of approximately $60,000,000, after advisory fees and offering expenses.</w:t>
      </w:r>
    </w:p>
    <w:p>
      <w:pPr>
        <w:spacing w:after="0" w:line="180"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On February 24, 2014, the Company sold 6,325,000 shares of Common Stock, at a public offering price of $18.95 per share. Net proceeds were approximately $112.6 million after underwriting commissions and discounts and other offering expenses.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warrants outstanding at December 31, 2014:</w:t>
      </w:r>
    </w:p>
    <w:p>
      <w:pPr>
        <w:spacing w:after="0" w:line="233"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248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tcBorders>
            <w:shd w:val="clear" w:color="auto" w:fill="CFF0FC"/>
          </w:tcPr>
          <w:p>
            <w:pPr>
              <w:jc w:val="right"/>
              <w:ind w:right="1670"/>
              <w:spacing w:after="0"/>
              <w:rPr>
                <w:sz w:val="20"/>
                <w:szCs w:val="20"/>
                <w:color w:val="auto"/>
              </w:rPr>
            </w:pPr>
            <w:r>
              <w:rPr>
                <w:rFonts w:ascii="Times New Roman" w:cs="Times New Roman" w:eastAsia="Times New Roman" w:hAnsi="Times New Roman"/>
                <w:sz w:val="18"/>
                <w:szCs w:val="18"/>
                <w:color w:val="auto"/>
              </w:rPr>
              <w:t>70.60</w:t>
            </w:r>
          </w:p>
        </w:tc>
        <w:tc>
          <w:tcPr>
            <w:tcW w:w="1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94,897</w:t>
            </w: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5.00</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390,625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ind w:right="1670"/>
              <w:spacing w:after="0"/>
              <w:rPr>
                <w:sz w:val="20"/>
                <w:szCs w:val="20"/>
                <w:color w:val="auto"/>
              </w:rPr>
            </w:pPr>
            <w:r>
              <w:rPr>
                <w:rFonts w:ascii="Times New Roman" w:cs="Times New Roman" w:eastAsia="Times New Roman" w:hAnsi="Times New Roman"/>
                <w:sz w:val="18"/>
                <w:szCs w:val="18"/>
                <w:color w:val="auto"/>
              </w:rPr>
              <w:t>5.09</w:t>
            </w:r>
          </w:p>
        </w:tc>
        <w:tc>
          <w:tcPr>
            <w:tcW w:w="2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239,534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1.38</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ind w:right="1670"/>
              <w:spacing w:after="0"/>
              <w:rPr>
                <w:sz w:val="20"/>
                <w:szCs w:val="20"/>
                <w:color w:val="auto"/>
              </w:rPr>
            </w:pPr>
            <w:r>
              <w:rPr>
                <w:rFonts w:ascii="Times New Roman" w:cs="Times New Roman" w:eastAsia="Times New Roman" w:hAnsi="Times New Roman"/>
                <w:sz w:val="18"/>
                <w:szCs w:val="18"/>
                <w:color w:val="auto"/>
              </w:rPr>
              <w:t>4.16</w:t>
            </w:r>
          </w:p>
        </w:tc>
        <w:tc>
          <w:tcPr>
            <w:tcW w:w="2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3.25</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334,347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ind w:right="1670"/>
              <w:spacing w:after="0"/>
              <w:rPr>
                <w:sz w:val="20"/>
                <w:szCs w:val="20"/>
                <w:color w:val="auto"/>
              </w:rPr>
            </w:pPr>
            <w:r>
              <w:rPr>
                <w:rFonts w:ascii="Times New Roman" w:cs="Times New Roman" w:eastAsia="Times New Roman" w:hAnsi="Times New Roman"/>
                <w:sz w:val="18"/>
                <w:szCs w:val="18"/>
                <w:color w:val="auto"/>
              </w:rPr>
              <w:t>2.12</w:t>
            </w:r>
          </w:p>
        </w:tc>
        <w:tc>
          <w:tcPr>
            <w:tcW w:w="2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1.83</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277,284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warrants outstanding</w:t>
            </w:r>
          </w:p>
        </w:tc>
        <w:tc>
          <w:tcPr>
            <w:tcW w:w="1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1,437,011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3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b w:val="1"/>
          <w:bCs w:val="1"/>
          <w:i w:val="1"/>
          <w:iCs w:val="1"/>
          <w:color w:val="auto"/>
        </w:rPr>
        <w:t>COMMITMENTS AND CONTINGENCIES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The Company leases office space for its corporate headquarters in Pasadena, California. In March 2014, the Company signed a lease addendum to expand its corporate headquarters, and the new space became available in September 2014. The leases for the expansion space and the current space will expire in September 2019. Rental costs, including the expansion space, are approximately $23,000 per month, increasing approximately 3% annually.</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Company’s research facility in Madison, Wisconsin is leased through February 28, 2019. Monthly rental expense is approximately $25,000. Other monthly rental expenses include common area maintenance and real estate taxes totaling approximately $16,000 per month. Utilities costs are approximately $15,000 per month. Total monthly costs are approximately $75,000 per month, including monthly payments recorded under a capital lease of approximately $19,000.</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Facility rent expense for the three months ended December 31, 2014 and 2013 was $171,500 and $145,000,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2014, future minimum lease payments due in fiscal years under capitalized leases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 (remainder of)</w:t>
            </w:r>
          </w:p>
        </w:tc>
        <w:tc>
          <w:tcPr>
            <w:tcW w:w="1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171,315</w:t>
            </w:r>
          </w:p>
        </w:tc>
        <w:tc>
          <w:tcPr>
            <w:tcW w:w="8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228,420</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228,420</w:t>
            </w:r>
          </w:p>
        </w:tc>
        <w:tc>
          <w:tcPr>
            <w:tcW w:w="8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228,420</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95,178</w:t>
            </w:r>
          </w:p>
        </w:tc>
        <w:tc>
          <w:tcPr>
            <w:tcW w:w="8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2020 and thereafter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(32,589)</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Principal</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919,164</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(213,991)</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705,173</w:t>
            </w:r>
          </w:p>
        </w:tc>
        <w:tc>
          <w:tcPr>
            <w:tcW w:w="8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2014, future minimum lease payments due in fiscal years under operating leases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 (remainder of)</w:t>
            </w:r>
          </w:p>
        </w:tc>
        <w:tc>
          <w:tcPr>
            <w:tcW w:w="2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436,532</w:t>
            </w:r>
          </w:p>
        </w:tc>
        <w:tc>
          <w:tcPr>
            <w:tcW w:w="6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596,877</w:t>
            </w:r>
          </w:p>
        </w:tc>
        <w:tc>
          <w:tcPr>
            <w:tcW w:w="6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613,664</w:t>
            </w:r>
          </w:p>
        </w:tc>
        <w:tc>
          <w:tcPr>
            <w:tcW w:w="6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637,897</w:t>
            </w:r>
          </w:p>
        </w:tc>
        <w:tc>
          <w:tcPr>
            <w:tcW w:w="6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459,633</w:t>
            </w:r>
          </w:p>
        </w:tc>
        <w:tc>
          <w:tcPr>
            <w:tcW w:w="60" w:type="dxa"/>
            <w:vAlign w:val="bottom"/>
            <w:shd w:val="clear" w:color="auto" w:fill="CFF0FC"/>
          </w:tcPr>
          <w:p>
            <w:pPr>
              <w:spacing w:after="0"/>
              <w:rPr>
                <w:sz w:val="18"/>
                <w:szCs w:val="18"/>
                <w:color w:val="auto"/>
              </w:rPr>
            </w:pPr>
          </w:p>
        </w:tc>
      </w:tr>
      <w:tr>
        <w:trPr>
          <w:trHeight w:val="216"/>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2020 and thereafter</w:t>
            </w:r>
          </w:p>
        </w:tc>
        <w:tc>
          <w:tcPr>
            <w:tcW w:w="26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tcPr>
          <w:p>
            <w:pPr>
              <w:spacing w:after="0"/>
              <w:rPr>
                <w:sz w:val="18"/>
                <w:szCs w:val="18"/>
                <w:color w:val="auto"/>
              </w:rPr>
            </w:pPr>
          </w:p>
        </w:tc>
      </w:tr>
      <w:tr>
        <w:trPr>
          <w:trHeight w:val="210"/>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2,744,603</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its Chief Executive Officer and its Chief Operating Officer have been named as defendants in two securities class actions filed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District Court for the Central District of California regarding certain public statements in connection with the Company’s hepatitis B drug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Both actions assert claims under Sections 10(b) and 20(a) of the Securities Exchange Act of 1934 and seek damages in an unspecified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Additionally, three putative stockholder derivative action have been filed in the United States District Court for the Central District of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alleging breach of fiduciary duty by the Company’s Board of Directors in connection with the facts underlying the Securities Claims. Each of these five suits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seek damages in unspecified amounts and some seek various forms of injunctive relief.</w:t>
      </w:r>
    </w:p>
    <w:p>
      <w:pPr>
        <w:spacing w:after="0" w:line="207"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The Company and two of its former executives have been named as defendants in a complaint filed by William Marsh Rice University (“Rice University”) currently pending in the United States District Court for the Southern District of Texas relating to alleged breaches of a license agreement between Rice University and the Company’s former subsidiary, Unidym, Inc. The plaintiff has alleged that the Company and its former executives acted fraudulently with respect to Unidym’s license from Rice University and seeks injunctive relief, damages, including unspecified compensatory and punitive damages, and attorneys’ fees.</w:t>
      </w:r>
    </w:p>
    <w:p>
      <w:pPr>
        <w:spacing w:after="0" w:line="184" w:lineRule="exact"/>
        <w:rPr>
          <w:sz w:val="20"/>
          <w:szCs w:val="20"/>
          <w:color w:val="auto"/>
        </w:rPr>
      </w:pPr>
    </w:p>
    <w:p>
      <w:pPr>
        <w:ind w:right="280" w:firstLine="518"/>
        <w:spacing w:after="0" w:line="258" w:lineRule="auto"/>
        <w:rPr>
          <w:sz w:val="20"/>
          <w:szCs w:val="20"/>
          <w:color w:val="auto"/>
        </w:rPr>
      </w:pPr>
      <w:r>
        <w:rPr>
          <w:rFonts w:ascii="Times New Roman" w:cs="Times New Roman" w:eastAsia="Times New Roman" w:hAnsi="Times New Roman"/>
          <w:sz w:val="18"/>
          <w:szCs w:val="18"/>
          <w:color w:val="auto"/>
        </w:rPr>
        <w:t>The Company believes it has a meritorious defense and intends to vigorously defend itself in each of the above matters. The Company makes provisions for liabilities when it is both probable that a liability has been incurred and the amount can be reasonably estimated. No such liability has been recorded related to these matters. The Company does not expect these matters to have any material effect on its Consolidated Financial Statements. With regard to legal fees, such as attorney fees related to these matters or any other legal matters, the Company’s accounting policy is to recognize such cost as incurred.</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266" w:right="27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various purchase commitments for the manufacture of drug components, toxicology studies, and for clinical studies. As of December 31, 2014, these future commitments were approximately $43.1 million, of which approximately $31.6 million is expected to be incurred in the remainder of fiscal 2015, and $11.5 million is expected to be incurred beyond fiscal 2015.</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License Commitments</w:t>
      </w:r>
    </w:p>
    <w:p>
      <w:pPr>
        <w:spacing w:after="0" w:line="11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Company has licensed from third parties the rights to use certain technologies that it uses in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 digit millions of dollars. In certain agreements, the Company may be required to make mid to high single digit percentage royalty payments based on a percentage of the sales of the relevant products.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Arrowhead has two plans that provide for equity-based compensation. Under the 2004 Equity Incentive Plan and 2013 Incentive Plan, 2,657,352 and 4,000,000 shares, respectively, of Arrowhead’s Common Stock are reserved for the grant of stock options, stock appreciation rights, restricted stock awards and performance unit/share awards by the Board of Directors to employees, consultants and others. As of December 31, 2014, there were options granted and outstanding to purchase 2,561,018 and 1,686,000 shares of Common Stock under the 2004 Equity Incentive Plan and the 2013 Incentive Plan, respectively, and there were 470,000 restricted stock units granted and outstanding under the 2013 Incentive Plan. Also, as of December 31, 2014, there were 617,322 shares reserved for options and restricted stock units issued as inducement grants to new employees outside of equity compensation plans. During the three months ended December 31, 2014, no options were granted under the 2004 Equity Incentive Plan, 864,000 options were granted under the 2013 Incentive Plan, and 120,000 options and 30,000 restricted stock units were granted as inducement awards to new employees outside of equity incentive</w:t>
      </w:r>
    </w:p>
    <w:p>
      <w:pPr>
        <w:spacing w:after="0" w:line="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plans. Additionally, the Company’s 2000 Stock Option Plan and the 38,000 stock options that were outstanding under the 2000 Stock Option Plan expired during the three months ended December 31, 2014.</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2013</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3,419,285</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(152,582)</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(454,863)</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2014</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3,850,840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984,000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(38,000)</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4,794,340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8.4 years</w:t>
            </w:r>
          </w:p>
        </w:tc>
        <w:tc>
          <w:tcPr>
            <w:tcW w:w="1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11,479,110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2014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1,860,703</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7.3 years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stock options for the three months ended December 31, 2014 and 2013 was $981,399 and $521,138,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80"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the options granted by Arrowhead for the three months ended December 31, 2014 and 2013 is estimated at $3,596,618 and $531,510, respectively.</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intrinsic value of the options exercised during the three months ended December 31, 2014 and 2013 was $23,774 and $314,858, respectively.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43" w:right="259" w:bottom="1440" w:gutter="0" w:footer="0" w:header="0"/>
        </w:sectPr>
      </w:pPr>
    </w:p>
    <w:bookmarkStart w:id="13" w:name="page14"/>
    <w:bookmarkEnd w:id="13"/>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2014, the pre-tax compensation expense for all outstanding unvested stock options in the amount of approximately $13,093,446 will be recognized in our results of operations over a weighted average period of 3.1 years.</w:t>
      </w:r>
    </w:p>
    <w:p>
      <w:pPr>
        <w:spacing w:after="0" w:line="162" w:lineRule="exact"/>
        <w:rPr>
          <w:sz w:val="20"/>
          <w:szCs w:val="20"/>
          <w:color w:val="auto"/>
        </w:rPr>
      </w:pPr>
    </w:p>
    <w:p>
      <w:pPr>
        <w:jc w:val="both"/>
        <w:ind w:right="18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to value stock options are as follows:</w:t>
      </w:r>
    </w:p>
    <w:p>
      <w:pPr>
        <w:spacing w:after="0" w:line="313" w:lineRule="exact"/>
        <w:rPr>
          <w:sz w:val="20"/>
          <w:szCs w:val="20"/>
          <w:color w:val="auto"/>
        </w:rPr>
      </w:pPr>
    </w:p>
    <w:tbl>
      <w:tblPr>
        <w:tblLayout w:type="fixed"/>
        <w:tblInd w:w="178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10"/>
        </w:trPr>
        <w:tc>
          <w:tcPr>
            <w:tcW w:w="50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1.61 – 1.85%</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options granted</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$3.66</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$5.06</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risk-free interest rate is based on the U.S. Treasury bond.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is estimated based on volatility average of the Company’s Common Stock price.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Restricted Stock Units (RSUs) were granted under the Company’s 2013 Incentive Plan and inducement grants granted outside of the Plan. During the three months ended December 31, 2014 and 2013, the Company issued 30,000 and 0 restricted stock units, respectively, to certain members of management. Of the restricted stock units granted during the three months ended December 31, 2014, 30,000 were granted outside of the Plan as an inducement grant to a new employee. At vesting each RSU will be exchanged for one share of the Company’s Common Stock. The RSUs issued during the three months ended December 31, 2014 vest in equal annual installments over three years from the date of grant.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Restricted Stock Units: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3"/>
        </w:trPr>
        <w:tc>
          <w:tcPr>
            <w:tcW w:w="586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2014</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2014</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 Company recorded $1,033,457 and $0 of expense relating to restricted stock units during the three months ended December 31, 2014 and 2013, respectively, and such expense is included in stock-based compensation expense in the Company’s Consolidated Statement of Operations.</w:t>
      </w:r>
    </w:p>
    <w:p>
      <w:pPr>
        <w:spacing w:after="0" w:line="16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2014, the pre-tax compensation expense for all unvested restricted stock units in the amount of approximately $4,036,658 will be recognized in the Company’s results of operations over a weighted average period of 1.4 years.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40"/>
          </w:cols>
          <w:pgMar w:left="240" w:top="33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54" w:lineRule="exact"/>
        <w:rPr>
          <w:sz w:val="20"/>
          <w:szCs w:val="20"/>
          <w:color w:val="auto"/>
        </w:rPr>
      </w:pPr>
    </w:p>
    <w:p>
      <w:pPr>
        <w:ind w:right="120" w:firstLine="518"/>
        <w:spacing w:after="0" w:line="313" w:lineRule="auto"/>
        <w:rPr>
          <w:sz w:val="20"/>
          <w:szCs w:val="20"/>
          <w:color w:val="auto"/>
        </w:rPr>
      </w:pPr>
      <w:r>
        <w:rPr>
          <w:rFonts w:ascii="Times New Roman" w:cs="Times New Roman" w:eastAsia="Times New Roman" w:hAnsi="Times New Roman"/>
          <w:sz w:val="17"/>
          <w:szCs w:val="17"/>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38"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fair value measurements at December 31, 2014 and September 30, 2014 for assets and liabilities measured at fair value on a recurring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103,991,231</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103,991,231</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1,790,559</w:t>
            </w:r>
          </w:p>
        </w:tc>
        <w:tc>
          <w:tcPr>
            <w:tcW w:w="80" w:type="dxa"/>
            <w:vAlign w:val="bottom"/>
          </w:tcPr>
          <w:p>
            <w:pPr>
              <w:spacing w:after="0"/>
              <w:rPr>
                <w:sz w:val="18"/>
                <w:szCs w:val="18"/>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1,790,559</w:t>
            </w: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 obligations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3,970,931</w:t>
            </w:r>
          </w:p>
        </w:tc>
        <w:tc>
          <w:tcPr>
            <w:tcW w:w="8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3,970,931</w:t>
            </w:r>
          </w:p>
        </w:tc>
        <w:tc>
          <w:tcPr>
            <w:tcW w:w="80" w:type="dxa"/>
            <w:vAlign w:val="bottom"/>
            <w:shd w:val="clear" w:color="auto" w:fill="CFF0FC"/>
          </w:tcPr>
          <w:p>
            <w:pPr>
              <w:spacing w:after="0"/>
              <w:rPr>
                <w:sz w:val="18"/>
                <w:szCs w:val="18"/>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132,510,610</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gridSpan w:val="2"/>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gridSpan w:val="2"/>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132,510,610</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4,173,943</w:t>
            </w:r>
          </w:p>
        </w:tc>
        <w:tc>
          <w:tcPr>
            <w:tcW w:w="80" w:type="dxa"/>
            <w:vAlign w:val="bottom"/>
          </w:tcPr>
          <w:p>
            <w:pPr>
              <w:spacing w:after="0"/>
              <w:rPr>
                <w:sz w:val="18"/>
                <w:szCs w:val="18"/>
                <w:color w:val="auto"/>
              </w:rPr>
            </w:pPr>
          </w:p>
        </w:tc>
        <w:tc>
          <w:tcPr>
            <w:tcW w:w="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4,173,943</w:t>
            </w: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 obligations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3,970,931</w:t>
            </w:r>
          </w:p>
        </w:tc>
        <w:tc>
          <w:tcPr>
            <w:tcW w:w="80" w:type="dxa"/>
            <w:vAlign w:val="bottom"/>
            <w:shd w:val="clear" w:color="auto" w:fill="CFF0FC"/>
          </w:tcPr>
          <w:p>
            <w:pPr>
              <w:spacing w:after="0"/>
              <w:rPr>
                <w:sz w:val="18"/>
                <w:szCs w:val="18"/>
                <w:color w:val="auto"/>
              </w:rPr>
            </w:pPr>
          </w:p>
        </w:tc>
        <w:tc>
          <w:tcPr>
            <w:tcW w:w="3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3,970,931</w:t>
            </w:r>
          </w:p>
        </w:tc>
        <w:tc>
          <w:tcPr>
            <w:tcW w:w="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invests its excess cash balances in short and long-term corporate bonds, generally with remaining maturities of less than two years. At December 31, 2014, the Company had short-term investments of $23,532,402, and long-term investments of $17,806,499, for a total of $41,338,901. The fair value of its investment at December 31, 2014 was $40,759,068. The Company expects to hold such investments until maturity, and thus unrealized gains and losses from the fluctuations in the fair value of the securities are not likely to be realized.</w:t>
      </w:r>
    </w:p>
    <w:p>
      <w:pPr>
        <w:spacing w:after="0" w:line="180"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As part of an equity financing in June 2010, Arrowhead issued warrants to acquire up to 329,649 shares of Common Stock (the “2010 Warrants”), of which 24,324 warrants were outstanding at December 31, 2014. Similarly, as part of a financing in December 2012, Arrowhead issued warrants to acquire up to 912,543 shares of Common Stock (the “2012 Warrants”) of which 265,161 warrants were outstanding at December 31, 2014. Further, as part of a financing in January 2013, Arrowhead issued warrants to acquire up to 833,530 shares of Common Stock (the “2013 Warrants”) of which 12,123 warrants were outstanding at December 31, 2014 (collectively the “Warrants”). Each of the Warrants discussed above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During the three months ended December 31, 2014, the Company recorded a non-cash gain from the change in fair value of the derivative liability of $2,179,651, and during the three months ended December 31, 2013, the Company recorded a non-cash loss of $3,507,496.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82" w:right="2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assumptions used in valuing the derivative liability were as follows:</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0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2010 Warrants</w:t>
            </w:r>
          </w:p>
        </w:tc>
        <w:tc>
          <w:tcPr>
            <w:tcW w:w="4080" w:type="dxa"/>
            <w:vAlign w:val="bottom"/>
            <w:gridSpan w:val="3"/>
          </w:tcPr>
          <w:p>
            <w:pPr>
              <w:jc w:val="right"/>
              <w:ind w:right="1580"/>
              <w:spacing w:after="0"/>
              <w:rPr>
                <w:sz w:val="20"/>
                <w:szCs w:val="20"/>
                <w:color w:val="auto"/>
              </w:rPr>
            </w:pPr>
            <w:r>
              <w:rPr>
                <w:rFonts w:ascii="Times New Roman" w:cs="Times New Roman" w:eastAsia="Times New Roman" w:hAnsi="Times New Roman"/>
                <w:sz w:val="18"/>
                <w:szCs w:val="18"/>
                <w:color w:val="auto"/>
              </w:rPr>
              <w:t>December 31, 2014</w:t>
            </w:r>
          </w:p>
        </w:tc>
        <w:tc>
          <w:tcPr>
            <w:tcW w:w="14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w w:val="98"/>
              </w:rPr>
              <w:t>September 30, 2014</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080" w:type="dxa"/>
            <w:vAlign w:val="bottom"/>
            <w:gridSpan w:val="3"/>
            <w:shd w:val="clear" w:color="auto" w:fill="CFF0FC"/>
          </w:tcPr>
          <w:p>
            <w:pPr>
              <w:jc w:val="right"/>
              <w:ind w:right="158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Expected life</w:t>
            </w:r>
          </w:p>
        </w:tc>
        <w:tc>
          <w:tcPr>
            <w:tcW w:w="1080" w:type="dxa"/>
            <w:vAlign w:val="bottom"/>
          </w:tcPr>
          <w:p>
            <w:pPr>
              <w:spacing w:after="0"/>
              <w:rPr>
                <w:sz w:val="21"/>
                <w:szCs w:val="21"/>
                <w:color w:val="auto"/>
              </w:rPr>
            </w:pPr>
          </w:p>
        </w:tc>
        <w:tc>
          <w:tcPr>
            <w:tcW w:w="300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1.0 Years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shd w:val="clear" w:color="auto" w:fill="CFF0FC"/>
          </w:tcPr>
          <w:p>
            <w:pPr>
              <w:spacing w:after="0"/>
              <w:rPr>
                <w:sz w:val="21"/>
                <w:szCs w:val="21"/>
                <w:color w:val="auto"/>
              </w:rPr>
            </w:pPr>
          </w:p>
        </w:tc>
        <w:tc>
          <w:tcPr>
            <w:tcW w:w="3000" w:type="dxa"/>
            <w:vAlign w:val="bottom"/>
            <w:gridSpan w:val="2"/>
            <w:shd w:val="clear" w:color="auto" w:fill="CFF0FC"/>
          </w:tcPr>
          <w:p>
            <w:pPr>
              <w:jc w:val="right"/>
              <w:ind w:right="158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Volatility</w:t>
            </w:r>
          </w:p>
        </w:tc>
        <w:tc>
          <w:tcPr>
            <w:tcW w:w="4080" w:type="dxa"/>
            <w:vAlign w:val="bottom"/>
            <w:gridSpan w:val="3"/>
          </w:tcPr>
          <w:p>
            <w:pPr>
              <w:jc w:val="right"/>
              <w:ind w:right="15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860"/>
              <w:spacing w:after="0" w:line="202" w:lineRule="exact"/>
              <w:rPr>
                <w:sz w:val="20"/>
                <w:szCs w:val="20"/>
                <w:color w:val="auto"/>
              </w:rPr>
            </w:pPr>
            <w:r>
              <w:rPr>
                <w:rFonts w:ascii="Times New Roman" w:cs="Times New Roman" w:eastAsia="Times New Roman" w:hAnsi="Times New Roman"/>
                <w:sz w:val="18"/>
                <w:szCs w:val="18"/>
                <w:b w:val="1"/>
                <w:bCs w:val="1"/>
                <w:color w:val="auto"/>
              </w:rPr>
              <w:t>2012 Warrants</w:t>
            </w:r>
          </w:p>
        </w:tc>
        <w:tc>
          <w:tcPr>
            <w:tcW w:w="4080" w:type="dxa"/>
            <w:vAlign w:val="bottom"/>
            <w:gridSpan w:val="3"/>
          </w:tcPr>
          <w:p>
            <w:pPr>
              <w:jc w:val="right"/>
              <w:ind w:right="1580"/>
              <w:spacing w:after="0" w:line="202" w:lineRule="exact"/>
              <w:rPr>
                <w:sz w:val="20"/>
                <w:szCs w:val="20"/>
                <w:color w:val="auto"/>
              </w:rPr>
            </w:pPr>
            <w:r>
              <w:rPr>
                <w:rFonts w:ascii="Times New Roman" w:cs="Times New Roman" w:eastAsia="Times New Roman" w:hAnsi="Times New Roman"/>
                <w:sz w:val="18"/>
                <w:szCs w:val="18"/>
                <w:color w:val="auto"/>
              </w:rPr>
              <w:t>December 31, 2014</w:t>
            </w:r>
          </w:p>
        </w:tc>
        <w:tc>
          <w:tcPr>
            <w:tcW w:w="1460" w:type="dxa"/>
            <w:vAlign w:val="bottom"/>
            <w:gridSpan w:val="6"/>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w w:val="98"/>
              </w:rPr>
              <w:t>September 30, 2014</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080" w:type="dxa"/>
            <w:vAlign w:val="bottom"/>
            <w:gridSpan w:val="3"/>
            <w:shd w:val="clear" w:color="auto" w:fill="CFF0FC"/>
          </w:tcPr>
          <w:p>
            <w:pPr>
              <w:jc w:val="right"/>
              <w:ind w:right="158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Expected life</w:t>
            </w:r>
          </w:p>
        </w:tc>
        <w:tc>
          <w:tcPr>
            <w:tcW w:w="1080" w:type="dxa"/>
            <w:vAlign w:val="bottom"/>
          </w:tcPr>
          <w:p>
            <w:pPr>
              <w:spacing w:after="0"/>
              <w:rPr>
                <w:sz w:val="21"/>
                <w:szCs w:val="21"/>
                <w:color w:val="auto"/>
              </w:rPr>
            </w:pPr>
          </w:p>
        </w:tc>
        <w:tc>
          <w:tcPr>
            <w:tcW w:w="300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3.0 Years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 Years</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shd w:val="clear" w:color="auto" w:fill="CFF0FC"/>
          </w:tcPr>
          <w:p>
            <w:pPr>
              <w:spacing w:after="0"/>
              <w:rPr>
                <w:sz w:val="21"/>
                <w:szCs w:val="21"/>
                <w:color w:val="auto"/>
              </w:rPr>
            </w:pPr>
          </w:p>
        </w:tc>
        <w:tc>
          <w:tcPr>
            <w:tcW w:w="3000" w:type="dxa"/>
            <w:vAlign w:val="bottom"/>
            <w:gridSpan w:val="2"/>
            <w:shd w:val="clear" w:color="auto" w:fill="CFF0FC"/>
          </w:tcPr>
          <w:p>
            <w:pPr>
              <w:jc w:val="right"/>
              <w:ind w:right="158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Volatility</w:t>
            </w:r>
          </w:p>
        </w:tc>
        <w:tc>
          <w:tcPr>
            <w:tcW w:w="4080" w:type="dxa"/>
            <w:vAlign w:val="bottom"/>
            <w:gridSpan w:val="3"/>
          </w:tcPr>
          <w:p>
            <w:pPr>
              <w:jc w:val="right"/>
              <w:ind w:right="15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860"/>
              <w:spacing w:after="0" w:line="202" w:lineRule="exact"/>
              <w:rPr>
                <w:sz w:val="20"/>
                <w:szCs w:val="20"/>
                <w:color w:val="auto"/>
              </w:rPr>
            </w:pPr>
            <w:r>
              <w:rPr>
                <w:rFonts w:ascii="Times New Roman" w:cs="Times New Roman" w:eastAsia="Times New Roman" w:hAnsi="Times New Roman"/>
                <w:sz w:val="18"/>
                <w:szCs w:val="18"/>
                <w:b w:val="1"/>
                <w:bCs w:val="1"/>
                <w:color w:val="auto"/>
              </w:rPr>
              <w:t>2013 Warrants</w:t>
            </w:r>
          </w:p>
        </w:tc>
        <w:tc>
          <w:tcPr>
            <w:tcW w:w="4080" w:type="dxa"/>
            <w:vAlign w:val="bottom"/>
            <w:gridSpan w:val="3"/>
          </w:tcPr>
          <w:p>
            <w:pPr>
              <w:jc w:val="right"/>
              <w:ind w:right="1580"/>
              <w:spacing w:after="0" w:line="202" w:lineRule="exact"/>
              <w:rPr>
                <w:sz w:val="20"/>
                <w:szCs w:val="20"/>
                <w:color w:val="auto"/>
              </w:rPr>
            </w:pPr>
            <w:r>
              <w:rPr>
                <w:rFonts w:ascii="Times New Roman" w:cs="Times New Roman" w:eastAsia="Times New Roman" w:hAnsi="Times New Roman"/>
                <w:sz w:val="18"/>
                <w:szCs w:val="18"/>
                <w:color w:val="auto"/>
              </w:rPr>
              <w:t>December 31, 2014</w:t>
            </w:r>
          </w:p>
        </w:tc>
        <w:tc>
          <w:tcPr>
            <w:tcW w:w="1460" w:type="dxa"/>
            <w:vAlign w:val="bottom"/>
            <w:gridSpan w:val="6"/>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w w:val="98"/>
              </w:rPr>
              <w:t>September 30, 2014</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080" w:type="dxa"/>
            <w:vAlign w:val="bottom"/>
            <w:gridSpan w:val="3"/>
            <w:shd w:val="clear" w:color="auto" w:fill="CFF0FC"/>
          </w:tcPr>
          <w:p>
            <w:pPr>
              <w:jc w:val="right"/>
              <w:ind w:right="158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Expected life</w:t>
            </w:r>
          </w:p>
        </w:tc>
        <w:tc>
          <w:tcPr>
            <w:tcW w:w="1080" w:type="dxa"/>
            <w:vAlign w:val="bottom"/>
          </w:tcPr>
          <w:p>
            <w:pPr>
              <w:spacing w:after="0"/>
              <w:rPr>
                <w:sz w:val="21"/>
                <w:szCs w:val="21"/>
                <w:color w:val="auto"/>
              </w:rPr>
            </w:pPr>
          </w:p>
        </w:tc>
        <w:tc>
          <w:tcPr>
            <w:tcW w:w="300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3.1 Years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 Years</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shd w:val="clear" w:color="auto" w:fill="CFF0FC"/>
          </w:tcPr>
          <w:p>
            <w:pPr>
              <w:spacing w:after="0"/>
              <w:rPr>
                <w:sz w:val="21"/>
                <w:szCs w:val="21"/>
                <w:color w:val="auto"/>
              </w:rPr>
            </w:pPr>
          </w:p>
        </w:tc>
        <w:tc>
          <w:tcPr>
            <w:tcW w:w="3000" w:type="dxa"/>
            <w:vAlign w:val="bottom"/>
            <w:gridSpan w:val="2"/>
            <w:shd w:val="clear" w:color="auto" w:fill="CFF0FC"/>
          </w:tcPr>
          <w:p>
            <w:pPr>
              <w:jc w:val="right"/>
              <w:ind w:right="158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Volatility</w:t>
            </w:r>
          </w:p>
        </w:tc>
        <w:tc>
          <w:tcPr>
            <w:tcW w:w="4080" w:type="dxa"/>
            <w:vAlign w:val="bottom"/>
            <w:gridSpan w:val="3"/>
          </w:tcPr>
          <w:p>
            <w:pPr>
              <w:jc w:val="right"/>
              <w:ind w:right="15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432"/>
        </w:trPr>
        <w:tc>
          <w:tcPr>
            <w:tcW w:w="8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is a reconciliation of the derivative liability related to these warrants: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3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2013</w:t>
            </w:r>
          </w:p>
        </w:tc>
        <w:tc>
          <w:tcPr>
            <w:tcW w:w="10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4,091,797</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instruments</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w:t>
            </w:r>
          </w:p>
        </w:tc>
        <w:tc>
          <w:tcPr>
            <w:tcW w:w="10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5,821,796</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settlements</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(5,956,079)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2014</w:t>
            </w:r>
          </w:p>
        </w:tc>
        <w:tc>
          <w:tcPr>
            <w:tcW w:w="108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gridSpan w:val="2"/>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3,957,514</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instruments</w:t>
            </w: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Change in value</w:t>
            </w: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(2,179,651)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settlements</w:t>
            </w:r>
          </w:p>
        </w:tc>
        <w:tc>
          <w:tcPr>
            <w:tcW w:w="10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Value at December 31, 2014</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1,777,863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In conjunction with the financing of Ablaris in fiscal 2011, Arrowhead sold exchange rights to certain investors whereby the investors have the right to exchange their shares of Ablaris for a prescribed number of Arrowhead shares of Common Stock based upon a predefined ratio. The exchange rights have a seven-year term. During the first year, the exchange right allows the holder to exchange one Ablaris share for 0.06 Arrowhead shares. This ratio declines to</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0.04 in the second year, 0.03 in the third year and 0.02 in the fourth year. In the fifth year and beyond the exchange ratio is 0.01. Exchange rights for 675,000 Ablaris shares were sold in fiscal 2011, and 585,000 remain outstanding at December 31, 2014.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During the three months ended December 31, 2014, the Company recorded a non-cash gain from the change in fair value of the derivative liability of $202,491 and during the three months ended December 31, 2013, the Company recorded a non-cash loss of $12,082.</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valuing the derivative liability were as follows: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2900" w:type="dxa"/>
            <w:vAlign w:val="bottom"/>
          </w:tcPr>
          <w:p>
            <w:pPr>
              <w:spacing w:after="0"/>
              <w:rPr>
                <w:sz w:val="15"/>
                <w:szCs w:val="15"/>
                <w:color w:val="auto"/>
              </w:rPr>
            </w:pPr>
          </w:p>
        </w:tc>
        <w:tc>
          <w:tcPr>
            <w:tcW w:w="4540" w:type="dxa"/>
            <w:vAlign w:val="bottom"/>
            <w:gridSpan w:val="2"/>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2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3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Years</w:t>
            </w: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3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657"/>
        </w:trPr>
        <w:tc>
          <w:tcPr>
            <w:tcW w:w="2900" w:type="dxa"/>
            <w:vAlign w:val="bottom"/>
          </w:tcPr>
          <w:p>
            <w:pPr>
              <w:spacing w:after="0"/>
              <w:rPr>
                <w:sz w:val="24"/>
                <w:szCs w:val="24"/>
                <w:color w:val="auto"/>
              </w:rPr>
            </w:pPr>
          </w:p>
        </w:tc>
        <w:tc>
          <w:tcPr>
            <w:tcW w:w="3380" w:type="dxa"/>
            <w:vAlign w:val="bottom"/>
          </w:tcPr>
          <w:p>
            <w:pPr>
              <w:jc w:val="right"/>
              <w:ind w:right="1776"/>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337" w:right="259" w:bottom="1440" w:gutter="0" w:footer="0" w:header="0"/>
        </w:sectPr>
      </w:pPr>
    </w:p>
    <w:bookmarkStart w:id="16" w:name="page17"/>
    <w:bookmarkEnd w:id="16"/>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the derivative liability related to these exchange rights: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8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Value at September 30, 2013</w:t>
            </w: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instruments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211,860</w:t>
            </w:r>
          </w:p>
        </w:tc>
        <w:tc>
          <w:tcPr>
            <w:tcW w:w="1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settlements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Value at September 30, 2014</w:t>
            </w: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216,429</w:t>
            </w:r>
          </w:p>
        </w:tc>
        <w:tc>
          <w:tcPr>
            <w:tcW w:w="1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instruments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(202,491)</w:t>
            </w:r>
          </w:p>
        </w:tc>
      </w:tr>
      <w:tr>
        <w:trPr>
          <w:trHeight w:val="216"/>
        </w:trPr>
        <w:tc>
          <w:tcPr>
            <w:tcW w:w="86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settlements</w:t>
            </w: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shd w:val="clear" w:color="auto" w:fill="CFF0FC"/>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Value at December 31, 2014</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Other inputs have a comparatively insignificant effect.</w:t>
      </w:r>
    </w:p>
    <w:p>
      <w:pPr>
        <w:spacing w:after="0" w:line="1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As of December 31, 2014, the Company has a liability for contingent consideration related to its acquisition of Roche Madison Inc.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Changes in the fair value of the contingent consideration obligations are recorded in the Company’s Consolidated Statement of Operations.</w:t>
      </w:r>
    </w:p>
    <w:p>
      <w:pPr>
        <w:spacing w:after="0" w:line="193"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contingent consideration fair value.</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58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2013</w:t>
            </w:r>
          </w:p>
        </w:tc>
        <w:tc>
          <w:tcPr>
            <w:tcW w:w="18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contingent consideration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5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2,375,658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2014</w:t>
            </w: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3,970,931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contingent consideration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December 31, 2014</w:t>
            </w:r>
          </w:p>
        </w:tc>
        <w:tc>
          <w:tcPr>
            <w:tcW w:w="15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3,970,931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89"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7" w:name="page18"/>
    <w:bookmarkEnd w:id="17"/>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this report under the caption “Risk Factors” as well as the additional risks described in other documents we file from time to time with the Securities and Exchange Commission (“SEC”), including our most recent Annual Report on Form 10-K and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Arrowhead Research develops novel drugs to treat intractable diseases by silencing the genes that cause them. Using the broadest portfolio of RNA chemistries and efficient modes of delivery, Arrowhead therapies trigger the RNA interference mechanism to induce rapid, deep and durable knockdown of target genes. Arrowhead’s most advanced drug candidate in clinical development is ARC-520, which is designed to treat chronic hepatitis B infection by inhibiting the production of all HBV gene products. The goal is to reverse the immune suppression that prevents the body from controlling the virus and clearing the disease. Arrowhead’s second clinical candidate is ARC-AAT, a treatment for a rare liver disease associated with a genetic disorder that causes alpha-1 antitrypsin deficiency.</w:t>
      </w:r>
    </w:p>
    <w:p>
      <w:pPr>
        <w:spacing w:after="0" w:line="18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Arrowhead operates a lab facility in Madison, Wisconsin, where the Company’s research and development activities, including the development of its RNAi therapeutics, are based. The Company’s principal executive offices are located in Pasadena, California.</w:t>
      </w:r>
    </w:p>
    <w:p>
      <w:pPr>
        <w:spacing w:after="0" w:line="162"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year 2015, the Company continued to develop its lead clinical candidate, ARC-520, for the treatment of chronic hepatitis B as well as its second clinical candidate, ARC-AAT, an RNAi therapeutic designed to treat liver disease associated with Alpha-1 antitrypsin deficiency (AATD). The Company continues its Phase 2a studies in ARC-520, with no dose-limiting toxicities or serious adverse events having been observed to date. The Company submitted an Investigational New Drug application to the U.S. Food and Drug Administration in December 2014 for ARC-520 to initiate phase 2b multi-dose studies to determine the depth of hepatitis B surface antigen (HBsAg) reduction following ARC-520 injection. The Company received feedback from the FDA, and based on that feedback the Company expects to adjust the protocol in order to begin the trial. The Company also expects to file with Asian and European agencies to begin additional phase 2b studies in fiscal year 2015. Additionally, the Company has submitted an application for ARC-AAT and expects to begin a phase 1 clinical trial soon.</w:t>
      </w:r>
    </w:p>
    <w:p>
      <w:pPr>
        <w:spacing w:after="0" w:line="185"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The Company continues to develop other clinical candidates for future clinical trials, focusing on intravenously-administered therapeutics targeting gene knockdown in the liver, as well as formulations for administering RNAi-based therapeutics by subcutaneous administration. Clinical candidates are tested internally through GLP toxicology studies at outside laboratories, and drug materials for such studies, and for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and if the clinical candidates progress through human testing, program costs will increase.</w:t>
      </w:r>
    </w:p>
    <w:p>
      <w:pPr>
        <w:spacing w:after="0" w:line="18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Net losses were $22.6 million and $10.7 million during the three months ended December 31, 2014 and 2013, respectively. Diluted losses per share were $0.41 and $0.28 during the three months ended December 31, 2014 and 2013,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17" w:right="259" w:bottom="1440" w:gutter="0" w:footer="0" w:header="0"/>
        </w:sectPr>
      </w:pPr>
    </w:p>
    <w:bookmarkStart w:id="18" w:name="page19"/>
    <w:bookmarkEnd w:id="18"/>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also substantially strengthened its liquidity and financial position through two securities offerings completed in October 2013 and February 2014 which generated approximately $172.6 million of cash proceeds for the Company. These cash proceeds secured the funding needed to advance both ARC-520 and ARC-AAT through future clinical trials and will also assist as the Company expands its pipeline of other clinical candidates. The Company had $104.0 million of Cash and Cash Equivalents and $162.1 million of Total Assets as of December 31, 2014 as compared to $132.5 million and $182.8 million as of September 30, 2014, respectively. The decrease in Cash and Cash Equivalents and Total Assets reflects cash outflows associated with the Company’s research and development efforts for its clinical candidates and pipeline. Based upon the Company’s current cash resources and operating plan, the Company expects to have sufficient liquidity to fund operations for at least the next twelve months.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Times New Roman" w:cs="Times New Roman" w:eastAsia="Times New Roman" w:hAnsi="Times New Roman"/>
          <w:sz w:val="18"/>
          <w:szCs w:val="18"/>
          <w:i w:val="1"/>
          <w:iCs w:val="1"/>
          <w:color w:val="auto"/>
        </w:rPr>
        <w:t>Note 1, Organization and Significant Accounting Policies</w:t>
      </w:r>
      <w:r>
        <w:rPr>
          <w:rFonts w:ascii="Times New Roman" w:cs="Times New Roman" w:eastAsia="Times New Roman" w:hAnsi="Times New Roman"/>
          <w:sz w:val="18"/>
          <w:szCs w:val="18"/>
          <w:color w:val="auto"/>
        </w:rPr>
        <w:t>, to our Consolidated Financial Statements, which outlines our application of significant accounting policies.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6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7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11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Intangible assets consist of in-process research and development and license agreements acquired in conjunction with a business acquisition. Intangible assets are monitored for potential impairment whenever events or circumstances indicate that the carrying amount may not be recoverable, and are also reviewed annually to determine whether any impairment is necessary. Based on ASC 350,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337" w:right="25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recognize stock-based compensation expense for stock options based on the grant date fair value using the Black-Scholes options pricing model, which requires us to make assumptions regarding certain variables including the risk-free interest rate, expected stock price volatility, assumed forfeitures, and the expected life of the award. The grant date fair value of restricted stock units granted is based upon the quoted closing market price per share on the date of grant, adjusted for assumed forfeitures. Expense for stock options and restricted stock units is recognized over the requisite service period.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Derivative Assets and Liabilities</w:t>
      </w:r>
    </w:p>
    <w:p>
      <w:pPr>
        <w:spacing w:after="0" w:line="11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The consideration for our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data summarizes our results of operations for the following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317500</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ectPr>
          <w:pgSz w:w="11900" w:h="16838" w:orient="portrait"/>
          <w:cols w:equalWidth="0" w:num="1">
            <w:col w:w="11380"/>
          </w:cols>
          <w:pgMar w:left="240" w:top="443" w:right="27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7620</wp:posOffset>
            </wp:positionV>
            <wp:extent cx="1174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7620</wp:posOffset>
            </wp:positionV>
            <wp:extent cx="1115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7"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December 31, 2013</w:t>
      </w:r>
    </w:p>
    <w:p>
      <w:pPr>
        <w:spacing w:after="0" w:line="20" w:lineRule="exact"/>
        <w:rPr>
          <w:sz w:val="20"/>
          <w:szCs w:val="20"/>
          <w:color w:val="auto"/>
        </w:rPr>
      </w:pPr>
    </w:p>
    <w:p>
      <w:pPr>
        <w:sectPr>
          <w:pgSz w:w="11900" w:h="16838" w:orient="portrait"/>
          <w:cols w:equalWidth="0" w:num="2">
            <w:col w:w="7440" w:space="720"/>
            <w:col w:w="3220"/>
          </w:cols>
          <w:pgMar w:left="240" w:top="443" w:right="279" w:bottom="1440" w:gutter="0" w:footer="0" w:header="0"/>
          <w:type w:val="continuous"/>
        </w:sectPr>
      </w:pPr>
    </w:p>
    <w:tbl>
      <w:tblPr>
        <w:tblLayout w:type="fixed"/>
        <w:tblInd w:w="1560" w:type="dxa"/>
        <w:tblCellMar>
          <w:top w:w="0" w:type="dxa"/>
          <w:left w:w="0" w:type="dxa"/>
          <w:bottom w:w="0" w:type="dxa"/>
          <w:right w:w="0" w:type="dxa"/>
        </w:tblCellMar>
      </w:tblPr>
      <w:tr>
        <w:trPr>
          <w:trHeight w:val="20"/>
        </w:trPr>
        <w:tc>
          <w:tcPr>
            <w:tcW w:w="4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203"/>
        </w:trPr>
        <w:tc>
          <w:tcPr>
            <w:tcW w:w="42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540" w:type="dxa"/>
            <w:vAlign w:val="bottom"/>
            <w:shd w:val="clear" w:color="auto" w:fill="CFF0FC"/>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170,750</w:t>
            </w:r>
          </w:p>
        </w:tc>
        <w:tc>
          <w:tcPr>
            <w:tcW w:w="1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4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43,750</w:t>
            </w:r>
          </w:p>
        </w:tc>
        <w:tc>
          <w:tcPr>
            <w:tcW w:w="160" w:type="dxa"/>
            <w:vAlign w:val="bottom"/>
            <w:shd w:val="clear" w:color="auto" w:fill="CFF0FC"/>
          </w:tcPr>
          <w:p>
            <w:pPr>
              <w:spacing w:after="0"/>
              <w:rPr>
                <w:sz w:val="17"/>
                <w:szCs w:val="17"/>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(25,115,276)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(7,009,382)</w:t>
            </w: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5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(22,575,282)</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(10,685,732)</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(22,575,282)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(10,685,732)</w:t>
            </w: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(Basic and Diluted)</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r>
    </w:tbl>
    <w:p>
      <w:pPr>
        <w:spacing w:after="0" w:line="19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increase in our Operating Expenses during the three months ended December 31, 2014 is primarily due to the continued development of our lead clinical candidate for HBV, ARC-520 and our second clinical candidate ARC-AAT for AATD. The primary costs incurred during fiscal 2015 related to manufacturing of clinical supplies for our clinical trials, toxicology studies, and the cost associated with the administration of clinical trials. In addition, the Company is incurring costs, primarily manufacturing costs and clinical trial administration costs, as we prepare for a phase 2b clinical trial of ARC-520, which is anticipated to begin in 2015.</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43" w:right="279" w:bottom="1440" w:gutter="0" w:footer="0" w:header="0"/>
          <w:type w:val="continuous"/>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Total revenue was $170,750 for the three months ended December 31, 2014 and $43,750 for the three months ended December 31, 2013. Revenue is primarily related to licensed technology in 2013. In addition, the Company had collaboration revenue of $80,000 and earned $47,000 in revenue for delivering a materials study during the three months ended December 31,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months ended December 31, 2014 and 2013 are shown in the tables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 Three months ended December 31, 2014 compared to the three months ended December 31, 2013</w:t>
      </w:r>
    </w:p>
    <w:p>
      <w:pPr>
        <w:spacing w:after="0" w:line="121"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64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00" w:type="dxa"/>
            <w:vAlign w:val="bottom"/>
            <w:vMerge w:val="restart"/>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20" w:type="dxa"/>
            <w:vAlign w:val="bottom"/>
            <w:tcBorders>
              <w:bottom w:val="single" w:sz="8" w:color="B6EA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B6EAFC"/>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B6EAFC"/>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B6EAFC"/>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B6EAFC"/>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B6EA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Laboratory supplies &amp; services</w:t>
            </w: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shd w:val="clear" w:color="auto" w:fill="B6EAFC"/>
          </w:tcPr>
          <w:p>
            <w:pPr>
              <w:jc w:val="right"/>
              <w:ind w:right="4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vivo studies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Outside labs &amp; contract services</w:t>
            </w:r>
          </w:p>
        </w:tc>
        <w:tc>
          <w:tcPr>
            <w:tcW w:w="100" w:type="dxa"/>
            <w:vAlign w:val="bottom"/>
            <w:shd w:val="clear" w:color="auto" w:fill="B6EAFC"/>
          </w:tcPr>
          <w:p>
            <w:pPr>
              <w:spacing w:after="0"/>
              <w:rPr>
                <w:sz w:val="19"/>
                <w:szCs w:val="19"/>
                <w:color w:val="auto"/>
              </w:rPr>
            </w:pP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shd w:val="clear" w:color="auto" w:fill="B6EAFC"/>
          </w:tcPr>
          <w:p>
            <w:pPr>
              <w:spacing w:after="0"/>
              <w:rPr>
                <w:sz w:val="19"/>
                <w:szCs w:val="19"/>
                <w:color w:val="auto"/>
              </w:rPr>
            </w:pPr>
          </w:p>
        </w:tc>
        <w:tc>
          <w:tcPr>
            <w:tcW w:w="5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Toxicity/efficacy studies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Drug manufacturing</w:t>
            </w:r>
          </w:p>
        </w:tc>
        <w:tc>
          <w:tcPr>
            <w:tcW w:w="100" w:type="dxa"/>
            <w:vAlign w:val="bottom"/>
            <w:shd w:val="clear" w:color="auto" w:fill="B6EAFC"/>
          </w:tcPr>
          <w:p>
            <w:pPr>
              <w:spacing w:after="0"/>
              <w:rPr>
                <w:sz w:val="19"/>
                <w:szCs w:val="19"/>
                <w:color w:val="auto"/>
              </w:rPr>
            </w:pP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shd w:val="clear" w:color="auto" w:fill="B6EAFC"/>
          </w:tcPr>
          <w:p>
            <w:pPr>
              <w:spacing w:after="0"/>
              <w:rPr>
                <w:sz w:val="19"/>
                <w:szCs w:val="19"/>
                <w:color w:val="auto"/>
              </w:rPr>
            </w:pPr>
          </w:p>
        </w:tc>
        <w:tc>
          <w:tcPr>
            <w:tcW w:w="5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Consulting</w:t>
            </w:r>
          </w:p>
        </w:tc>
        <w:tc>
          <w:tcPr>
            <w:tcW w:w="100" w:type="dxa"/>
            <w:vAlign w:val="bottom"/>
            <w:shd w:val="clear" w:color="auto" w:fill="B6EAFC"/>
          </w:tcPr>
          <w:p>
            <w:pPr>
              <w:spacing w:after="0"/>
              <w:rPr>
                <w:sz w:val="19"/>
                <w:szCs w:val="19"/>
                <w:color w:val="auto"/>
              </w:rPr>
            </w:pP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License, royalty &amp; milestones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00" w:type="dxa"/>
            <w:vAlign w:val="bottom"/>
            <w:shd w:val="clear" w:color="auto" w:fill="B6EAFC"/>
          </w:tcPr>
          <w:p>
            <w:pPr>
              <w:spacing w:after="0"/>
              <w:rPr>
                <w:sz w:val="19"/>
                <w:szCs w:val="19"/>
                <w:color w:val="auto"/>
              </w:rPr>
            </w:pP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shd w:val="clear" w:color="auto" w:fill="B6EAFC"/>
          </w:tcPr>
          <w:p>
            <w:pPr>
              <w:spacing w:after="0"/>
              <w:rPr>
                <w:sz w:val="19"/>
                <w:szCs w:val="19"/>
                <w:color w:val="auto"/>
              </w:rPr>
            </w:pPr>
          </w:p>
        </w:tc>
        <w:tc>
          <w:tcPr>
            <w:tcW w:w="5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shd w:val="clear" w:color="auto" w:fill="B6EAFC"/>
          </w:tcPr>
          <w:p>
            <w:pPr>
              <w:jc w:val="right"/>
              <w:ind w:right="4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Laboratory supplies and services expense increased by $104,000 from $389,000 during the three months ended December 31, 2013 to $493,000 during the current period. The Company expanded its laboratory facility and increased its R&amp;D headcount during 2014. The increase in laboratory supplies and services is a result of the purchase of additional supplies necessary to support increased efforts in pre-clinical research as the Company supports ongoing clinical efforts and accelerates efforts to identify new clinical candidates.</w:t>
      </w:r>
    </w:p>
    <w:p>
      <w:pPr>
        <w:spacing w:after="0" w:line="180"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In vivo studies expense was consistent at $61,000 during the three months ended December 31, 2013 and $60,000 during the current period. In vivo expense can vary depending on the stage of preclinical candidates, the nature and amount of testing required and based on the varying costs of different in vivo testing models. The expense in both periods relates to studies related to development of new clinical candidates.</w:t>
      </w:r>
    </w:p>
    <w:p>
      <w:pPr>
        <w:spacing w:after="0" w:line="176"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Outside labs and contract services expense was consistent at $122,000 during the three months ended December 31, 2013 and $126,000 during the current period. The expense in both periods relates to services provided for oligonucleotide synthesis related to development of new clinical candidates.</w:t>
      </w:r>
    </w:p>
    <w:p>
      <w:pPr>
        <w:spacing w:after="0" w:line="162"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Toxicity/efficacy studies expense increased by $1,548,000 from $520,000 during the three months ended December 31, 2013 to $2,068,000 during the current period. This category includes IND-enabling toxicology studies as well as post-IND toxicology studies, such as long-term toxicology studies, and other efficacy studies. The current period expense primarily relates to IND-enabling toxicology studies related to ARC-AAT and studies related to ARC-520 to support our anticipated phase 2b clinical trial.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41" w:right="239" w:bottom="1440" w:gutter="0" w:footer="0" w:header="0"/>
        </w:sectPr>
      </w:pPr>
    </w:p>
    <w:bookmarkStart w:id="21" w:name="page22"/>
    <w:bookmarkEnd w:id="21"/>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Drug manufacturing expense increased by $8,370,000 from $1,229,000 during the three months ended December 31, 2013 to $9,599,000 during the current period. The current period expense relates to drug manufacturing to supply toxicology studies for our HBV Phase 2b clinical trial, clinical supplies for the HBV Phase 2b clinical trial, as well as clinical supplies for our clinical trial for ARC-AAT. The Phase 2b clinical trial for HBV will be a much larger study than previous clinical trials, and as such, the Company anticipates increased drug manufacturing expenses in future periods.</w:t>
      </w:r>
    </w:p>
    <w:p>
      <w:pPr>
        <w:spacing w:after="0" w:line="180"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Clinical trials expense increased by $4,527,000 from $537,000 during the three months ended December 31, 2013 to $5,064,000 during the current period. The increase is primarily driven by costs incurred in preparation for our anticipated phase 2b clinical trial for ARC-520.</w:t>
      </w:r>
    </w:p>
    <w:p>
      <w:pPr>
        <w:spacing w:after="0" w:line="162"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Consulting expense decreased by $47,000 from $47,000 during the three months ended December 31, 2013 to $0 during the current period. The decrease is primarily due to 2013 consulting expenses related to the development of targeting technologies which are no longer being pursued.</w:t>
      </w:r>
    </w:p>
    <w:p>
      <w:pPr>
        <w:spacing w:after="0" w:line="162" w:lineRule="exact"/>
        <w:rPr>
          <w:sz w:val="20"/>
          <w:szCs w:val="20"/>
          <w:color w:val="auto"/>
        </w:rPr>
      </w:pPr>
    </w:p>
    <w:p>
      <w:pPr>
        <w:ind w:right="140" w:firstLine="518"/>
        <w:spacing w:after="0" w:line="289" w:lineRule="auto"/>
        <w:rPr>
          <w:sz w:val="20"/>
          <w:szCs w:val="20"/>
          <w:color w:val="auto"/>
        </w:rPr>
      </w:pPr>
      <w:r>
        <w:rPr>
          <w:rFonts w:ascii="Times New Roman" w:cs="Times New Roman" w:eastAsia="Times New Roman" w:hAnsi="Times New Roman"/>
          <w:sz w:val="17"/>
          <w:szCs w:val="17"/>
          <w:color w:val="auto"/>
        </w:rPr>
        <w:t>License, royalty and milestones expense was consistent at $12,000 during the three months ended December 31, 2013 and $23,000 during the current period. The expense in both periods pertains to small monthly royalty expenses. This category also can include milestone payments which can vary from period to period depending on the nature of our various license agreements, and the timing of reaching various development milestones requiring payment.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Facilities expense increased by $13,000 from $193,000 during the three months ended December 31, 2013 to $206,000 during the current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expenses were higher in the current period primarily due to the expansion of our R&amp;D facility in Madison during 2014.</w:t>
      </w:r>
    </w:p>
    <w:p>
      <w:pPr>
        <w:spacing w:after="0" w:line="207"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Other research expense increased $82,000 from $23,000 during the three months ended December 31, 2013 to $105,000 during the current period. The current period expenses primarily relate to costs associated with a collaboration agreement to identify muscle targeting peptide molecules for which the Company has been reimbursed and recorded that reimbursement as revenue as discussed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 Three months ended December 31, 2014 compared to the three months ended December 31, 2013</w:t>
      </w:r>
    </w:p>
    <w:p>
      <w:pPr>
        <w:spacing w:after="0" w:line="121" w:lineRule="exact"/>
        <w:rPr>
          <w:sz w:val="20"/>
          <w:szCs w:val="20"/>
          <w:color w:val="auto"/>
        </w:rPr>
      </w:pPr>
    </w:p>
    <w:p>
      <w:pPr>
        <w:ind w:right="600" w:firstLine="518"/>
        <w:spacing w:after="0" w:line="261" w:lineRule="auto"/>
        <w:rPr>
          <w:sz w:val="20"/>
          <w:szCs w:val="20"/>
          <w:color w:val="auto"/>
        </w:rPr>
      </w:pPr>
      <w:r>
        <w:rPr>
          <w:rFonts w:ascii="Times New Roman" w:cs="Times New Roman" w:eastAsia="Times New Roman" w:hAnsi="Times New Roman"/>
          <w:sz w:val="18"/>
          <w:szCs w:val="18"/>
          <w:color w:val="auto"/>
        </w:rPr>
        <w:t>The Company employs scientific, technical and administrative staff at its corporate offices and its research facility. Salaries and payroll-related expense consists of salary, bonuses, payroll taxes and related benefits. Salary and payroll-related expenses include two major categories: general and administrative (G&amp;A) compensation expense, and research and development (R&amp;D) compensation expense, based on the primary activities of each employee. The following table provides detail of salary and payroll-related expenses for the periods indicated: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20" w:type="dxa"/>
            <w:vAlign w:val="bottom"/>
          </w:tcPr>
          <w:p>
            <w:pPr>
              <w:spacing w:after="0"/>
              <w:rPr>
                <w:sz w:val="16"/>
                <w:szCs w:val="16"/>
                <w:color w:val="auto"/>
              </w:rPr>
            </w:pPr>
          </w:p>
        </w:tc>
        <w:tc>
          <w:tcPr>
            <w:tcW w:w="1620" w:type="dxa"/>
            <w:vAlign w:val="bottom"/>
          </w:tcPr>
          <w:p>
            <w:pPr>
              <w:jc w:val="center"/>
              <w:ind w:left="344"/>
              <w:spacing w:after="0"/>
              <w:rPr>
                <w:sz w:val="20"/>
                <w:szCs w:val="20"/>
                <w:color w:val="auto"/>
              </w:rPr>
            </w:pPr>
            <w:r>
              <w:rPr>
                <w:rFonts w:ascii="Times New Roman" w:cs="Times New Roman" w:eastAsia="Times New Roman" w:hAnsi="Times New Roman"/>
                <w:sz w:val="14"/>
                <w:szCs w:val="14"/>
                <w:color w:val="auto"/>
              </w:rPr>
              <w:t>Three months</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6"/>
              </w:rPr>
              <w:t>% of</w:t>
            </w:r>
          </w:p>
        </w:tc>
        <w:tc>
          <w:tcPr>
            <w:tcW w:w="220" w:type="dxa"/>
            <w:vAlign w:val="bottom"/>
          </w:tcPr>
          <w:p>
            <w:pPr>
              <w:spacing w:after="0"/>
              <w:rPr>
                <w:sz w:val="16"/>
                <w:szCs w:val="16"/>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Three months</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 of</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620" w:type="dxa"/>
            <w:vAlign w:val="bottom"/>
          </w:tcPr>
          <w:p>
            <w:pPr>
              <w:jc w:val="center"/>
              <w:ind w:left="344"/>
              <w:spacing w:after="0"/>
              <w:rPr>
                <w:sz w:val="20"/>
                <w:szCs w:val="20"/>
                <w:color w:val="auto"/>
              </w:rPr>
            </w:pPr>
            <w:r>
              <w:rPr>
                <w:rFonts w:ascii="Times New Roman" w:cs="Times New Roman" w:eastAsia="Times New Roman" w:hAnsi="Times New Roman"/>
                <w:sz w:val="14"/>
                <w:szCs w:val="14"/>
                <w:color w:val="auto"/>
              </w:rPr>
              <w:t>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w:t>
            </w:r>
          </w:p>
        </w:tc>
        <w:tc>
          <w:tcPr>
            <w:tcW w:w="220" w:type="dxa"/>
            <w:vAlign w:val="bottom"/>
          </w:tcPr>
          <w:p>
            <w:pPr>
              <w:spacing w:after="0"/>
              <w:rPr>
                <w:sz w:val="18"/>
                <w:szCs w:val="18"/>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Ended</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Expense</w:t>
            </w:r>
          </w:p>
        </w:tc>
        <w:tc>
          <w:tcPr>
            <w:tcW w:w="220" w:type="dxa"/>
            <w:vAlign w:val="bottom"/>
          </w:tcPr>
          <w:p>
            <w:pPr>
              <w:spacing w:after="0"/>
              <w:rPr>
                <w:sz w:val="18"/>
                <w:szCs w:val="18"/>
                <w:color w:val="auto"/>
              </w:rPr>
            </w:pPr>
          </w:p>
        </w:tc>
        <w:tc>
          <w:tcPr>
            <w:tcW w:w="20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color w:val="auto"/>
              </w:rPr>
              <w:t>Increase (Decrease)</w:t>
            </w:r>
          </w:p>
        </w:tc>
        <w:tc>
          <w:tcPr>
            <w:tcW w:w="0" w:type="dxa"/>
            <w:vAlign w:val="bottom"/>
          </w:tcPr>
          <w:p>
            <w:pPr>
              <w:spacing w:after="0"/>
              <w:rPr>
                <w:sz w:val="1"/>
                <w:szCs w:val="1"/>
                <w:color w:val="auto"/>
              </w:rPr>
            </w:pPr>
          </w:p>
        </w:tc>
      </w:tr>
      <w:tr>
        <w:trPr>
          <w:trHeight w:val="186"/>
        </w:trPr>
        <w:tc>
          <w:tcPr>
            <w:tcW w:w="2620" w:type="dxa"/>
            <w:vAlign w:val="bottom"/>
            <w:tcBorders>
              <w:bottom w:val="single" w:sz="8" w:color="B6EAFC"/>
            </w:tcBorders>
          </w:tcPr>
          <w:p>
            <w:pPr>
              <w:spacing w:after="0"/>
              <w:rPr>
                <w:sz w:val="16"/>
                <w:szCs w:val="16"/>
                <w:color w:val="auto"/>
              </w:rPr>
            </w:pPr>
          </w:p>
        </w:tc>
        <w:tc>
          <w:tcPr>
            <w:tcW w:w="1620" w:type="dxa"/>
            <w:vAlign w:val="bottom"/>
            <w:tcBorders>
              <w:bottom w:val="single" w:sz="8" w:color="auto"/>
            </w:tcBorders>
          </w:tcPr>
          <w:p>
            <w:pPr>
              <w:jc w:val="center"/>
              <w:ind w:left="344"/>
              <w:spacing w:after="0"/>
              <w:rPr>
                <w:sz w:val="20"/>
                <w:szCs w:val="20"/>
                <w:color w:val="auto"/>
              </w:rPr>
            </w:pPr>
            <w:r>
              <w:rPr>
                <w:rFonts w:ascii="Times New Roman" w:cs="Times New Roman" w:eastAsia="Times New Roman" w:hAnsi="Times New Roman"/>
                <w:sz w:val="14"/>
                <w:szCs w:val="14"/>
                <w:color w:val="auto"/>
              </w:rPr>
              <w:t>December 31, 2014</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B6EAFC"/>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Category</w:t>
            </w:r>
          </w:p>
        </w:tc>
        <w:tc>
          <w:tcPr>
            <w:tcW w:w="260" w:type="dxa"/>
            <w:vAlign w:val="bottom"/>
            <w:tcBorders>
              <w:bottom w:val="single" w:sz="8" w:color="B6EA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color w:val="auto"/>
              </w:rPr>
              <w:t>December 31, 2013</w:t>
            </w:r>
          </w:p>
        </w:tc>
        <w:tc>
          <w:tcPr>
            <w:tcW w:w="220" w:type="dxa"/>
            <w:vAlign w:val="bottom"/>
            <w:tcBorders>
              <w:bottom w:val="single" w:sz="8" w:color="B6EAFC"/>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Category</w:t>
            </w:r>
          </w:p>
        </w:tc>
        <w:tc>
          <w:tcPr>
            <w:tcW w:w="260" w:type="dxa"/>
            <w:vAlign w:val="bottom"/>
            <w:tcBorders>
              <w:bottom w:val="single" w:sz="8" w:color="B6EA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B6EAFC"/>
            </w:tcBorders>
          </w:tcPr>
          <w:p>
            <w:pPr>
              <w:spacing w:after="0"/>
              <w:rPr>
                <w:sz w:val="16"/>
                <w:szCs w:val="16"/>
                <w:color w:val="auto"/>
              </w:rPr>
            </w:pPr>
          </w:p>
        </w:tc>
        <w:tc>
          <w:tcPr>
            <w:tcW w:w="8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B6EAFC"/>
          </w:tcPr>
          <w:p>
            <w:pPr>
              <w:spacing w:after="0"/>
              <w:rPr>
                <w:sz w:val="20"/>
                <w:szCs w:val="20"/>
                <w:color w:val="auto"/>
              </w:rPr>
            </w:pPr>
            <w:r>
              <w:rPr>
                <w:rFonts w:ascii="Times New Roman" w:cs="Times New Roman" w:eastAsia="Times New Roman" w:hAnsi="Times New Roman"/>
                <w:sz w:val="16"/>
                <w:szCs w:val="16"/>
                <w:color w:val="auto"/>
              </w:rPr>
              <w:t>R&amp;D - compensation-related</w:t>
            </w:r>
          </w:p>
        </w:tc>
        <w:tc>
          <w:tcPr>
            <w:tcW w:w="1620" w:type="dxa"/>
            <w:vAlign w:val="bottom"/>
            <w:shd w:val="clear" w:color="auto" w:fill="B6EAFC"/>
          </w:tcPr>
          <w:p>
            <w:pPr>
              <w:jc w:val="right"/>
              <w:ind w:right="146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220" w:type="dxa"/>
            <w:vAlign w:val="bottom"/>
            <w:shd w:val="clear" w:color="auto" w:fill="B6EAFC"/>
          </w:tcPr>
          <w:p>
            <w:pPr>
              <w:spacing w:after="0"/>
              <w:rPr>
                <w:sz w:val="18"/>
                <w:szCs w:val="18"/>
                <w:color w:val="auto"/>
              </w:rPr>
            </w:pPr>
          </w:p>
        </w:tc>
        <w:tc>
          <w:tcPr>
            <w:tcW w:w="120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shd w:val="clear" w:color="auto" w:fill="B6EA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220" w:type="dxa"/>
            <w:vAlign w:val="bottom"/>
            <w:shd w:val="clear" w:color="auto" w:fill="B6EAFC"/>
          </w:tcPr>
          <w:p>
            <w:pPr>
              <w:spacing w:after="0"/>
              <w:rPr>
                <w:sz w:val="18"/>
                <w:szCs w:val="18"/>
                <w:color w:val="auto"/>
              </w:rPr>
            </w:pPr>
          </w:p>
        </w:tc>
        <w:tc>
          <w:tcPr>
            <w:tcW w:w="108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shd w:val="clear" w:color="auto" w:fill="B6EA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240" w:type="dxa"/>
            <w:vAlign w:val="bottom"/>
            <w:shd w:val="clear" w:color="auto" w:fill="B6EAFC"/>
          </w:tcPr>
          <w:p>
            <w:pPr>
              <w:spacing w:after="0"/>
              <w:rPr>
                <w:sz w:val="18"/>
                <w:szCs w:val="18"/>
                <w:color w:val="auto"/>
              </w:rPr>
            </w:pPr>
          </w:p>
        </w:tc>
        <w:tc>
          <w:tcPr>
            <w:tcW w:w="11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G&amp;A - compensation-related</w:t>
            </w:r>
          </w:p>
        </w:tc>
        <w:tc>
          <w:tcPr>
            <w:tcW w:w="1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vMerge w:val="continue"/>
            <w:shd w:val="clear" w:color="auto" w:fill="B6EAFC"/>
          </w:tcPr>
          <w:p>
            <w:pPr>
              <w:spacing w:after="0"/>
              <w:rPr>
                <w:sz w:val="18"/>
                <w:szCs w:val="18"/>
                <w:color w:val="auto"/>
              </w:rPr>
            </w:pPr>
          </w:p>
        </w:tc>
        <w:tc>
          <w:tcPr>
            <w:tcW w:w="1620" w:type="dxa"/>
            <w:vAlign w:val="bottom"/>
            <w:shd w:val="clear" w:color="auto" w:fill="B6EAFC"/>
          </w:tcPr>
          <w:p>
            <w:pPr>
              <w:jc w:val="right"/>
              <w:ind w:right="146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220" w:type="dxa"/>
            <w:vAlign w:val="bottom"/>
            <w:shd w:val="clear" w:color="auto" w:fill="B6EAFC"/>
          </w:tcPr>
          <w:p>
            <w:pPr>
              <w:spacing w:after="0"/>
              <w:rPr>
                <w:sz w:val="18"/>
                <w:szCs w:val="18"/>
                <w:color w:val="auto"/>
              </w:rPr>
            </w:pPr>
          </w:p>
        </w:tc>
        <w:tc>
          <w:tcPr>
            <w:tcW w:w="120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B6EA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220" w:type="dxa"/>
            <w:vAlign w:val="bottom"/>
            <w:shd w:val="clear" w:color="auto" w:fill="B6EAFC"/>
          </w:tcPr>
          <w:p>
            <w:pPr>
              <w:spacing w:after="0"/>
              <w:rPr>
                <w:sz w:val="18"/>
                <w:szCs w:val="18"/>
                <w:color w:val="auto"/>
              </w:rPr>
            </w:pPr>
          </w:p>
        </w:tc>
        <w:tc>
          <w:tcPr>
            <w:tcW w:w="108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B6EA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240" w:type="dxa"/>
            <w:vAlign w:val="bottom"/>
            <w:shd w:val="clear" w:color="auto" w:fill="B6EAFC"/>
          </w:tcPr>
          <w:p>
            <w:pPr>
              <w:spacing w:after="0"/>
              <w:rPr>
                <w:sz w:val="18"/>
                <w:szCs w:val="18"/>
                <w:color w:val="auto"/>
              </w:rPr>
            </w:pPr>
          </w:p>
        </w:tc>
        <w:tc>
          <w:tcPr>
            <w:tcW w:w="11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R&amp;D compensation expense increased by $1,036,000 from $1,330,000 during the three months ended December 31, 2013 to $2,366,000 during the current period. Increased headcount accounted for the majority of the change in compensation-related expense.</w:t>
      </w:r>
    </w:p>
    <w:p>
      <w:pPr>
        <w:spacing w:after="0" w:line="162"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G&amp;A compensation expense increased by $34,000 from $751,000 during the three months ended December 31, 2013 to $785,000 during the current period. The majority of this increase is due to a small increase in headcount and salary increases.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7" w:right="2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 Expenses – Three months ended December 31, 2014 compared to the three months ended December 31, 2013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our general and administrative expenses for the periods indicated: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64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00" w:type="dxa"/>
            <w:vAlign w:val="bottom"/>
            <w:vMerge w:val="restart"/>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20" w:type="dxa"/>
            <w:vAlign w:val="bottom"/>
            <w:tcBorders>
              <w:bottom w:val="single" w:sz="8" w:color="B6EA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B6EAFC"/>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B6EAFC"/>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B6EAFC"/>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B6EAFC"/>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B6EA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Professional/outside services</w:t>
            </w: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640" w:type="dxa"/>
            <w:vAlign w:val="bottom"/>
            <w:shd w:val="clear" w:color="auto" w:fill="B6EAFC"/>
          </w:tcPr>
          <w:p>
            <w:pPr>
              <w:jc w:val="right"/>
              <w:ind w:right="4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00" w:type="dxa"/>
            <w:vAlign w:val="bottom"/>
            <w:shd w:val="clear" w:color="auto" w:fill="B6EAFC"/>
          </w:tcPr>
          <w:p>
            <w:pPr>
              <w:spacing w:after="0"/>
              <w:rPr>
                <w:sz w:val="19"/>
                <w:szCs w:val="19"/>
                <w:color w:val="auto"/>
              </w:rPr>
            </w:pP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shd w:val="clear" w:color="auto" w:fill="B6EAFC"/>
          </w:tcPr>
          <w:p>
            <w:pPr>
              <w:spacing w:after="0"/>
              <w:rPr>
                <w:sz w:val="19"/>
                <w:szCs w:val="19"/>
                <w:color w:val="auto"/>
              </w:rPr>
            </w:pPr>
          </w:p>
        </w:tc>
        <w:tc>
          <w:tcPr>
            <w:tcW w:w="5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Business insurance</w:t>
            </w:r>
          </w:p>
        </w:tc>
        <w:tc>
          <w:tcPr>
            <w:tcW w:w="100" w:type="dxa"/>
            <w:vAlign w:val="bottom"/>
            <w:shd w:val="clear" w:color="auto" w:fill="B6EAFC"/>
          </w:tcPr>
          <w:p>
            <w:pPr>
              <w:spacing w:after="0"/>
              <w:rPr>
                <w:sz w:val="19"/>
                <w:szCs w:val="19"/>
                <w:color w:val="auto"/>
              </w:rPr>
            </w:pP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shd w:val="clear" w:color="auto" w:fill="B6EAFC"/>
          </w:tcPr>
          <w:p>
            <w:pPr>
              <w:spacing w:after="0"/>
              <w:rPr>
                <w:sz w:val="19"/>
                <w:szCs w:val="19"/>
                <w:color w:val="auto"/>
              </w:rPr>
            </w:pPr>
          </w:p>
        </w:tc>
        <w:tc>
          <w:tcPr>
            <w:tcW w:w="5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and Technology</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100" w:type="dxa"/>
            <w:vAlign w:val="bottom"/>
            <w:shd w:val="clear" w:color="auto" w:fill="B6EAFC"/>
          </w:tcPr>
          <w:p>
            <w:pPr>
              <w:spacing w:after="0"/>
              <w:rPr>
                <w:sz w:val="19"/>
                <w:szCs w:val="19"/>
                <w:color w:val="auto"/>
              </w:rPr>
            </w:pP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shd w:val="clear" w:color="auto" w:fill="B6EAFC"/>
          </w:tcPr>
          <w:p>
            <w:pPr>
              <w:spacing w:after="0"/>
              <w:rPr>
                <w:sz w:val="19"/>
                <w:szCs w:val="19"/>
                <w:color w:val="auto"/>
              </w:rPr>
            </w:pPr>
          </w:p>
        </w:tc>
        <w:tc>
          <w:tcPr>
            <w:tcW w:w="5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2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shd w:val="clear" w:color="auto" w:fill="B6EAFC"/>
          </w:tcPr>
          <w:p>
            <w:pPr>
              <w:jc w:val="right"/>
              <w:ind w:right="4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increased by $846,000 from $407,000 during the three months ended December 31, 2013 to $1,253,000 during the current period. The increase in professional fees primarily related to professional recruiting fees for the hiring of additional R&amp;D personnel to support and expand our clinical pipeline. Additionally, the Company incurred higher attorney’s fees related to recent litigation events. See Note 6 – Commitments and Contingencies for further discussion.</w:t>
      </w:r>
    </w:p>
    <w:p>
      <w:pPr>
        <w:spacing w:after="0" w:line="184"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Patent expense increased by $45,000 from $132,000 during the three months ended December 31, 2013 to $177,000 during the current period. The Company continues to invest in patent protection for its DPC technology, related product candidates and other RNAi technology through patent filings in multiple countries. The Company expects to extend and maintain protection for its current portfolios, as appropriate, and file new patent applications as technologies are developed and improved.</w:t>
      </w:r>
    </w:p>
    <w:p>
      <w:pPr>
        <w:spacing w:after="0" w:line="180" w:lineRule="exact"/>
        <w:rPr>
          <w:sz w:val="20"/>
          <w:szCs w:val="20"/>
          <w:color w:val="auto"/>
        </w:rPr>
      </w:pPr>
    </w:p>
    <w:p>
      <w:pPr>
        <w:ind w:right="940" w:firstLine="518"/>
        <w:spacing w:after="0" w:line="282" w:lineRule="auto"/>
        <w:rPr>
          <w:sz w:val="20"/>
          <w:szCs w:val="20"/>
          <w:color w:val="auto"/>
        </w:rPr>
      </w:pPr>
      <w:r>
        <w:rPr>
          <w:rFonts w:ascii="Times New Roman" w:cs="Times New Roman" w:eastAsia="Times New Roman" w:hAnsi="Times New Roman"/>
          <w:sz w:val="18"/>
          <w:szCs w:val="18"/>
          <w:color w:val="auto"/>
        </w:rPr>
        <w:t>Facilities-related expense increased by $29,000 from $47,000 during the three months ended December 31, 2013 to $76,000 in the current period. Facilities expense increased due to the expansion of our corporate headquarters in Pasadena.</w:t>
      </w:r>
    </w:p>
    <w:p>
      <w:pPr>
        <w:spacing w:after="0" w:line="162"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Travel expense increased by $86,000 from $100,000 during the three months ended December 31, 2013 to $186,000 during the current period. Travel expense increased due to travel in support of our R&amp;D function, primarily our GMP manufacturing campaign and our clinical trials.</w:t>
      </w:r>
    </w:p>
    <w:p>
      <w:pPr>
        <w:spacing w:after="0" w:line="162"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Business insurance expense increased by $51,000 from $55,000 during the three months ended December 31, 2013 to $106,000 during the current period. Business insurance costs increased primarily related to added coverage related to the Company’s clinical trials.</w:t>
      </w:r>
    </w:p>
    <w:p>
      <w:pPr>
        <w:spacing w:after="0" w:line="162"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Communication and technology expense increased by $97,000 from $57,000 during the three months ended December 31, 2013 to $154,000 during the current period. The increase was related to the cost associated with new equipment related to new employees as well as upgrades to the Company’s networks.</w:t>
      </w:r>
    </w:p>
    <w:p>
      <w:pPr>
        <w:spacing w:after="0" w:line="176"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Office expense increased by $22,000 from $57,000 during the three months ended December 31, 2013 to $79,000 during the current period. The increase was related to conferences/training, office supplies, miscellaneous administrative expenses, and expenses related to office expansions at our R&amp;D facility in Madison and our corporate headquarters in Pasadena.</w:t>
      </w:r>
    </w:p>
    <w:p>
      <w:pPr>
        <w:spacing w:after="0" w:line="176"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Other expense was consistent at $59,000 during the three months ended December 31, 2013 and $55,000 during the current period. This category consists primarily of conference attendance fees, franchise and property tax expenses and marketing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4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Stock-based compensation expense, a noncash expense, was $2,015,000 during the three months ended December 31, 2014, compared to $521,000 during the comparable prior period. Stock-based compensation expense is based upon the valuation of stock options granted to employees, directors, and certain consultants. Many variables affect the amount expensed, including the Company’s stock price on the date of the grant, as well as other assumptions. Based on the additional options and restricted stock units granted to new and existing employees in fiscal 2014, compensation expense has increased from the prior year.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a noncash expense, was $290,000 during the three months ended December 31, 2014, compared to $403,000 during the comparable prior period. The majority of depreciation and amortization expense relates to depreciation on lab equipment obtained as part of the acquisition of Roche Madison in 2011. In addition, the Company records depreciation on leasehold improvements at its Madison research facility and its Pasadena corporate headquarters.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Other income / expense was income of $2,540,000 during the three months ended December 31, 2014, compared to expense of $3,676,000 in the comparable prior period. The primary component of other expense during each period was a change in the value of derivative liabilities related to certain warrants with a price adjustment feature, necessitating derivative accounting. During 2014, this change resulted in non-cash income of $2,382,000 whereas in the prior period it resulted in a non-cash expense of $3,520,000.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Resources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Arrowhead has historically financed its operations through the sale of securities of Arrowhead and its Subsidiaries. Research and development activities have required significant capital investment since the Company’s inception, and are expected to continue to require significant cash investment in fiscal 2015 and beyond.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2014, the Company had cash on hand of approximately $104.0 million as compared to $132.5 million at September 30,</w:t>
      </w:r>
    </w:p>
    <w:p>
      <w:pPr>
        <w:spacing w:after="0" w:line="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2014. Excess cash invested in fixed income securities was $41.3 million at December 31, 2014, compared to $44.7 million at September 30, 2014. The Company believes its current financial resources are sufficient to fund its operations through at least the next twelve months.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cash flows for the three months ended December 31, 2014 and 2013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Continuing Operations:</w:t>
            </w:r>
          </w:p>
        </w:tc>
        <w:tc>
          <w:tcPr>
            <w:tcW w:w="6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(24,200,006)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(7,022,332)</w:t>
            </w: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(4,499,671)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(15,145,565)</w:t>
            </w: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62,766,877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(28,519,379)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40,598,980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132,510,610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19,114,444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103,991,231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59,713,424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2014, the Company used $24.2 million in cash from operating activities, which represents the on-going expenses of its research and development programs and corporate overhead. Cash outlays were primarily composed of the following: research and development costs were $18.9 million, salary and payroll-related expenses were $3.2 million, and general and administrative costs were $2.1 million. Cash used by investing activities was $4.5 million, primarily related to other investing activities of $7.0 million and capital expenditures of $0.6 million, partially offset by maturities on fixed income securities of $3.1 million. Cash provided by financing activities of $0.2 million was driven by cash received from the exercise of warrants and stock options.</w:t>
      </w:r>
    </w:p>
    <w:p>
      <w:pPr>
        <w:spacing w:after="0" w:line="188"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2013, the Company used $7.0 million in cash from operating activities, which represents the on-going expenses of its research and development programs and corporate overhead. Cash outlays were primarily composed of the following: research and development costs were $4.0 million, salary and payroll-related expenses were $2.1 million, and general and administrative costs were $0.9 million. Cash used by investing activities was $15.1 million, primarily related to net cash investments in fixed income securities of $15.0 million. Capital expenditures were $0.1 million. Cash provided by financing activities of $62.8 million includes $62.8 million of cash received from equity financings by the Company during 2013.</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41"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 or relationships.</w:t>
      </w:r>
    </w:p>
    <w:p>
      <w:pPr>
        <w:spacing w:after="0" w:line="37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exposure to market risk from that described in Item 7A of our Annual Report on Form 10-K for the year ended September 30, 2014, filed with the Securities and Exchange Commission on November 25, 2014.</w:t>
      </w:r>
    </w:p>
    <w:p>
      <w:pPr>
        <w:spacing w:after="0" w:line="26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41" w:right="25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 We believe there is no litigation pending that could, individually or in the aggregate, have a material adverse effect on our results of operations or financial condition. The information contained in Note 6 to the Consolidated Financial Statements under the heading “Litigation” in Part I, Item 1 is incorporated herein by reference.</w:t>
      </w:r>
    </w:p>
    <w:p>
      <w:pPr>
        <w:spacing w:after="0" w:line="28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our Annual Report on Form 10-K for the year ended September 30, 2014. Please carefully consider the information set forth in this Quarterly Report on Form 10-Q and the risk factors discussed in Part I, “Item 1A. Risk Factors” in our Annual Report on Form 10-K for the year ended September 30, 2014,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117"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82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4"/>
                <w:szCs w:val="24"/>
                <w:color w:val="auto"/>
              </w:rPr>
            </w:pPr>
          </w:p>
        </w:tc>
        <w:tc>
          <w:tcPr>
            <w:tcW w:w="10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r>
        <w:trPr>
          <w:trHeight w:val="319"/>
        </w:trPr>
        <w:tc>
          <w:tcPr>
            <w:tcW w:w="8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r>
        <w:trPr>
          <w:trHeight w:val="319"/>
        </w:trPr>
        <w:tc>
          <w:tcPr>
            <w:tcW w:w="8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319"/>
        </w:trPr>
        <w:tc>
          <w:tcPr>
            <w:tcW w:w="8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95"/>
              </w:rPr>
              <w:t>32.2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20" w:right="520" w:hanging="912"/>
        <w:spacing w:after="0" w:line="266"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Registrant’s Quarterly Report on Form 10-Q for the quarter ended December 31, 2014,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0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51"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7" w:name="page28"/>
    <w:bookmarkEnd w:id="27"/>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2015</w:t>
      </w:r>
    </w:p>
    <w:p>
      <w:pPr>
        <w:spacing w:after="0" w:line="25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ARROWHEAD RESEARCH CORPORATION</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Kenneth A. Myszkowski</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240" w:top="117" w:right="41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PURSUANT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Anzalone, Chief Executive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Arrowhead Research Corporation;</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501"/>
        <w:spacing w:after="0" w:line="266" w:lineRule="auto"/>
        <w:tabs>
          <w:tab w:leader="none" w:pos="12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501"/>
        <w:spacing w:after="0" w:line="266" w:lineRule="auto"/>
        <w:tabs>
          <w:tab w:leader="none" w:pos="126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60" w:firstLine="501"/>
        <w:spacing w:after="0" w:line="282" w:lineRule="auto"/>
        <w:tabs>
          <w:tab w:leader="none" w:pos="12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420" w:firstLine="501"/>
        <w:spacing w:after="0" w:line="266" w:lineRule="auto"/>
        <w:tabs>
          <w:tab w:leader="none" w:pos="126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80" w:firstLine="501"/>
        <w:spacing w:after="0" w:line="282" w:lineRule="auto"/>
        <w:tabs>
          <w:tab w:leader="none" w:pos="124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360" w:firstLine="501"/>
        <w:spacing w:after="0" w:line="282" w:lineRule="auto"/>
        <w:tabs>
          <w:tab w:leader="none" w:pos="12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2015</w:t>
      </w:r>
    </w:p>
    <w:p>
      <w:pPr>
        <w:spacing w:after="0" w:line="23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/s/ CHRISTOPHER ANZALONE</w:t>
      </w:r>
    </w:p>
    <w:p>
      <w:pPr>
        <w:spacing w:after="0" w:line="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347"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PURSUANT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Myszkowski, Chief Financial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Arrowhead Research Corporation;</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60" w:firstLine="499"/>
        <w:spacing w:after="0" w:line="282" w:lineRule="auto"/>
        <w:tabs>
          <w:tab w:leader="none" w:pos="125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420" w:firstLine="499"/>
        <w:spacing w:after="0" w:line="266" w:lineRule="auto"/>
        <w:tabs>
          <w:tab w:leader="none" w:pos="12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80" w:firstLine="499"/>
        <w:spacing w:after="0" w:line="282" w:lineRule="auto"/>
        <w:tabs>
          <w:tab w:leader="none" w:pos="124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360" w:firstLine="499"/>
        <w:spacing w:after="0" w:line="282" w:lineRule="auto"/>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2015</w:t>
      </w:r>
    </w:p>
    <w:p>
      <w:pPr>
        <w:spacing w:after="0" w:line="23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34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 Christopher Anzalone, Chief Executive Officer of Arrowhead Research Corporation (the “Company”), certify, pursuant to Rule 13(a)-14(b) or Rule 15(d)-14(b) of the Securities Exchange Act of 1934 and 18 U.S.C. Section 1350, that (i) the Quarterly Report on Form 10-Q of the Company for the quarterly period ended December 31, 2014,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2015</w:t>
      </w:r>
    </w:p>
    <w:p>
      <w:pPr>
        <w:spacing w:after="0" w:line="23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/s/ CHRISTOPHER ANZALONE</w:t>
      </w:r>
    </w:p>
    <w:p>
      <w:pPr>
        <w:spacing w:after="0" w:line="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333"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right="320" w:firstLine="518"/>
        <w:spacing w:after="0" w:line="272" w:lineRule="auto"/>
        <w:rPr>
          <w:sz w:val="20"/>
          <w:szCs w:val="20"/>
          <w:color w:val="auto"/>
        </w:rPr>
      </w:pPr>
      <w:r>
        <w:rPr>
          <w:rFonts w:ascii="Times New Roman" w:cs="Times New Roman" w:eastAsia="Times New Roman" w:hAnsi="Times New Roman"/>
          <w:sz w:val="17"/>
          <w:szCs w:val="17"/>
          <w:color w:val="auto"/>
        </w:rPr>
        <w:t>I, Kenneth A. Myszkowski, Chief Financial Officer of Arrowhead Research Corporation (the “Company”), certify, pursuant to Rule 13(a)-14(b) or Rule 15(d)-14(b) of the Securities Exchange Act of 1934 and 18 U.S.C. Section 1350, that (i) the Quarterly Report on Form 10-Q of the Company for the quarterly period ended December 31, 2014, fully complies with the requirements of Section 13(a) or 15(d) of the Securities Exchange Act of 1934, and</w:t>
      </w:r>
    </w:p>
    <w:p>
      <w:pPr>
        <w:spacing w:after="0" w:line="2" w:lineRule="exact"/>
        <w:rPr>
          <w:sz w:val="20"/>
          <w:szCs w:val="20"/>
          <w:color w:val="auto"/>
        </w:rPr>
      </w:pPr>
    </w:p>
    <w:p>
      <w:pPr>
        <w:ind w:right="180" w:firstLine="8"/>
        <w:spacing w:after="0" w:line="261"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Quarterly Report on Form 10-Q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2015</w:t>
      </w:r>
    </w:p>
    <w:p>
      <w:pPr>
        <w:spacing w:after="0" w:line="23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0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2019-12-29T18:21:55Z</dcterms:created>
  <dcterms:modified xsi:type="dcterms:W3CDTF">2019-12-29T18:21:55Z</dcterms:modified>
</cp:coreProperties>
</file>