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80" w:type="dxa"/>
            <w:vAlign w:val="bottom"/>
          </w:tcPr>
          <w:p>
            <w:pPr>
              <w:spacing w:after="0"/>
              <w:rPr>
                <w:sz w:val="21"/>
                <w:szCs w:val="21"/>
                <w:color w:val="auto"/>
              </w:rPr>
            </w:pPr>
          </w:p>
        </w:tc>
        <w:tc>
          <w:tcPr>
            <w:tcW w:w="5540" w:type="dxa"/>
            <w:vAlign w:val="bottom"/>
          </w:tcPr>
          <w:p>
            <w:pPr>
              <w:jc w:val="center"/>
              <w:ind w:left="1076"/>
              <w:spacing w:after="0"/>
              <w:rPr>
                <w:sz w:val="20"/>
                <w:szCs w:val="20"/>
                <w:color w:val="auto"/>
              </w:rPr>
            </w:pPr>
            <w:r>
              <w:rPr>
                <w:rFonts w:ascii="Arial" w:cs="Arial" w:eastAsia="Arial" w:hAnsi="Arial"/>
                <w:sz w:val="21"/>
                <w:szCs w:val="21"/>
                <w:b w:val="1"/>
                <w:bCs w:val="1"/>
                <w:color w:val="auto"/>
                <w:w w:val="97"/>
              </w:rPr>
              <w:t>UNITED STATES</w:t>
            </w:r>
          </w:p>
        </w:tc>
      </w:tr>
      <w:tr>
        <w:trPr>
          <w:trHeight w:val="266"/>
        </w:trPr>
        <w:tc>
          <w:tcPr>
            <w:tcW w:w="2280" w:type="dxa"/>
            <w:vAlign w:val="bottom"/>
          </w:tcPr>
          <w:p>
            <w:pPr>
              <w:spacing w:after="0"/>
              <w:rPr>
                <w:sz w:val="23"/>
                <w:szCs w:val="23"/>
                <w:color w:val="auto"/>
              </w:rPr>
            </w:pPr>
          </w:p>
        </w:tc>
        <w:tc>
          <w:tcPr>
            <w:tcW w:w="5540" w:type="dxa"/>
            <w:vAlign w:val="bottom"/>
          </w:tcPr>
          <w:p>
            <w:pPr>
              <w:jc w:val="center"/>
              <w:ind w:left="1056"/>
              <w:spacing w:after="0"/>
              <w:rPr>
                <w:sz w:val="20"/>
                <w:szCs w:val="20"/>
                <w:color w:val="auto"/>
              </w:rPr>
            </w:pPr>
            <w:r>
              <w:rPr>
                <w:rFonts w:ascii="Arial" w:cs="Arial" w:eastAsia="Arial" w:hAnsi="Arial"/>
                <w:sz w:val="21"/>
                <w:szCs w:val="21"/>
                <w:b w:val="1"/>
                <w:bCs w:val="1"/>
                <w:color w:val="auto"/>
                <w:w w:val="98"/>
              </w:rPr>
              <w:t>SECURITIES AND EXCHANGE COMMISSION</w:t>
            </w:r>
          </w:p>
        </w:tc>
      </w:tr>
      <w:tr>
        <w:trPr>
          <w:trHeight w:val="196"/>
        </w:trPr>
        <w:tc>
          <w:tcPr>
            <w:tcW w:w="2280" w:type="dxa"/>
            <w:vAlign w:val="bottom"/>
          </w:tcPr>
          <w:p>
            <w:pPr>
              <w:spacing w:after="0"/>
              <w:rPr>
                <w:sz w:val="17"/>
                <w:szCs w:val="17"/>
                <w:color w:val="auto"/>
              </w:rPr>
            </w:pPr>
          </w:p>
        </w:tc>
        <w:tc>
          <w:tcPr>
            <w:tcW w:w="5540" w:type="dxa"/>
            <w:vAlign w:val="bottom"/>
          </w:tcPr>
          <w:p>
            <w:pPr>
              <w:jc w:val="center"/>
              <w:ind w:left="1076"/>
              <w:spacing w:after="0"/>
              <w:rPr>
                <w:sz w:val="20"/>
                <w:szCs w:val="20"/>
                <w:color w:val="auto"/>
              </w:rPr>
            </w:pPr>
            <w:r>
              <w:rPr>
                <w:rFonts w:ascii="Arial" w:cs="Arial" w:eastAsia="Arial" w:hAnsi="Arial"/>
                <w:sz w:val="14"/>
                <w:szCs w:val="14"/>
                <w:b w:val="1"/>
                <w:bCs w:val="1"/>
                <w:color w:val="auto"/>
              </w:rPr>
              <w:t>Washington, D.C. 20549</w:t>
            </w:r>
          </w:p>
        </w:tc>
      </w:tr>
      <w:tr>
        <w:trPr>
          <w:trHeight w:val="321"/>
        </w:trPr>
        <w:tc>
          <w:tcPr>
            <w:tcW w:w="2280" w:type="dxa"/>
            <w:vAlign w:val="bottom"/>
          </w:tcPr>
          <w:p>
            <w:pPr>
              <w:spacing w:after="0"/>
              <w:rPr>
                <w:sz w:val="24"/>
                <w:szCs w:val="24"/>
                <w:color w:val="auto"/>
              </w:rPr>
            </w:pPr>
          </w:p>
        </w:tc>
        <w:tc>
          <w:tcPr>
            <w:tcW w:w="5540" w:type="dxa"/>
            <w:vAlign w:val="bottom"/>
          </w:tcPr>
          <w:p>
            <w:pPr>
              <w:jc w:val="center"/>
              <w:ind w:left="1076"/>
              <w:spacing w:after="0"/>
              <w:rPr>
                <w:sz w:val="20"/>
                <w:szCs w:val="20"/>
                <w:color w:val="auto"/>
              </w:rPr>
            </w:pPr>
            <w:r>
              <w:rPr>
                <w:rFonts w:ascii="Arial" w:cs="Arial" w:eastAsia="Arial" w:hAnsi="Arial"/>
                <w:sz w:val="21"/>
                <w:szCs w:val="21"/>
                <w:b w:val="1"/>
                <w:bCs w:val="1"/>
                <w:color w:val="auto"/>
                <w:w w:val="98"/>
              </w:rPr>
              <w:t>SCHEDULE 14A</w:t>
            </w:r>
          </w:p>
        </w:tc>
      </w:tr>
      <w:tr>
        <w:trPr>
          <w:trHeight w:val="247"/>
        </w:trPr>
        <w:tc>
          <w:tcPr>
            <w:tcW w:w="2280" w:type="dxa"/>
            <w:vAlign w:val="bottom"/>
          </w:tcPr>
          <w:p>
            <w:pPr>
              <w:spacing w:after="0"/>
              <w:rPr>
                <w:sz w:val="21"/>
                <w:szCs w:val="21"/>
                <w:color w:val="auto"/>
              </w:rPr>
            </w:pPr>
          </w:p>
        </w:tc>
        <w:tc>
          <w:tcPr>
            <w:tcW w:w="5540" w:type="dxa"/>
            <w:vAlign w:val="bottom"/>
          </w:tcPr>
          <w:p>
            <w:pPr>
              <w:jc w:val="center"/>
              <w:ind w:left="1076"/>
              <w:spacing w:after="0"/>
              <w:rPr>
                <w:sz w:val="20"/>
                <w:szCs w:val="20"/>
                <w:color w:val="auto"/>
              </w:rPr>
            </w:pPr>
            <w:r>
              <w:rPr>
                <w:rFonts w:ascii="Arial" w:cs="Arial" w:eastAsia="Arial" w:hAnsi="Arial"/>
                <w:sz w:val="18"/>
                <w:szCs w:val="18"/>
                <w:b w:val="1"/>
                <w:bCs w:val="1"/>
                <w:color w:val="auto"/>
                <w:w w:val="99"/>
              </w:rPr>
              <w:t>(Rule 14a-101)</w:t>
            </w:r>
          </w:p>
        </w:tc>
      </w:tr>
      <w:tr>
        <w:trPr>
          <w:trHeight w:val="287"/>
        </w:trPr>
        <w:tc>
          <w:tcPr>
            <w:tcW w:w="2280" w:type="dxa"/>
            <w:vAlign w:val="bottom"/>
          </w:tcPr>
          <w:p>
            <w:pPr>
              <w:spacing w:after="0"/>
              <w:rPr>
                <w:sz w:val="24"/>
                <w:szCs w:val="24"/>
                <w:color w:val="auto"/>
              </w:rPr>
            </w:pPr>
          </w:p>
        </w:tc>
        <w:tc>
          <w:tcPr>
            <w:tcW w:w="5540" w:type="dxa"/>
            <w:vAlign w:val="bottom"/>
          </w:tcPr>
          <w:p>
            <w:pPr>
              <w:jc w:val="center"/>
              <w:ind w:left="1056"/>
              <w:spacing w:after="0"/>
              <w:rPr>
                <w:sz w:val="20"/>
                <w:szCs w:val="20"/>
                <w:color w:val="auto"/>
              </w:rPr>
            </w:pPr>
            <w:r>
              <w:rPr>
                <w:rFonts w:ascii="Arial" w:cs="Arial" w:eastAsia="Arial" w:hAnsi="Arial"/>
                <w:sz w:val="15"/>
                <w:szCs w:val="15"/>
                <w:b w:val="1"/>
                <w:bCs w:val="1"/>
                <w:color w:val="auto"/>
              </w:rPr>
              <w:t>INFORMATION REQUIRED IN PROXY STATEMENT</w:t>
            </w:r>
          </w:p>
        </w:tc>
      </w:tr>
      <w:tr>
        <w:trPr>
          <w:trHeight w:val="297"/>
        </w:trPr>
        <w:tc>
          <w:tcPr>
            <w:tcW w:w="2280" w:type="dxa"/>
            <w:vAlign w:val="bottom"/>
          </w:tcPr>
          <w:p>
            <w:pPr>
              <w:spacing w:after="0"/>
              <w:rPr>
                <w:sz w:val="24"/>
                <w:szCs w:val="24"/>
                <w:color w:val="auto"/>
              </w:rPr>
            </w:pPr>
          </w:p>
        </w:tc>
        <w:tc>
          <w:tcPr>
            <w:tcW w:w="5540" w:type="dxa"/>
            <w:vAlign w:val="bottom"/>
          </w:tcPr>
          <w:p>
            <w:pPr>
              <w:jc w:val="center"/>
              <w:ind w:left="1056"/>
              <w:spacing w:after="0"/>
              <w:rPr>
                <w:sz w:val="20"/>
                <w:szCs w:val="20"/>
                <w:color w:val="auto"/>
              </w:rPr>
            </w:pPr>
            <w:r>
              <w:rPr>
                <w:rFonts w:ascii="Arial" w:cs="Arial" w:eastAsia="Arial" w:hAnsi="Arial"/>
                <w:sz w:val="15"/>
                <w:szCs w:val="15"/>
                <w:b w:val="1"/>
                <w:bCs w:val="1"/>
                <w:color w:val="auto"/>
              </w:rPr>
              <w:t>SCHEDULE 14A INFORMATION</w:t>
            </w:r>
          </w:p>
        </w:tc>
      </w:tr>
      <w:tr>
        <w:trPr>
          <w:trHeight w:val="259"/>
        </w:trPr>
        <w:tc>
          <w:tcPr>
            <w:tcW w:w="2280" w:type="dxa"/>
            <w:vAlign w:val="bottom"/>
          </w:tcPr>
          <w:p>
            <w:pPr>
              <w:spacing w:after="0"/>
              <w:rPr>
                <w:sz w:val="22"/>
                <w:szCs w:val="22"/>
                <w:color w:val="auto"/>
              </w:rPr>
            </w:pPr>
          </w:p>
        </w:tc>
        <w:tc>
          <w:tcPr>
            <w:tcW w:w="5540" w:type="dxa"/>
            <w:vAlign w:val="bottom"/>
          </w:tcPr>
          <w:p>
            <w:pPr>
              <w:jc w:val="center"/>
              <w:ind w:left="1076"/>
              <w:spacing w:after="0"/>
              <w:rPr>
                <w:sz w:val="20"/>
                <w:szCs w:val="20"/>
                <w:color w:val="auto"/>
              </w:rPr>
            </w:pPr>
            <w:r>
              <w:rPr>
                <w:rFonts w:ascii="Arial" w:cs="Arial" w:eastAsia="Arial" w:hAnsi="Arial"/>
                <w:sz w:val="14"/>
                <w:szCs w:val="14"/>
                <w:b w:val="1"/>
                <w:bCs w:val="1"/>
                <w:color w:val="auto"/>
              </w:rPr>
              <w:t>Proxy Statement Pursuant to Section 14(a) of the</w:t>
            </w:r>
          </w:p>
        </w:tc>
      </w:tr>
      <w:tr>
        <w:trPr>
          <w:trHeight w:val="196"/>
        </w:trPr>
        <w:tc>
          <w:tcPr>
            <w:tcW w:w="2280" w:type="dxa"/>
            <w:vAlign w:val="bottom"/>
          </w:tcPr>
          <w:p>
            <w:pPr>
              <w:spacing w:after="0"/>
              <w:rPr>
                <w:sz w:val="17"/>
                <w:szCs w:val="17"/>
                <w:color w:val="auto"/>
              </w:rPr>
            </w:pPr>
          </w:p>
        </w:tc>
        <w:tc>
          <w:tcPr>
            <w:tcW w:w="5540" w:type="dxa"/>
            <w:vAlign w:val="bottom"/>
          </w:tcPr>
          <w:p>
            <w:pPr>
              <w:jc w:val="center"/>
              <w:ind w:left="1076"/>
              <w:spacing w:after="0"/>
              <w:rPr>
                <w:sz w:val="20"/>
                <w:szCs w:val="20"/>
                <w:color w:val="auto"/>
              </w:rPr>
            </w:pPr>
            <w:r>
              <w:rPr>
                <w:rFonts w:ascii="Arial" w:cs="Arial" w:eastAsia="Arial" w:hAnsi="Arial"/>
                <w:sz w:val="14"/>
                <w:szCs w:val="14"/>
                <w:b w:val="1"/>
                <w:bCs w:val="1"/>
                <w:color w:val="auto"/>
              </w:rPr>
              <w:t>Securities Exchange Act of 1934</w:t>
            </w:r>
          </w:p>
        </w:tc>
      </w:tr>
      <w:tr>
        <w:trPr>
          <w:trHeight w:val="290"/>
        </w:trPr>
        <w:tc>
          <w:tcPr>
            <w:tcW w:w="228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5540" w:type="dxa"/>
            <w:vAlign w:val="bottom"/>
          </w:tcPr>
          <w:p>
            <w:pPr>
              <w:ind w:left="54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71"/>
        </w:trPr>
        <w:tc>
          <w:tcPr>
            <w:tcW w:w="228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5540" w:type="dxa"/>
            <w:vAlign w:val="bottom"/>
          </w:tcPr>
          <w:p>
            <w:pPr>
              <w:spacing w:after="0"/>
              <w:rPr>
                <w:sz w:val="23"/>
                <w:szCs w:val="23"/>
                <w:color w:val="auto"/>
              </w:rPr>
            </w:pPr>
          </w:p>
        </w:tc>
      </w:tr>
    </w:tbl>
    <w:p>
      <w:pPr>
        <w:spacing w:after="0" w:line="147" w:lineRule="exact"/>
        <w:rPr>
          <w:sz w:val="24"/>
          <w:szCs w:val="2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14a-6(e)(2))</w:t>
      </w:r>
    </w:p>
    <w:p>
      <w:pPr>
        <w:spacing w:after="0" w:line="41" w:lineRule="exact"/>
        <w:rPr>
          <w:rFonts w:ascii="MS PGothic" w:cs="MS PGothic" w:eastAsia="MS PGothic" w:hAnsi="MS PGothic"/>
          <w:sz w:val="14"/>
          <w:szCs w:val="14"/>
          <w:color w:val="auto"/>
        </w:rPr>
      </w:pPr>
    </w:p>
    <w:p>
      <w:pPr>
        <w:ind w:left="2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ARROWHEAD PHARMACEUTICALS,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55" w:lineRule="exact"/>
        <w:rPr>
          <w:sz w:val="24"/>
          <w:szCs w:val="24"/>
          <w:color w:val="auto"/>
        </w:rPr>
      </w:pPr>
    </w:p>
    <w:p>
      <w:pPr>
        <w:ind w:left="620" w:hanging="593"/>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63" w:lineRule="exact"/>
        <w:rPr>
          <w:sz w:val="24"/>
          <w:szCs w:val="2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63" w:lineRule="exact"/>
        <w:rPr>
          <w:rFonts w:ascii="MS PGothic" w:cs="MS PGothic" w:eastAsia="MS PGothic" w:hAnsi="MS PGothic"/>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98" w:lineRule="exact"/>
        <w:rPr>
          <w:rFonts w:ascii="Arial" w:cs="Arial" w:eastAsia="Arial" w:hAnsi="Arial"/>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98" w:lineRule="exact"/>
        <w:rPr>
          <w:rFonts w:ascii="Arial" w:cs="Arial" w:eastAsia="Arial" w:hAnsi="Arial"/>
          <w:sz w:val="14"/>
          <w:szCs w:val="14"/>
          <w:color w:val="auto"/>
        </w:rPr>
      </w:pPr>
    </w:p>
    <w:p>
      <w:pPr>
        <w:ind w:left="1220" w:right="620" w:hanging="599"/>
        <w:spacing w:after="0" w:line="244" w:lineRule="auto"/>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66" w:lineRule="exact"/>
        <w:rPr>
          <w:rFonts w:ascii="Arial" w:cs="Arial" w:eastAsia="Arial" w:hAnsi="Arial"/>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98" w:lineRule="exact"/>
        <w:rPr>
          <w:rFonts w:ascii="Arial" w:cs="Arial" w:eastAsia="Arial" w:hAnsi="Arial"/>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84" w:lineRule="exact"/>
        <w:rPr>
          <w:rFonts w:ascii="Arial" w:cs="Arial" w:eastAsia="Arial" w:hAnsi="Arial"/>
          <w:sz w:val="14"/>
          <w:szCs w:val="1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63" w:lineRule="exact"/>
        <w:rPr>
          <w:rFonts w:ascii="MS PGothic" w:cs="MS PGothic" w:eastAsia="MS PGothic" w:hAnsi="MS PGothic"/>
          <w:sz w:val="14"/>
          <w:szCs w:val="14"/>
          <w:color w:val="auto"/>
        </w:rPr>
      </w:pPr>
    </w:p>
    <w:p>
      <w:pPr>
        <w:ind w:left="620" w:hanging="593"/>
        <w:spacing w:after="0" w:line="244" w:lineRule="auto"/>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98" w:lineRule="exact"/>
        <w:rPr>
          <w:rFonts w:ascii="Arial" w:cs="Arial" w:eastAsia="Arial" w:hAnsi="Arial"/>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98" w:lineRule="exact"/>
        <w:rPr>
          <w:rFonts w:ascii="Arial" w:cs="Arial" w:eastAsia="Arial" w:hAnsi="Arial"/>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98" w:lineRule="exact"/>
        <w:rPr>
          <w:rFonts w:ascii="Arial" w:cs="Arial" w:eastAsia="Arial" w:hAnsi="Arial"/>
          <w:sz w:val="14"/>
          <w:szCs w:val="14"/>
          <w:color w:val="auto"/>
        </w:rPr>
      </w:pPr>
    </w:p>
    <w:p>
      <w:pPr>
        <w:ind w:left="1220" w:hanging="599"/>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767715</wp:posOffset>
            </wp:positionH>
            <wp:positionV relativeFrom="paragraph">
              <wp:posOffset>177800</wp:posOffset>
            </wp:positionV>
            <wp:extent cx="6360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-113030</wp:posOffset>
            </wp:positionV>
            <wp:extent cx="6360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-404495</wp:posOffset>
            </wp:positionV>
            <wp:extent cx="6360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-695960</wp:posOffset>
            </wp:positionV>
            <wp:extent cx="6360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-1475740</wp:posOffset>
            </wp:positionV>
            <wp:extent cx="6360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-1767205</wp:posOffset>
            </wp:positionV>
            <wp:extent cx="6360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-2058670</wp:posOffset>
            </wp:positionV>
            <wp:extent cx="6360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-2435860</wp:posOffset>
            </wp:positionV>
            <wp:extent cx="6360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-2727325</wp:posOffset>
            </wp:positionV>
            <wp:extent cx="6360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12"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1029970</wp:posOffset>
            </wp:positionV>
            <wp:extent cx="5349240" cy="6917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9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226314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631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To Be Held on Thursday,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7210" cy="7080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7210" cy="7080885"/>
                    </a:xfrm>
                    <a:prstGeom prst="rect">
                      <a:avLst/>
                    </a:prstGeom>
                    <a:noFill/>
                  </pic:spPr>
                </pic:pic>
              </a:graphicData>
            </a:graphic>
          </wp:anchor>
        </w:drawing>
      </w:r>
    </w:p>
    <w:p>
      <w:pPr>
        <w:sectPr>
          <w:pgSz w:w="11900" w:h="16838" w:orient="portrait"/>
          <w:cols w:equalWidth="0" w:num="1">
            <w:col w:w="11200"/>
          </w:cols>
          <w:pgMar w:left="320" w:top="198" w:right="37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line="263"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181" w:lineRule="exact"/>
        <w:rPr>
          <w:sz w:val="20"/>
          <w:szCs w:val="20"/>
          <w:color w:val="auto"/>
        </w:rPr>
      </w:pPr>
    </w:p>
    <w:p>
      <w:pPr>
        <w:ind w:left="180" w:right="260"/>
        <w:spacing w:after="0" w:line="296"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54" w:lineRule="exact"/>
        <w:rPr>
          <w:sz w:val="20"/>
          <w:szCs w:val="20"/>
          <w:color w:val="auto"/>
        </w:rPr>
      </w:pPr>
    </w:p>
    <w:p>
      <w:pPr>
        <w:jc w:val="both"/>
        <w:ind w:left="180" w:right="620"/>
        <w:spacing w:after="0" w:line="280"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16, 2023:</w:t>
      </w:r>
    </w:p>
    <w:p>
      <w:pPr>
        <w:spacing w:after="0" w:line="153" w:lineRule="exact"/>
        <w:rPr>
          <w:sz w:val="20"/>
          <w:szCs w:val="20"/>
          <w:color w:val="auto"/>
        </w:rPr>
      </w:pPr>
    </w:p>
    <w:p>
      <w:pPr>
        <w:ind w:left="180" w:right="360"/>
        <w:spacing w:after="0" w:line="265" w:lineRule="auto"/>
        <w:rPr>
          <w:sz w:val="20"/>
          <w:szCs w:val="20"/>
          <w:color w:val="auto"/>
        </w:rPr>
      </w:pPr>
      <w:r>
        <w:rPr>
          <w:rFonts w:ascii="Arial" w:cs="Arial" w:eastAsia="Arial" w:hAnsi="Arial"/>
          <w:sz w:val="16"/>
          <w:szCs w:val="16"/>
          <w:color w:val="auto"/>
        </w:rPr>
        <w:t>You may access the following proxy materials at www.proxyvote.com before the meeting and www.virtualshareholdermeeting.com/ARWR2023 during the meeting.</w:t>
      </w:r>
    </w:p>
    <w:p>
      <w:pPr>
        <w:spacing w:after="0" w:line="92" w:lineRule="exact"/>
        <w:rPr>
          <w:sz w:val="20"/>
          <w:szCs w:val="20"/>
          <w:color w:val="auto"/>
        </w:rPr>
      </w:pPr>
    </w:p>
    <w:p>
      <w:pPr>
        <w:ind w:left="140" w:right="900"/>
        <w:spacing w:after="0" w:line="431" w:lineRule="auto"/>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 Notice of the 2023 Annual Meeting of Stockholders;</w:t>
      </w:r>
      <w:r>
        <w:rPr>
          <w:rFonts w:ascii="Arial" w:cs="Arial" w:eastAsia="Arial" w:hAnsi="Arial"/>
          <w:sz w:val="16"/>
          <w:szCs w:val="16"/>
          <w:color w:val="0071CE"/>
        </w:rPr>
        <w:t xml:space="preserve"> •</w:t>
      </w:r>
      <w:r>
        <w:rPr>
          <w:rFonts w:ascii="Arial" w:cs="Arial" w:eastAsia="Arial" w:hAnsi="Arial"/>
          <w:sz w:val="16"/>
          <w:szCs w:val="16"/>
          <w:color w:val="000000"/>
        </w:rPr>
        <w:t> Company’s 2023 Proxy Statement;</w:t>
      </w:r>
    </w:p>
    <w:p>
      <w:pPr>
        <w:spacing w:after="0" w:line="1" w:lineRule="exact"/>
        <w:rPr>
          <w:sz w:val="20"/>
          <w:szCs w:val="20"/>
          <w:color w:val="auto"/>
        </w:rPr>
      </w:pPr>
    </w:p>
    <w:p>
      <w:pPr>
        <w:ind w:left="360" w:right="320" w:hanging="215"/>
        <w:spacing w:after="0" w:line="286" w:lineRule="auto"/>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 Company’s Annual Report on Form 10-K for the year ended</w:t>
      </w:r>
      <w:r>
        <w:rPr>
          <w:rFonts w:ascii="Arial" w:cs="Arial" w:eastAsia="Arial" w:hAnsi="Arial"/>
          <w:sz w:val="16"/>
          <w:szCs w:val="16"/>
          <w:color w:val="0071CE"/>
        </w:rPr>
        <w:t xml:space="preserve"> </w:t>
      </w:r>
      <w:r>
        <w:rPr>
          <w:rFonts w:ascii="Arial" w:cs="Arial" w:eastAsia="Arial" w:hAnsi="Arial"/>
          <w:sz w:val="16"/>
          <w:szCs w:val="16"/>
          <w:color w:val="000000"/>
        </w:rPr>
        <w:t>September 30, 2022; and</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 Form of Proxy Card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ARROWHEAD PHARMACEUTICALS, INC.:</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NOTICE IS HEREBY GIVEN that the 2023 Annual Meeting of Stockholders of Arrowhead Pharmaceuticals, Inc., a Delaware corporation (the “Company” or “Arrowhead”), will be held on Thursday, March 16, 2023,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www.virtualshareholdermeeting.com/ARWR2023. Prior to the Annual Meeting, you will be able to vote at www.proxyvote.com. The Annual Meeting will be held for the purpose of considering and voting upon the following proposals, as more fully described in the accompanying Proxy Statement:</w:t>
      </w:r>
    </w:p>
    <w:p>
      <w:pPr>
        <w:spacing w:after="0" w:line="49" w:lineRule="exact"/>
        <w:rPr>
          <w:sz w:val="20"/>
          <w:szCs w:val="20"/>
          <w:color w:val="auto"/>
        </w:rPr>
      </w:pPr>
    </w:p>
    <w:p>
      <w:pPr>
        <w:ind w:left="420" w:hanging="431"/>
        <w:spacing w:after="0" w:line="266" w:lineRule="auto"/>
        <w:rPr>
          <w:sz w:val="20"/>
          <w:szCs w:val="20"/>
          <w:color w:val="auto"/>
        </w:rPr>
      </w:pPr>
      <w:r>
        <w:rPr>
          <w:rFonts w:ascii="Arial" w:cs="Arial" w:eastAsia="Arial" w:hAnsi="Arial"/>
          <w:sz w:val="16"/>
          <w:szCs w:val="16"/>
          <w:color w:val="auto"/>
        </w:rPr>
        <w:t>1.   To elect the eight directors named in the Proxy Statement to serve as members of the Company’s Board of Directors until the next Annual Meeting or until their successors are elected;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2.   To conduct an advisory (non-binding) vote to approve executive compensation;</w:t>
      </w:r>
    </w:p>
    <w:p>
      <w:pPr>
        <w:spacing w:after="0" w:line="73" w:lineRule="exact"/>
        <w:rPr>
          <w:sz w:val="20"/>
          <w:szCs w:val="20"/>
          <w:color w:val="auto"/>
        </w:rPr>
      </w:pPr>
    </w:p>
    <w:p>
      <w:pPr>
        <w:jc w:val="right"/>
        <w:ind w:right="80"/>
        <w:spacing w:after="0" w:line="286" w:lineRule="auto"/>
        <w:rPr>
          <w:sz w:val="20"/>
          <w:szCs w:val="20"/>
          <w:color w:val="auto"/>
        </w:rPr>
      </w:pPr>
      <w:r>
        <w:rPr>
          <w:rFonts w:ascii="Arial" w:cs="Arial" w:eastAsia="Arial" w:hAnsi="Arial"/>
          <w:sz w:val="16"/>
          <w:szCs w:val="16"/>
          <w:color w:val="auto"/>
        </w:rPr>
        <w:t>3.   To approve an amendment to the Company’s Amended and Restated Certificate of Incorporation to increase the number of authorized shares of common stock;</w:t>
      </w:r>
    </w:p>
    <w:p>
      <w:pPr>
        <w:spacing w:after="0" w:line="21" w:lineRule="exact"/>
        <w:rPr>
          <w:sz w:val="20"/>
          <w:szCs w:val="20"/>
          <w:color w:val="auto"/>
        </w:rPr>
      </w:pPr>
    </w:p>
    <w:p>
      <w:pPr>
        <w:ind w:left="420" w:right="140" w:hanging="431"/>
        <w:spacing w:after="0" w:line="286" w:lineRule="auto"/>
        <w:rPr>
          <w:sz w:val="20"/>
          <w:szCs w:val="20"/>
          <w:color w:val="auto"/>
        </w:rPr>
      </w:pPr>
      <w:r>
        <w:rPr>
          <w:rFonts w:ascii="Arial" w:cs="Arial" w:eastAsia="Arial" w:hAnsi="Arial"/>
          <w:sz w:val="16"/>
          <w:szCs w:val="16"/>
          <w:color w:val="auto"/>
        </w:rPr>
        <w:t>4.   To ratify the selection of Rose, Snyder &amp; Jacobs LLP as independent auditors of the Company for the fiscal year ending September 30, 2023; and</w:t>
      </w:r>
    </w:p>
    <w:p>
      <w:pPr>
        <w:spacing w:after="0" w:line="7" w:lineRule="exact"/>
        <w:rPr>
          <w:sz w:val="20"/>
          <w:szCs w:val="20"/>
          <w:color w:val="auto"/>
        </w:rPr>
      </w:pPr>
    </w:p>
    <w:p>
      <w:pPr>
        <w:ind w:left="420" w:right="80" w:hanging="431"/>
        <w:spacing w:after="0" w:line="304" w:lineRule="auto"/>
        <w:rPr>
          <w:sz w:val="20"/>
          <w:szCs w:val="20"/>
          <w:color w:val="auto"/>
        </w:rPr>
      </w:pPr>
      <w:r>
        <w:rPr>
          <w:rFonts w:ascii="Arial" w:cs="Arial" w:eastAsia="Arial" w:hAnsi="Arial"/>
          <w:sz w:val="16"/>
          <w:szCs w:val="16"/>
          <w:color w:val="auto"/>
        </w:rPr>
        <w:t>5.   To transact any other matters that may properly come before the Annual Meeting or any adjournments or postponements thereof.</w:t>
      </w:r>
    </w:p>
    <w:p>
      <w:pPr>
        <w:spacing w:after="0" w:line="3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eight directors nominated by the Board of Directors and does not include any other matters relating to the election of directors, including, without limitation, the election of directors nominated by any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www.virtualshareholdermeeting.com/ARWR2023. Instructions for accessing the virtual Annual Meeting are provided in the Proxy Statement. 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10:30 a.m., Pacific Time on the date specified above and at the Company’s address specified below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ir.arrowheadpharma.com.</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color w:val="auto"/>
              </w:rPr>
              <w:t>/s/ Patrick O’Brien</w:t>
            </w: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w w:val="99"/>
              </w:rPr>
              <w:t>Pasadena, California</w:t>
            </w:r>
          </w:p>
        </w:tc>
        <w:tc>
          <w:tcPr>
            <w:tcW w:w="0" w:type="dxa"/>
            <w:vAlign w:val="bottom"/>
          </w:tcPr>
          <w:p>
            <w:pPr>
              <w:spacing w:after="0"/>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Patrick O’Brien</w:t>
            </w:r>
          </w:p>
        </w:tc>
        <w:tc>
          <w:tcPr>
            <w:tcW w:w="2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i w:val="1"/>
                <w:iCs w:val="1"/>
                <w:color w:val="auto"/>
              </w:rPr>
              <w:t>Secretary</w:t>
            </w:r>
          </w:p>
        </w:tc>
        <w:tc>
          <w:tcPr>
            <w:tcW w:w="2440" w:type="dxa"/>
            <w:vAlign w:val="bottom"/>
          </w:tcPr>
          <w:p>
            <w:pPr>
              <w:ind w:left="940"/>
              <w:spacing w:after="0"/>
              <w:rPr>
                <w:sz w:val="20"/>
                <w:szCs w:val="20"/>
                <w:color w:val="auto"/>
              </w:rPr>
            </w:pPr>
            <w:r>
              <w:rPr>
                <w:rFonts w:ascii="Arial" w:cs="Arial" w:eastAsia="Arial" w:hAnsi="Arial"/>
                <w:sz w:val="16"/>
                <w:szCs w:val="16"/>
                <w:color w:val="auto"/>
              </w:rPr>
              <w:t>January 30,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00" w:space="240"/>
            <w:col w:w="6160"/>
          </w:cols>
          <w:pgMar w:left="320" w:top="198" w:right="379" w:bottom="35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C4C4C"/>
        </w:rPr>
        <w:t xml:space="preserve">Arrowhead Pharmaceuticals, Inc.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177 E. Colorado Blvd., Suite 700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Pasadena, California 91105</w:t>
      </w:r>
    </w:p>
    <w:p>
      <w:pPr>
        <w:sectPr>
          <w:pgSz w:w="11900" w:h="16838" w:orient="portrait"/>
          <w:cols w:equalWidth="0" w:num="1">
            <w:col w:w="11200"/>
          </w:cols>
          <w:pgMar w:left="320" w:top="198" w:right="379" w:bottom="35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jc w:val="right"/>
        <w:spacing w:after="0"/>
        <w:tabs>
          <w:tab w:leader="none" w:pos="118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6"/>
          <w:szCs w:val="36"/>
          <w:b w:val="1"/>
          <w:bCs w:val="1"/>
          <w:color w:val="0071CE"/>
        </w:rPr>
        <w:t>Table of Contents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6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b w:val="1"/>
                <w:bCs w:val="1"/>
                <w:color w:val="0000FF"/>
                <w:w w:val="99"/>
              </w:rPr>
              <w:t>General Information Concerning Solicitation and Voting</w:t>
            </w:r>
          </w:p>
        </w:tc>
        <w:tc>
          <w:tcPr>
            <w:tcW w:w="6060" w:type="dxa"/>
            <w:vAlign w:val="bottom"/>
            <w:gridSpan w:val="7"/>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40" w:type="dxa"/>
            <w:vAlign w:val="bottom"/>
            <w:gridSpan w:val="40"/>
          </w:tcPr>
          <w:p>
            <w:pPr>
              <w:spacing w:after="0"/>
              <w:rPr>
                <w:sz w:val="20"/>
                <w:szCs w:val="20"/>
                <w:color w:val="auto"/>
              </w:rPr>
            </w:pPr>
            <w:r>
              <w:rPr>
                <w:rFonts w:ascii="Arial" w:cs="Arial" w:eastAsia="Arial" w:hAnsi="Arial"/>
                <w:sz w:val="16"/>
                <w:szCs w:val="16"/>
                <w:b w:val="1"/>
                <w:bCs w:val="1"/>
                <w:color w:val="0000FF"/>
              </w:rPr>
              <w:t>Record Date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b w:val="1"/>
                <w:bCs w:val="1"/>
                <w:color w:val="0000FF"/>
              </w:rPr>
              <w:t>Revocability of Proxies</w:t>
            </w:r>
          </w:p>
        </w:tc>
        <w:tc>
          <w:tcPr>
            <w:tcW w:w="8940" w:type="dxa"/>
            <w:vAlign w:val="bottom"/>
            <w:gridSpan w:val="29"/>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7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Voting and Solicitation</w:t>
            </w:r>
          </w:p>
        </w:tc>
        <w:tc>
          <w:tcPr>
            <w:tcW w:w="8980" w:type="dxa"/>
            <w:vAlign w:val="bottom"/>
            <w:gridSpan w:val="31"/>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14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b w:val="1"/>
                <w:bCs w:val="1"/>
                <w:color w:val="0000FF"/>
              </w:rPr>
              <w:t>Quorum; Abstentions; Broker Non-Votes</w:t>
            </w:r>
          </w:p>
        </w:tc>
        <w:tc>
          <w:tcPr>
            <w:tcW w:w="7600" w:type="dxa"/>
            <w:vAlign w:val="bottom"/>
            <w:gridSpan w:val="17"/>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40" w:type="dxa"/>
            <w:vAlign w:val="bottom"/>
            <w:gridSpan w:val="40"/>
          </w:tcPr>
          <w:p>
            <w:pPr>
              <w:spacing w:after="0"/>
              <w:rPr>
                <w:sz w:val="20"/>
                <w:szCs w:val="20"/>
                <w:color w:val="auto"/>
              </w:rPr>
            </w:pPr>
            <w:r>
              <w:rPr>
                <w:rFonts w:ascii="Arial" w:cs="Arial" w:eastAsia="Arial" w:hAnsi="Arial"/>
                <w:sz w:val="16"/>
                <w:szCs w:val="16"/>
                <w:b w:val="1"/>
                <w:bCs w:val="1"/>
                <w:color w:val="0000FF"/>
              </w:rPr>
              <w:t>Deadline for Receipt of Stockholder Proposals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b w:val="1"/>
                <w:bCs w:val="1"/>
                <w:color w:val="0000FF"/>
                <w:w w:val="99"/>
              </w:rPr>
              <w:t>Proposal One — Election of Directors</w:t>
            </w:r>
          </w:p>
        </w:tc>
        <w:tc>
          <w:tcPr>
            <w:tcW w:w="760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46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b w:val="1"/>
                <w:bCs w:val="1"/>
                <w:color w:val="0000FF"/>
              </w:rPr>
              <w:t>Board Composition and Nominating Process</w:t>
            </w:r>
          </w:p>
        </w:tc>
        <w:tc>
          <w:tcPr>
            <w:tcW w:w="7280" w:type="dxa"/>
            <w:vAlign w:val="bottom"/>
            <w:gridSpan w:val="12"/>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40" w:type="dxa"/>
            <w:vAlign w:val="bottom"/>
            <w:gridSpan w:val="40"/>
          </w:tcPr>
          <w:p>
            <w:pPr>
              <w:spacing w:after="0"/>
              <w:rPr>
                <w:sz w:val="20"/>
                <w:szCs w:val="20"/>
                <w:color w:val="auto"/>
              </w:rPr>
            </w:pPr>
            <w:r>
              <w:rPr>
                <w:rFonts w:ascii="Arial" w:cs="Arial" w:eastAsia="Arial" w:hAnsi="Arial"/>
                <w:sz w:val="16"/>
                <w:szCs w:val="16"/>
                <w:b w:val="1"/>
                <w:bCs w:val="1"/>
                <w:color w:val="0000FF"/>
              </w:rPr>
              <w:t>Corporate Governance, Environmental and Social Commitment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860" w:type="dxa"/>
            <w:vAlign w:val="bottom"/>
            <w:tcBorders>
              <w:top w:val="single" w:sz="8" w:color="0000FF"/>
            </w:tcBorders>
            <w:gridSpan w:val="34"/>
          </w:tcPr>
          <w:p>
            <w:pPr>
              <w:spacing w:after="0"/>
              <w:rPr>
                <w:sz w:val="20"/>
                <w:szCs w:val="20"/>
                <w:color w:val="auto"/>
              </w:rPr>
            </w:pPr>
            <w:r>
              <w:rPr>
                <w:rFonts w:ascii="Arial" w:cs="Arial" w:eastAsia="Arial" w:hAnsi="Arial"/>
                <w:sz w:val="16"/>
                <w:szCs w:val="16"/>
                <w:b w:val="1"/>
                <w:bCs w:val="1"/>
                <w:color w:val="0000FF"/>
              </w:rPr>
              <w:t>Stockholder Communications with Directors</w:t>
            </w:r>
          </w:p>
        </w:tc>
        <w:tc>
          <w:tcPr>
            <w:tcW w:w="5880" w:type="dxa"/>
            <w:vAlign w:val="bottom"/>
            <w:gridSpan w:val="6"/>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420" w:type="dxa"/>
            <w:vAlign w:val="bottom"/>
            <w:tcBorders>
              <w:top w:val="single" w:sz="8" w:color="0000FF"/>
            </w:tcBorders>
            <w:gridSpan w:val="27"/>
          </w:tcPr>
          <w:p>
            <w:pPr>
              <w:spacing w:after="0"/>
              <w:rPr>
                <w:sz w:val="20"/>
                <w:szCs w:val="20"/>
                <w:color w:val="auto"/>
              </w:rPr>
            </w:pPr>
            <w:r>
              <w:rPr>
                <w:rFonts w:ascii="Arial" w:cs="Arial" w:eastAsia="Arial" w:hAnsi="Arial"/>
                <w:sz w:val="16"/>
                <w:szCs w:val="16"/>
                <w:b w:val="1"/>
                <w:bCs w:val="1"/>
                <w:color w:val="0000FF"/>
              </w:rPr>
              <w:t>Board Meetings and Committees</w:t>
            </w:r>
          </w:p>
        </w:tc>
        <w:tc>
          <w:tcPr>
            <w:tcW w:w="7320" w:type="dxa"/>
            <w:vAlign w:val="bottom"/>
            <w:gridSpan w:val="13"/>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99"/>
              </w:rPr>
              <w:t>Director Compensation</w:t>
            </w:r>
          </w:p>
        </w:tc>
        <w:tc>
          <w:tcPr>
            <w:tcW w:w="8820" w:type="dxa"/>
            <w:vAlign w:val="bottom"/>
            <w:gridSpan w:val="2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17</w:t>
            </w:r>
          </w:p>
        </w:tc>
        <w:tc>
          <w:tcPr>
            <w:tcW w:w="0" w:type="dxa"/>
            <w:vAlign w:val="bottom"/>
          </w:tcPr>
          <w:p>
            <w:pPr>
              <w:spacing w:after="0"/>
              <w:rPr>
                <w:sz w:val="1"/>
                <w:szCs w:val="1"/>
                <w:color w:val="auto"/>
              </w:rPr>
            </w:pPr>
          </w:p>
        </w:tc>
      </w:tr>
      <w:tr>
        <w:trPr>
          <w:trHeight w:val="358"/>
        </w:trPr>
        <w:tc>
          <w:tcPr>
            <w:tcW w:w="10820" w:type="dxa"/>
            <w:vAlign w:val="bottom"/>
            <w:gridSpan w:val="41"/>
          </w:tcPr>
          <w:p>
            <w:pPr>
              <w:spacing w:after="0"/>
              <w:rPr>
                <w:sz w:val="20"/>
                <w:szCs w:val="20"/>
                <w:color w:val="auto"/>
              </w:rPr>
            </w:pPr>
            <w:r>
              <w:rPr>
                <w:rFonts w:ascii="Arial" w:cs="Arial" w:eastAsia="Arial" w:hAnsi="Arial"/>
                <w:sz w:val="18"/>
                <w:szCs w:val="18"/>
                <w:b w:val="1"/>
                <w:bCs w:val="1"/>
                <w:color w:val="0000FF"/>
              </w:rPr>
              <w:t>Proposal Two — Advisory Vote to Approve Executive Compensation</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18</w:t>
            </w:r>
          </w:p>
        </w:tc>
        <w:tc>
          <w:tcPr>
            <w:tcW w:w="0" w:type="dxa"/>
            <w:vAlign w:val="bottom"/>
          </w:tcPr>
          <w:p>
            <w:pPr>
              <w:spacing w:after="0"/>
              <w:rPr>
                <w:sz w:val="1"/>
                <w:szCs w:val="1"/>
                <w:color w:val="auto"/>
              </w:rPr>
            </w:pPr>
          </w:p>
        </w:tc>
      </w:tr>
      <w:tr>
        <w:trPr>
          <w:trHeight w:val="358"/>
        </w:trPr>
        <w:tc>
          <w:tcPr>
            <w:tcW w:w="5840" w:type="dxa"/>
            <w:vAlign w:val="bottom"/>
            <w:tcBorders>
              <w:top w:val="single" w:sz="8" w:color="0000FF"/>
            </w:tcBorders>
            <w:gridSpan w:val="37"/>
          </w:tcPr>
          <w:p>
            <w:pPr>
              <w:spacing w:after="0"/>
              <w:rPr>
                <w:sz w:val="20"/>
                <w:szCs w:val="20"/>
                <w:color w:val="auto"/>
              </w:rPr>
            </w:pPr>
            <w:r>
              <w:rPr>
                <w:rFonts w:ascii="Arial" w:cs="Arial" w:eastAsia="Arial" w:hAnsi="Arial"/>
                <w:sz w:val="18"/>
                <w:szCs w:val="18"/>
                <w:b w:val="1"/>
                <w:bCs w:val="1"/>
                <w:color w:val="0000FF"/>
              </w:rPr>
              <w:t>Executive Compensation</w:t>
            </w:r>
          </w:p>
        </w:tc>
        <w:tc>
          <w:tcPr>
            <w:tcW w:w="49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19</w:t>
            </w:r>
          </w:p>
        </w:tc>
        <w:tc>
          <w:tcPr>
            <w:tcW w:w="0" w:type="dxa"/>
            <w:vAlign w:val="bottom"/>
          </w:tcPr>
          <w:p>
            <w:pPr>
              <w:spacing w:after="0"/>
              <w:rPr>
                <w:sz w:val="1"/>
                <w:szCs w:val="1"/>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740" w:type="dxa"/>
            <w:vAlign w:val="bottom"/>
            <w:gridSpan w:val="40"/>
          </w:tcPr>
          <w:p>
            <w:pPr>
              <w:spacing w:after="0"/>
              <w:rPr>
                <w:sz w:val="20"/>
                <w:szCs w:val="20"/>
                <w:color w:val="auto"/>
              </w:rPr>
            </w:pPr>
            <w:r>
              <w:rPr>
                <w:rFonts w:ascii="Arial" w:cs="Arial" w:eastAsia="Arial" w:hAnsi="Arial"/>
                <w:sz w:val="16"/>
                <w:szCs w:val="16"/>
                <w:b w:val="1"/>
                <w:bCs w:val="1"/>
                <w:color w:val="0000FF"/>
              </w:rPr>
              <w:t>Compensation Discussion and Analysis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8"/>
              </w:rPr>
              <w:t>Our Company</w:t>
            </w:r>
          </w:p>
        </w:tc>
        <w:tc>
          <w:tcPr>
            <w:tcW w:w="1900" w:type="dxa"/>
            <w:vAlign w:val="bottom"/>
            <w:tcBorders>
              <w:top w:val="single" w:sz="8" w:color="0000FF"/>
            </w:tcBorders>
            <w:gridSpan w:val="15"/>
          </w:tcPr>
          <w:p>
            <w:pPr>
              <w:spacing w:after="0"/>
              <w:rPr>
                <w:sz w:val="17"/>
                <w:szCs w:val="17"/>
                <w:color w:val="auto"/>
              </w:rPr>
            </w:pPr>
          </w:p>
        </w:tc>
        <w:tc>
          <w:tcPr>
            <w:tcW w:w="7660" w:type="dxa"/>
            <w:vAlign w:val="bottom"/>
            <w:gridSpan w:val="19"/>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9"/>
          </w:tcPr>
          <w:p>
            <w:pPr>
              <w:spacing w:after="0"/>
              <w:rPr>
                <w:sz w:val="20"/>
                <w:szCs w:val="20"/>
                <w:color w:val="auto"/>
              </w:rPr>
            </w:pPr>
            <w:r>
              <w:rPr>
                <w:rFonts w:ascii="Arial" w:cs="Arial" w:eastAsia="Arial" w:hAnsi="Arial"/>
                <w:sz w:val="16"/>
                <w:szCs w:val="16"/>
                <w:color w:val="0000FF"/>
              </w:rPr>
              <w:t>Business Development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7"/>
              </w:rPr>
              <w:t>Platform</w:t>
            </w:r>
          </w:p>
        </w:tc>
        <w:tc>
          <w:tcPr>
            <w:tcW w:w="1040" w:type="dxa"/>
            <w:vAlign w:val="bottom"/>
            <w:tcBorders>
              <w:top w:val="single" w:sz="8" w:color="0000FF"/>
            </w:tcBorders>
            <w:gridSpan w:val="9"/>
          </w:tcPr>
          <w:p>
            <w:pPr>
              <w:spacing w:after="0"/>
              <w:rPr>
                <w:sz w:val="17"/>
                <w:szCs w:val="17"/>
                <w:color w:val="auto"/>
              </w:rPr>
            </w:pPr>
          </w:p>
        </w:tc>
        <w:tc>
          <w:tcPr>
            <w:tcW w:w="8920" w:type="dxa"/>
            <w:vAlign w:val="bottom"/>
            <w:gridSpan w:val="28"/>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9"/>
          </w:tcPr>
          <w:p>
            <w:pPr>
              <w:spacing w:after="0"/>
              <w:rPr>
                <w:sz w:val="20"/>
                <w:szCs w:val="20"/>
                <w:color w:val="auto"/>
              </w:rPr>
            </w:pPr>
            <w:r>
              <w:rPr>
                <w:rFonts w:ascii="Arial" w:cs="Arial" w:eastAsia="Arial" w:hAnsi="Arial"/>
                <w:sz w:val="16"/>
                <w:szCs w:val="16"/>
                <w:color w:val="0000FF"/>
              </w:rPr>
              <w:t>Pipeline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22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9"/>
          </w:tcPr>
          <w:p>
            <w:pPr>
              <w:spacing w:after="0"/>
              <w:rPr>
                <w:sz w:val="20"/>
                <w:szCs w:val="20"/>
                <w:color w:val="auto"/>
              </w:rPr>
            </w:pPr>
            <w:r>
              <w:rPr>
                <w:rFonts w:ascii="Arial" w:cs="Arial" w:eastAsia="Arial" w:hAnsi="Arial"/>
                <w:sz w:val="16"/>
                <w:szCs w:val="16"/>
                <w:color w:val="0000FF"/>
              </w:rPr>
              <w:t>Executive Compensation Philosophy</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32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rPr>
              <w:t>Executive Compensation Program Design</w:t>
            </w:r>
          </w:p>
        </w:tc>
        <w:tc>
          <w:tcPr>
            <w:tcW w:w="7560" w:type="dxa"/>
            <w:vAlign w:val="bottom"/>
            <w:gridSpan w:val="16"/>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32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FF"/>
            </w:tcBorders>
            <w:gridSpan w:val="30"/>
          </w:tcPr>
          <w:p>
            <w:pPr>
              <w:spacing w:after="0"/>
              <w:rPr>
                <w:sz w:val="20"/>
                <w:szCs w:val="20"/>
                <w:color w:val="auto"/>
              </w:rPr>
            </w:pPr>
            <w:r>
              <w:rPr>
                <w:rFonts w:ascii="Arial" w:cs="Arial" w:eastAsia="Arial" w:hAnsi="Arial"/>
                <w:sz w:val="16"/>
                <w:szCs w:val="16"/>
                <w:color w:val="0000FF"/>
              </w:rPr>
              <w:t>Governance of Executive Compensation Program</w:t>
            </w:r>
          </w:p>
        </w:tc>
        <w:tc>
          <w:tcPr>
            <w:tcW w:w="7000" w:type="dxa"/>
            <w:vAlign w:val="bottom"/>
            <w:gridSpan w:val="9"/>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33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9"/>
          </w:tcPr>
          <w:p>
            <w:pPr>
              <w:spacing w:after="0"/>
              <w:rPr>
                <w:sz w:val="20"/>
                <w:szCs w:val="20"/>
                <w:color w:val="auto"/>
              </w:rPr>
            </w:pPr>
            <w:r>
              <w:rPr>
                <w:rFonts w:ascii="Arial" w:cs="Arial" w:eastAsia="Arial" w:hAnsi="Arial"/>
                <w:sz w:val="16"/>
                <w:szCs w:val="16"/>
                <w:color w:val="0000FF"/>
              </w:rPr>
              <w:t>Individual Compensation Elements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35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6"/>
                <w:szCs w:val="16"/>
                <w:color w:val="0000FF"/>
              </w:rPr>
              <w:t>Employment Arrangements</w:t>
            </w:r>
          </w:p>
        </w:tc>
        <w:tc>
          <w:tcPr>
            <w:tcW w:w="520" w:type="dxa"/>
            <w:vAlign w:val="bottom"/>
            <w:tcBorders>
              <w:top w:val="single" w:sz="8" w:color="0000FF"/>
            </w:tcBorders>
            <w:gridSpan w:val="3"/>
          </w:tcPr>
          <w:p>
            <w:pPr>
              <w:spacing w:after="0"/>
              <w:rPr>
                <w:sz w:val="17"/>
                <w:szCs w:val="17"/>
                <w:color w:val="auto"/>
              </w:rPr>
            </w:pPr>
          </w:p>
        </w:tc>
        <w:tc>
          <w:tcPr>
            <w:tcW w:w="8080" w:type="dxa"/>
            <w:vAlign w:val="bottom"/>
            <w:gridSpan w:val="22"/>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9"/>
          </w:tcPr>
          <w:p>
            <w:pPr>
              <w:spacing w:after="0"/>
              <w:rPr>
                <w:sz w:val="20"/>
                <w:szCs w:val="20"/>
                <w:color w:val="auto"/>
              </w:rPr>
            </w:pPr>
            <w:r>
              <w:rPr>
                <w:rFonts w:ascii="Arial" w:cs="Arial" w:eastAsia="Arial" w:hAnsi="Arial"/>
                <w:sz w:val="16"/>
                <w:szCs w:val="16"/>
                <w:color w:val="0000FF"/>
              </w:rPr>
              <w:t>Post-Employment Compensation Arrangements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5"/>
          </w:tcPr>
          <w:p>
            <w:pPr>
              <w:spacing w:after="0"/>
              <w:rPr>
                <w:sz w:val="20"/>
                <w:szCs w:val="20"/>
                <w:color w:val="auto"/>
              </w:rPr>
            </w:pPr>
            <w:r>
              <w:rPr>
                <w:rFonts w:ascii="Arial" w:cs="Arial" w:eastAsia="Arial" w:hAnsi="Arial"/>
                <w:sz w:val="16"/>
                <w:szCs w:val="16"/>
                <w:color w:val="0000FF"/>
              </w:rPr>
              <w:t>Other Compensation Policies and Practices</w:t>
            </w:r>
          </w:p>
        </w:tc>
        <w:tc>
          <w:tcPr>
            <w:tcW w:w="300" w:type="dxa"/>
            <w:vAlign w:val="bottom"/>
            <w:tcBorders>
              <w:top w:val="single" w:sz="8" w:color="0000FF"/>
            </w:tcBorders>
            <w:gridSpan w:val="4"/>
          </w:tcPr>
          <w:p>
            <w:pPr>
              <w:spacing w:after="0"/>
              <w:rPr>
                <w:sz w:val="17"/>
                <w:szCs w:val="17"/>
                <w:color w:val="auto"/>
              </w:rPr>
            </w:pPr>
          </w:p>
        </w:tc>
        <w:tc>
          <w:tcPr>
            <w:tcW w:w="7140" w:type="dxa"/>
            <w:vAlign w:val="bottom"/>
            <w:gridSpan w:val="10"/>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9"/>
              </w:rPr>
              <w:t>Tax and Accounting Considerations</w:t>
            </w:r>
          </w:p>
        </w:tc>
        <w:tc>
          <w:tcPr>
            <w:tcW w:w="8020" w:type="dxa"/>
            <w:vAlign w:val="bottom"/>
            <w:gridSpan w:val="21"/>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9"/>
          </w:tcPr>
          <w:p>
            <w:pPr>
              <w:spacing w:after="0"/>
              <w:rPr>
                <w:sz w:val="20"/>
                <w:szCs w:val="20"/>
                <w:color w:val="auto"/>
              </w:rPr>
            </w:pPr>
            <w:r>
              <w:rPr>
                <w:rFonts w:ascii="Arial" w:cs="Arial" w:eastAsia="Arial" w:hAnsi="Arial"/>
                <w:sz w:val="16"/>
                <w:szCs w:val="16"/>
                <w:color w:val="0000FF"/>
              </w:rPr>
              <w:t>Compensation Risk Assessment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44</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20" w:type="dxa"/>
            <w:vAlign w:val="bottom"/>
            <w:gridSpan w:val="41"/>
          </w:tcPr>
          <w:p>
            <w:pPr>
              <w:spacing w:after="0"/>
              <w:rPr>
                <w:sz w:val="20"/>
                <w:szCs w:val="20"/>
                <w:color w:val="auto"/>
              </w:rPr>
            </w:pPr>
            <w:r>
              <w:rPr>
                <w:rFonts w:ascii="Arial" w:cs="Arial" w:eastAsia="Arial" w:hAnsi="Arial"/>
                <w:sz w:val="18"/>
                <w:szCs w:val="18"/>
                <w:b w:val="1"/>
                <w:bCs w:val="1"/>
                <w:color w:val="0000FF"/>
              </w:rPr>
              <w:t>Compensation Tables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45</w:t>
            </w:r>
          </w:p>
        </w:tc>
        <w:tc>
          <w:tcPr>
            <w:tcW w:w="0" w:type="dxa"/>
            <w:vAlign w:val="bottom"/>
          </w:tcPr>
          <w:p>
            <w:pPr>
              <w:spacing w:after="0"/>
              <w:rPr>
                <w:sz w:val="1"/>
                <w:szCs w:val="1"/>
                <w:color w:val="auto"/>
              </w:rPr>
            </w:pPr>
          </w:p>
        </w:tc>
      </w:tr>
      <w:tr>
        <w:trPr>
          <w:trHeight w:val="20"/>
        </w:trPr>
        <w:tc>
          <w:tcPr>
            <w:tcW w:w="920" w:type="dxa"/>
            <w:vAlign w:val="bottom"/>
            <w:gridSpan w:val="5"/>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20" w:type="dxa"/>
            <w:vAlign w:val="bottom"/>
            <w:gridSpan w:val="41"/>
          </w:tcPr>
          <w:p>
            <w:pPr>
              <w:spacing w:after="0"/>
              <w:rPr>
                <w:sz w:val="20"/>
                <w:szCs w:val="20"/>
                <w:color w:val="auto"/>
              </w:rPr>
            </w:pPr>
            <w:r>
              <w:rPr>
                <w:rFonts w:ascii="Arial" w:cs="Arial" w:eastAsia="Arial" w:hAnsi="Arial"/>
                <w:sz w:val="18"/>
                <w:szCs w:val="18"/>
                <w:b w:val="1"/>
                <w:bCs w:val="1"/>
                <w:color w:val="0E32E1"/>
              </w:rPr>
              <w:t xml:space="preserve">Proposal Three - </w:t>
            </w:r>
            <w:r>
              <w:rPr>
                <w:rFonts w:ascii="Arial" w:cs="Arial" w:eastAsia="Arial" w:hAnsi="Arial"/>
                <w:sz w:val="18"/>
                <w:szCs w:val="18"/>
                <w:b w:val="1"/>
                <w:bCs w:val="1"/>
                <w:color w:val="0000FF"/>
              </w:rPr>
              <w:t>Approval of Amendment to Amended and Restated Certificate Of Incorporation To Increase The Number Of</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026DCE"/>
              </w:rPr>
              <w:t>54</w:t>
            </w:r>
          </w:p>
        </w:tc>
        <w:tc>
          <w:tcPr>
            <w:tcW w:w="0" w:type="dxa"/>
            <w:vAlign w:val="bottom"/>
          </w:tcPr>
          <w:p>
            <w:pPr>
              <w:spacing w:after="0"/>
              <w:rPr>
                <w:sz w:val="1"/>
                <w:szCs w:val="1"/>
                <w:color w:val="auto"/>
              </w:rPr>
            </w:pPr>
          </w:p>
        </w:tc>
      </w:tr>
      <w:tr>
        <w:trPr>
          <w:trHeight w:val="155"/>
        </w:trPr>
        <w:tc>
          <w:tcPr>
            <w:tcW w:w="1480" w:type="dxa"/>
            <w:vAlign w:val="bottom"/>
            <w:tcBorders>
              <w:top w:val="single" w:sz="8" w:color="0E32E1"/>
              <w:bottom w:val="single" w:sz="8" w:color="0000FF"/>
            </w:tcBorders>
            <w:gridSpan w:val="8"/>
          </w:tcPr>
          <w:p>
            <w:pPr>
              <w:spacing w:after="0" w:line="156" w:lineRule="exact"/>
              <w:rPr>
                <w:sz w:val="20"/>
                <w:szCs w:val="20"/>
                <w:color w:val="auto"/>
              </w:rPr>
            </w:pPr>
            <w:r>
              <w:rPr>
                <w:rFonts w:ascii="Arial" w:cs="Arial" w:eastAsia="Arial" w:hAnsi="Arial"/>
                <w:sz w:val="18"/>
                <w:szCs w:val="18"/>
                <w:b w:val="1"/>
                <w:bCs w:val="1"/>
                <w:color w:val="0000FF"/>
                <w:w w:val="91"/>
              </w:rPr>
              <w:t>Authorized Shares</w:t>
            </w:r>
          </w:p>
        </w:tc>
        <w:tc>
          <w:tcPr>
            <w:tcW w:w="20" w:type="dxa"/>
            <w:vAlign w:val="bottom"/>
            <w:tcBorders>
              <w:bottom w:val="single" w:sz="8" w:color="0000FF"/>
            </w:tcBorders>
          </w:tcPr>
          <w:p>
            <w:pPr>
              <w:spacing w:after="0"/>
              <w:rPr>
                <w:sz w:val="13"/>
                <w:szCs w:val="13"/>
                <w:color w:val="auto"/>
              </w:rPr>
            </w:pPr>
          </w:p>
        </w:tc>
        <w:tc>
          <w:tcPr>
            <w:tcW w:w="1720" w:type="dxa"/>
            <w:vAlign w:val="bottom"/>
            <w:tcBorders>
              <w:top w:val="single" w:sz="8" w:color="0000FF"/>
              <w:bottom w:val="single" w:sz="8" w:color="0000FF"/>
            </w:tcBorders>
            <w:gridSpan w:val="14"/>
          </w:tcPr>
          <w:p>
            <w:pPr>
              <w:ind w:left="140"/>
              <w:spacing w:after="0" w:line="156" w:lineRule="exact"/>
              <w:rPr>
                <w:sz w:val="20"/>
                <w:szCs w:val="20"/>
                <w:color w:val="auto"/>
              </w:rPr>
            </w:pPr>
            <w:r>
              <w:rPr>
                <w:rFonts w:ascii="Arial" w:cs="Arial" w:eastAsia="Arial" w:hAnsi="Arial"/>
                <w:sz w:val="18"/>
                <w:szCs w:val="18"/>
                <w:b w:val="1"/>
                <w:bCs w:val="1"/>
                <w:color w:val="0000FF"/>
                <w:w w:val="99"/>
              </w:rPr>
              <w:t>Of Common Stock</w:t>
            </w:r>
          </w:p>
        </w:tc>
        <w:tc>
          <w:tcPr>
            <w:tcW w:w="7400" w:type="dxa"/>
            <w:vAlign w:val="bottom"/>
            <w:tcBorders>
              <w:top w:val="single" w:sz="8" w:color="0000FF"/>
            </w:tcBorders>
            <w:gridSpan w:val="17"/>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00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b w:val="1"/>
                <w:bCs w:val="1"/>
                <w:color w:val="0000FF"/>
                <w:w w:val="99"/>
              </w:rPr>
              <w:t>Proposal Four — Ratification of Appointment of Independent Auditors</w:t>
            </w:r>
          </w:p>
        </w:tc>
        <w:tc>
          <w:tcPr>
            <w:tcW w:w="48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56</w:t>
            </w:r>
          </w:p>
        </w:tc>
        <w:tc>
          <w:tcPr>
            <w:tcW w:w="0" w:type="dxa"/>
            <w:vAlign w:val="bottom"/>
          </w:tcPr>
          <w:p>
            <w:pPr>
              <w:spacing w:after="0"/>
              <w:rPr>
                <w:sz w:val="1"/>
                <w:szCs w:val="1"/>
                <w:color w:val="auto"/>
              </w:rPr>
            </w:pPr>
          </w:p>
        </w:tc>
      </w:tr>
      <w:tr>
        <w:trPr>
          <w:trHeight w:val="358"/>
        </w:trPr>
        <w:tc>
          <w:tcPr>
            <w:tcW w:w="10820" w:type="dxa"/>
            <w:vAlign w:val="bottom"/>
            <w:gridSpan w:val="41"/>
          </w:tcPr>
          <w:p>
            <w:pPr>
              <w:spacing w:after="0"/>
              <w:rPr>
                <w:sz w:val="20"/>
                <w:szCs w:val="20"/>
                <w:color w:val="auto"/>
              </w:rPr>
            </w:pPr>
            <w:r>
              <w:rPr>
                <w:rFonts w:ascii="Arial" w:cs="Arial" w:eastAsia="Arial" w:hAnsi="Arial"/>
                <w:sz w:val="18"/>
                <w:szCs w:val="18"/>
                <w:b w:val="1"/>
                <w:bCs w:val="1"/>
                <w:color w:val="0000FF"/>
              </w:rPr>
              <w:t>Audit Fees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57</w:t>
            </w:r>
          </w:p>
        </w:tc>
        <w:tc>
          <w:tcPr>
            <w:tcW w:w="0" w:type="dxa"/>
            <w:vAlign w:val="bottom"/>
          </w:tcPr>
          <w:p>
            <w:pPr>
              <w:spacing w:after="0"/>
              <w:rPr>
                <w:sz w:val="1"/>
                <w:szCs w:val="1"/>
                <w:color w:val="auto"/>
              </w:rPr>
            </w:pPr>
          </w:p>
        </w:tc>
      </w:tr>
      <w:tr>
        <w:trPr>
          <w:trHeight w:val="20"/>
        </w:trPr>
        <w:tc>
          <w:tcPr>
            <w:tcW w:w="920" w:type="dxa"/>
            <w:vAlign w:val="bottom"/>
            <w:gridSpan w:val="5"/>
            <w:shd w:val="clear" w:color="auto" w:fill="0000FF"/>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Report of the Audit Committee</w:t>
            </w:r>
          </w:p>
        </w:tc>
        <w:tc>
          <w:tcPr>
            <w:tcW w:w="8200" w:type="dxa"/>
            <w:vAlign w:val="bottom"/>
            <w:gridSpan w:val="2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58</w:t>
            </w:r>
          </w:p>
        </w:tc>
        <w:tc>
          <w:tcPr>
            <w:tcW w:w="0" w:type="dxa"/>
            <w:vAlign w:val="bottom"/>
          </w:tcPr>
          <w:p>
            <w:pPr>
              <w:spacing w:after="0"/>
              <w:rPr>
                <w:sz w:val="1"/>
                <w:szCs w:val="1"/>
                <w:color w:val="auto"/>
              </w:rPr>
            </w:pPr>
          </w:p>
        </w:tc>
      </w:tr>
      <w:tr>
        <w:trPr>
          <w:trHeight w:val="358"/>
        </w:trPr>
        <w:tc>
          <w:tcPr>
            <w:tcW w:w="10820" w:type="dxa"/>
            <w:vAlign w:val="bottom"/>
            <w:gridSpan w:val="41"/>
          </w:tcPr>
          <w:p>
            <w:pPr>
              <w:spacing w:after="0"/>
              <w:rPr>
                <w:sz w:val="20"/>
                <w:szCs w:val="20"/>
                <w:color w:val="auto"/>
              </w:rPr>
            </w:pPr>
            <w:r>
              <w:rPr>
                <w:rFonts w:ascii="Arial" w:cs="Arial" w:eastAsia="Arial" w:hAnsi="Arial"/>
                <w:sz w:val="18"/>
                <w:szCs w:val="18"/>
                <w:b w:val="1"/>
                <w:bCs w:val="1"/>
                <w:color w:val="0000FF"/>
              </w:rPr>
              <w:t>Voting Securities of Principal Stockholders and Management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59</w:t>
            </w:r>
          </w:p>
        </w:tc>
        <w:tc>
          <w:tcPr>
            <w:tcW w:w="0" w:type="dxa"/>
            <w:vAlign w:val="bottom"/>
          </w:tcPr>
          <w:p>
            <w:pPr>
              <w:spacing w:after="0"/>
              <w:rPr>
                <w:sz w:val="1"/>
                <w:szCs w:val="1"/>
                <w:color w:val="auto"/>
              </w:rPr>
            </w:pPr>
          </w:p>
        </w:tc>
      </w:tr>
      <w:tr>
        <w:trPr>
          <w:trHeight w:val="358"/>
        </w:trPr>
        <w:tc>
          <w:tcPr>
            <w:tcW w:w="5200" w:type="dxa"/>
            <w:vAlign w:val="bottom"/>
            <w:tcBorders>
              <w:top w:val="single" w:sz="8" w:color="0000FF"/>
            </w:tcBorders>
            <w:gridSpan w:val="36"/>
          </w:tcPr>
          <w:p>
            <w:pPr>
              <w:spacing w:after="0"/>
              <w:rPr>
                <w:sz w:val="20"/>
                <w:szCs w:val="20"/>
                <w:color w:val="auto"/>
              </w:rPr>
            </w:pPr>
            <w:r>
              <w:rPr>
                <w:rFonts w:ascii="Arial" w:cs="Arial" w:eastAsia="Arial" w:hAnsi="Arial"/>
                <w:sz w:val="18"/>
                <w:szCs w:val="18"/>
                <w:b w:val="1"/>
                <w:bCs w:val="1"/>
                <w:color w:val="0000FF"/>
              </w:rPr>
              <w:t>Equity Compensation Plan Information</w:t>
            </w:r>
          </w:p>
        </w:tc>
        <w:tc>
          <w:tcPr>
            <w:tcW w:w="562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60</w:t>
            </w:r>
          </w:p>
        </w:tc>
        <w:tc>
          <w:tcPr>
            <w:tcW w:w="0" w:type="dxa"/>
            <w:vAlign w:val="bottom"/>
          </w:tcPr>
          <w:p>
            <w:pPr>
              <w:spacing w:after="0"/>
              <w:rPr>
                <w:sz w:val="1"/>
                <w:szCs w:val="1"/>
                <w:color w:val="auto"/>
              </w:rPr>
            </w:pPr>
          </w:p>
        </w:tc>
      </w:tr>
      <w:tr>
        <w:trPr>
          <w:trHeight w:val="20"/>
        </w:trPr>
        <w:tc>
          <w:tcPr>
            <w:tcW w:w="3320" w:type="dxa"/>
            <w:vAlign w:val="bottom"/>
            <w:gridSpan w:val="26"/>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b w:val="1"/>
                <w:bCs w:val="1"/>
                <w:color w:val="0000FF"/>
                <w:w w:val="99"/>
              </w:rPr>
              <w:t>Review and Approval of Related-Party Transactions</w:t>
            </w:r>
          </w:p>
        </w:tc>
        <w:tc>
          <w:tcPr>
            <w:tcW w:w="64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62</w:t>
            </w:r>
          </w:p>
        </w:tc>
        <w:tc>
          <w:tcPr>
            <w:tcW w:w="0" w:type="dxa"/>
            <w:vAlign w:val="bottom"/>
          </w:tcPr>
          <w:p>
            <w:pPr>
              <w:spacing w:after="0"/>
              <w:rPr>
                <w:sz w:val="1"/>
                <w:szCs w:val="1"/>
                <w:color w:val="auto"/>
              </w:rPr>
            </w:pPr>
          </w:p>
        </w:tc>
      </w:tr>
      <w:tr>
        <w:trPr>
          <w:trHeight w:val="358"/>
        </w:trPr>
        <w:tc>
          <w:tcPr>
            <w:tcW w:w="10820" w:type="dxa"/>
            <w:vAlign w:val="bottom"/>
            <w:gridSpan w:val="41"/>
          </w:tcPr>
          <w:p>
            <w:pPr>
              <w:spacing w:after="0"/>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26DCE"/>
              </w:rPr>
              <w:t>63</w:t>
            </w:r>
          </w:p>
        </w:tc>
        <w:tc>
          <w:tcPr>
            <w:tcW w:w="0" w:type="dxa"/>
            <w:vAlign w:val="bottom"/>
          </w:tcPr>
          <w:p>
            <w:pPr>
              <w:spacing w:after="0"/>
              <w:rPr>
                <w:sz w:val="1"/>
                <w:szCs w:val="1"/>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ectPr>
          <w:pgSz w:w="11900" w:h="16838" w:orient="portrait"/>
          <w:cols w:equalWidth="0" w:num="1">
            <w:col w:w="11240"/>
          </w:cols>
          <w:pgMar w:left="320" w:top="19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2023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177 E. Colorado Blvd.,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134620</wp:posOffset>
            </wp:positionV>
            <wp:extent cx="1962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PROXY STATEMENT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FOR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C4C"/>
        </w:rPr>
        <w:t>To be held on Thursday,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226060</wp:posOffset>
            </wp:positionV>
            <wp:extent cx="19627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2023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16, 2023 at 10:00 a.m., Pacific time, and at any adjournment(s) or postponement(s)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The Company anticipates that the Notice Regarding the Availability of Proxy Materials (the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in connection with these proxy solicitation materials will first be mailed on or about January 30, 2023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This year’s meeting will be a completely “virtual” meeting of stockholders. If you were a stockholder as of the close of business on the Record Date (as defined below), you can attend the Annual Meeting online, vote your shares electronically, and submit your questions and view our list of stockholders as of the Record Date during the Annual Meeting, by visiting www.virtualshareholdermeeting.com/ARWR2023. You will need to have your 16-digit Control Number included on your Notice of Internet Availability or your proxy card (if you received a printed copy of the proxy materials) to join the Annual Meeting. If your shares are held in street name and your voting instruction form or Notice of Internet Availability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meeting webcast will begin promptly at 10:00 a.m. Pacific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Additional information regarding the rules and procedures for participating in the Annual Meeting will be set forth in our meeting rules of conduct, which stockholders can view during the meeting at the meeting website.</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By hosting the Annual Meeting virtually, we believe we are able to expand access, improve communication and lower costs while reducing the environmental impact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1</w:t>
      </w:r>
    </w:p>
    <w:p>
      <w:pPr>
        <w:sectPr>
          <w:pgSz w:w="11900" w:h="16838" w:orient="portrait"/>
          <w:cols w:equalWidth="0" w:num="1">
            <w:col w:w="11240"/>
          </w:cols>
          <w:pgMar w:left="320" w:top="1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2023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Only holders of record of our common stock at the close of business on January 20, 2023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106,706,695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3, and 4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in accordance with their best judgment.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If you will not be able to attend the Annual Meeting to vote, you may vote your shares via the Internet or by telephone or by mail as set forth in the Notice.</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engaged a proxy solicitor, Okapi Partners, LLC, to encourage voting by our stockholders. It is estimated that the total cost for the solicitation campaign will be approximately $15,000.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shares are held in a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w:t>
      </w:r>
      <w:r>
        <w:rPr>
          <w:rFonts w:ascii="Arial" w:cs="Arial" w:eastAsia="Arial" w:hAnsi="Arial"/>
          <w:sz w:val="16"/>
          <w:szCs w:val="16"/>
          <w:b w:val="1"/>
          <w:bCs w:val="1"/>
          <w:color w:val="auto"/>
        </w:rPr>
        <w:t>broker non-votes</w:t>
      </w:r>
      <w:r>
        <w:rPr>
          <w:rFonts w:ascii="Arial" w:cs="Arial" w:eastAsia="Arial" w:hAnsi="Arial"/>
          <w:sz w:val="16"/>
          <w:szCs w:val="16"/>
          <w:color w:val="auto"/>
        </w:rPr>
        <w:t>”). Whether a proposal is considered routine or non-routine is subject to stock exchange rules. Even with respect to routine matters, some brokers are choosing not to exercise discretionary voting authority. As a result, we urge you to direct your broker, fiduciary, or custodian how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489585</wp:posOffset>
            </wp:positionV>
            <wp:extent cx="98615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2</w:t>
      </w:r>
    </w:p>
    <w:p>
      <w:pPr>
        <w:sectPr>
          <w:pgSz w:w="11900" w:h="16838" w:orient="portrait"/>
          <w:cols w:equalWidth="0" w:num="1">
            <w:col w:w="11240"/>
          </w:cols>
          <w:pgMar w:left="320" w:top="1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2023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vote your shares on all proposals to ensure that your vote is counted. Shares subject to a broker non-vote will be counted as present for the purpose of determining the presence or absence of a quorum for the transaction of business at the Annual Meeting; the effect of abstentions and broker non-votes on</w:t>
      </w:r>
    </w:p>
    <w:p>
      <w:pPr>
        <w:spacing w:after="0" w:line="234" w:lineRule="auto"/>
        <w:rPr>
          <w:sz w:val="20"/>
          <w:szCs w:val="20"/>
          <w:color w:val="auto"/>
        </w:rPr>
      </w:pPr>
      <w:r>
        <w:rPr>
          <w:rFonts w:ascii="Arial" w:cs="Arial" w:eastAsia="Arial" w:hAnsi="Arial"/>
          <w:sz w:val="16"/>
          <w:szCs w:val="16"/>
          <w:color w:val="auto"/>
        </w:rPr>
        <w:t>the proposals presented herein is discussed below.</w:t>
      </w:r>
    </w:p>
    <w:p>
      <w:pPr>
        <w:ind w:right="20"/>
        <w:spacing w:after="0" w:line="239" w:lineRule="auto"/>
        <w:rPr>
          <w:sz w:val="20"/>
          <w:szCs w:val="20"/>
          <w:color w:val="auto"/>
        </w:rPr>
      </w:pPr>
      <w:r>
        <w:rPr>
          <w:rFonts w:ascii="Arial" w:cs="Arial" w:eastAsia="Arial" w:hAnsi="Arial"/>
          <w:sz w:val="16"/>
          <w:szCs w:val="16"/>
          <w:color w:val="auto"/>
        </w:rPr>
        <w:t>With regard to the election of directors, votes may be cast “FOR,” “AGAINST” or “ABSTAIN” for each director nominee. Because directors are elected by a majority of votes cast in an uncontested election, abstentions from voting and broker non-votes, if any, will have no effect on its outcome. If a quorum is present at the meeting, the nominees receiving more “FOR” votes than “AGAINST” votes will be elected. Because Proposal Nos. 2 and 4 must be approved by the affirmative vote of a majority of the shares of Common Stock entitled to vote thereon and present in person or by proxy at the Annual Meeting (the “</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have the same effect as a vote “AGAINST” the proposal, whereas broker non-votes, if any, will have no effect on its outcome. With regard to Proposal 3, the affirmative vote of at least a majority of the voting power of the outstanding shares of Common Stock entitled to vote thereon is required to amend the Company’s Amended and Restated Certificate of Incorporation to effect the authorized share increase. For this purpose, abstentions and broker non-votes, if any, will have the same effect as a vote “AGAINST” the proposal.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Deadline for Receipt of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To be considered for inclusion in the proxy statement and proxy card for the Company’s 2024 Annual Meeting of Stockholders, proposals of stockholders pursuant to Rule 14a-8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stockholder director nominations pursuant to the proxy access provisions of the Company’s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must be submitted in writing to our Corporate Secretary at the address set forth on the first page of this Proxy Statement. Such proposals and nominations must be received by us not later than our close of business (5:00 p.m. Pacific Time) on October 2, 2023, and, in the case of a proxy access nomination, no earlier than September 2, 2023, and must satisfy the requirements of Rule 14a-8 and our Bylaws, as applicable. The submission of a stockholder proposal or proxy access nomination does not guarantee that it will be included in our proxy materials.</w:t>
      </w:r>
    </w:p>
    <w:p>
      <w:pPr>
        <w:spacing w:after="0" w:line="21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 xml:space="preserve">Additionally, our Bylaws provide for advance notice procedures to nominate a person for director (other than pursuant to our Bylaws’ proxy access provisions) or to propose business to be considered by stockholders at a meeting (other than pursuant to Rule 14a-8). To be considered timely under these provisions, the stockholder’s notice must be received by the Corporate Secretary at our principal executive offices at the address set forth on the first page of this Proxy Statement between November 17, 2023 and our close of business (5:00 p.m. Pacific Time) on December 17, 2023;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2024 Annual Meeting date is advanced by more than 30 days before or delayed by more than 60 days after the anniversary date of the 2023 Annual Meeting, then stockholders must provide notice within time periods specified in our Bylaws. Our Bylaws also specify requirements as to the form and content of a stockholder’s notice.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20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nomination or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1042035</wp:posOffset>
            </wp:positionV>
            <wp:extent cx="98615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3</w:t>
      </w:r>
    </w:p>
    <w:p>
      <w:pPr>
        <w:sectPr>
          <w:pgSz w:w="11900" w:h="16838" w:orient="portrait"/>
          <w:cols w:equalWidth="0" w:num="1">
            <w:col w:w="11240"/>
          </w:cols>
          <w:pgMar w:left="320" w:top="1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42"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has nominated the following eight persons as directors to serve until the 2024 Annual Meeting or until their successors have been duly elected. Each of the nominees is currently a director of Arrowhead and was elected most recently by stockholders at the 2022 Annual Meeting, except for Ms. Vakiener, who was appointed to the Board on May 2, 2022. Ms. Vakiener was initially recommended to the Nomination Committee by one of the Company’s non-executive officers.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None of the nominees is related by blood, marriage or adoption to any other nominee or any executive officer of the Company. The nominees receiving more “FOR” votes than “AGAINST” votes at the Annual Meeting will be elected to the eight director positions. Unless otherwise instructed, the proxy holders will vote the proxies received by them for the eight nominees named below. Under Delaware law, a director not receiving a majority of votes cast in an uncontested election would continue to serve as a director as a “holdover director” until the director resigns or is replaced. Under the Company’s director resignation policy, a director who is not reelected by a majority of the votes cast in an uncontested election will be required to tender his or her resignation to the Board, and the Board will then decide whether to accept or reject the resignation, or whether other action is required. Although we have no reason to believe this will occur, if any nominee is unable or declines to serve as director at the time of the Annual Meeting, the proxies will be voted for any nominee who is designated by our present Board to fill the vacancy or, alternatively, the Board may reduce its size. The table below sets forth, with respect to each nominee for election, the nominee’s age and current position with Arrowhead. The director nominees have indicated that they are willing and able to serve as directors. However, if any of the director nominees becomes unable or, for good cause, unwilling to serve, proxies may be voted for the election of such other person as shall be designated by our Board, or the Board may decrease the size of the Board.</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 the</w:t>
      </w:r>
      <w:r>
        <w:rPr>
          <w:rFonts w:ascii="Arial" w:cs="Arial" w:eastAsia="Arial" w:hAnsi="Arial"/>
          <w:sz w:val="16"/>
          <w:szCs w:val="16"/>
          <w:b w:val="1"/>
          <w:bCs w:val="1"/>
          <w:color w:val="0071CE"/>
        </w:rPr>
        <w:t xml:space="preserve"> </w:t>
      </w:r>
      <w:r>
        <w:rPr>
          <w:rFonts w:ascii="Arial" w:cs="Arial" w:eastAsia="Arial" w:hAnsi="Arial"/>
          <w:sz w:val="16"/>
          <w:szCs w:val="16"/>
          <w:color w:val="000000"/>
        </w:rPr>
        <w:t>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159385</wp:posOffset>
            </wp:positionV>
            <wp:extent cx="442341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23410" cy="403225"/>
                    </a:xfrm>
                    <a:prstGeom prst="rect">
                      <a:avLst/>
                    </a:prstGeom>
                    <a:noFill/>
                  </pic:spPr>
                </pic:pic>
              </a:graphicData>
            </a:graphic>
          </wp:anchor>
        </w:drawing>
      </w:r>
    </w:p>
    <w:p>
      <w:pPr>
        <w:spacing w:after="0" w:line="32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OUR BOARD UNANIMOUSLY RECOMMENDS A VOTE</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0071CE"/>
        </w:rPr>
        <w:t xml:space="preserve">“FOR” </w:t>
      </w:r>
      <w:r>
        <w:rPr>
          <w:rFonts w:ascii="Arial" w:cs="Arial" w:eastAsia="Arial" w:hAnsi="Arial"/>
          <w:sz w:val="16"/>
          <w:szCs w:val="16"/>
          <w:b w:val="1"/>
          <w:bCs w:val="1"/>
          <w:color w:val="000000"/>
        </w:rPr>
        <w:t>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790575</wp:posOffset>
            </wp:positionV>
            <wp:extent cx="9861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4</w:t>
      </w:r>
    </w:p>
    <w:p>
      <w:pPr>
        <w:sectPr>
          <w:pgSz w:w="11900" w:h="16838" w:orient="portrait"/>
          <w:cols w:equalWidth="0" w:num="1">
            <w:col w:w="11240"/>
          </w:cols>
          <w:pgMar w:left="320" w:top="19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71CE"/>
        </w:rPr>
        <w:t>Douglass Given, MD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71CE"/>
        </w:rPr>
        <w:t>Board Chair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ind w:left="260" w:hanging="152"/>
        <w:spacing w:after="0"/>
        <w:tabs>
          <w:tab w:leader="none" w:pos="260" w:val="left"/>
        </w:tabs>
        <w:numPr>
          <w:ilvl w:val="0"/>
          <w:numId w:val="4"/>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Dr. Given has been Managing Partner at Health2047 Capital Partners LLC, a healthcare-focused venture capital firm, since 2018. He served as Health2047 lnc.'s Chief Executive Officer from its founding in 2015 until 2018. Dr. Given has spent more than two decades in venture capital as an Investment Partner and General Partner at life sciences investor Bay City Capital LLC participating in five sequential life sciences general funds and two sector-specific funds; he was associated with the partnership from 1999-2015. Dr. Given is a physician and medical scientist. Since 1983, he has been a global corporate and operating executive at Lilly, Monsanto, Schering Plough and Mallinckrodt, and a serial entrepreneur. In addition to a number of private companies, Dr. Given led three public biopharmaceutical companies as CEO.</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Dr. Given has served on more than 20 public and private boards. He is currently our Board Chair, a Director at Health2047 Inc., Managing Partner at GS Partners LLC, and serves on the board at First Mile Care Inc, BrYet Health Ltd, Visirna Therapeutics, and Vivaldi Biosciences Inc. He serves in advisory roles on the University of Chicago Pritzker School of Medicine, and Biological Sciences Division Council (former Chair), Johns Hopkins Bloomberg School of Public Health, Health Advisory Board.</w:t>
      </w:r>
    </w:p>
    <w:p>
      <w:pPr>
        <w:spacing w:after="0" w:line="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Dr. Given received MD and PhD degrees from the University of Chicago, a MBA from the Wharton School at the University of Pennsylvania, and was a Clinical and Research Fellow in internal medicine and infectious diseases at Massachusetts General Hospital and Harvard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813435</wp:posOffset>
            </wp:positionV>
            <wp:extent cx="4920615" cy="1020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061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Qualifications</w:t>
      </w:r>
    </w:p>
    <w:p>
      <w:pPr>
        <w:spacing w:after="0" w:line="113" w:lineRule="exact"/>
        <w:rPr>
          <w:sz w:val="20"/>
          <w:szCs w:val="20"/>
          <w:color w:val="auto"/>
        </w:rPr>
      </w:pPr>
    </w:p>
    <w:p>
      <w:pPr>
        <w:ind w:left="140" w:right="120"/>
        <w:spacing w:after="0" w:line="265" w:lineRule="auto"/>
        <w:rPr>
          <w:sz w:val="20"/>
          <w:szCs w:val="20"/>
          <w:color w:val="auto"/>
        </w:rPr>
      </w:pPr>
      <w:r>
        <w:rPr>
          <w:rFonts w:ascii="Arial" w:cs="Arial" w:eastAsia="Arial" w:hAnsi="Arial"/>
          <w:sz w:val="16"/>
          <w:szCs w:val="16"/>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118110</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683895</wp:posOffset>
            </wp:positionV>
            <wp:extent cx="98615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5</w:t>
      </w:r>
    </w:p>
    <w:p>
      <w:pPr>
        <w:sectPr>
          <w:pgSz w:w="11900" w:h="16838" w:orient="portrait"/>
          <w:cols w:equalWidth="0" w:num="1">
            <w:col w:w="11240"/>
          </w:cols>
          <w:pgMar w:left="320" w:top="19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Michael S. Perry, DVM</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71CE"/>
        </w:rPr>
        <w:t>Independent Lead Director</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tc>
        <w:tc>
          <w:tcPr>
            <w:tcW w:w="8380" w:type="dxa"/>
            <w:vAlign w:val="bottom"/>
          </w:tcPr>
          <w:p>
            <w:pPr>
              <w:ind w:left="680"/>
              <w:spacing w:after="0"/>
              <w:rPr>
                <w:sz w:val="20"/>
                <w:szCs w:val="20"/>
                <w:color w:val="auto"/>
              </w:rPr>
            </w:pPr>
            <w:r>
              <w:rPr>
                <w:rFonts w:ascii="Arial" w:cs="Arial" w:eastAsia="Arial" w:hAnsi="Arial"/>
                <w:sz w:val="16"/>
                <w:szCs w:val="16"/>
                <w:b w:val="1"/>
                <w:bCs w:val="1"/>
                <w:color w:val="auto"/>
              </w:rPr>
              <w:t>Experience and Expertise</w:t>
            </w:r>
          </w:p>
        </w:tc>
      </w:tr>
      <w:tr>
        <w:trPr>
          <w:trHeight w:val="203"/>
        </w:trPr>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Dr. Perry is currently a Venture Partner with Bioscience Managers, a global venture capital firm. He also</w:t>
            </w:r>
          </w:p>
        </w:tc>
      </w:tr>
      <w:tr>
        <w:trPr>
          <w:trHeight w:val="189"/>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8380" w:type="dxa"/>
            <w:vAlign w:val="bottom"/>
          </w:tcPr>
          <w:p>
            <w:pPr>
              <w:ind w:left="680"/>
              <w:spacing w:after="0"/>
              <w:rPr>
                <w:sz w:val="20"/>
                <w:szCs w:val="20"/>
                <w:color w:val="auto"/>
              </w:rPr>
            </w:pPr>
            <w:r>
              <w:rPr>
                <w:rFonts w:ascii="Arial" w:cs="Arial" w:eastAsia="Arial" w:hAnsi="Arial"/>
                <w:sz w:val="16"/>
                <w:szCs w:val="16"/>
                <w:color w:val="auto"/>
              </w:rPr>
              <w:t>serves as Chairman and board member of 7 Hills Pharma, a private clinical stage pharmaceutical company.</w:t>
            </w:r>
          </w:p>
        </w:tc>
      </w:tr>
      <w:tr>
        <w:trPr>
          <w:trHeight w:val="189"/>
        </w:trPr>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Dr. Perry was Chief Executive Officer of Avita Medical, Inc., a regenerative medicine company based in</w:t>
            </w: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Serves on:</w:t>
            </w:r>
          </w:p>
        </w:tc>
        <w:tc>
          <w:tcPr>
            <w:tcW w:w="8380" w:type="dxa"/>
            <w:vAlign w:val="bottom"/>
          </w:tcPr>
          <w:p>
            <w:pPr>
              <w:ind w:left="680"/>
              <w:spacing w:after="0"/>
              <w:rPr>
                <w:sz w:val="20"/>
                <w:szCs w:val="20"/>
                <w:color w:val="auto"/>
              </w:rPr>
            </w:pPr>
            <w:r>
              <w:rPr>
                <w:rFonts w:ascii="Arial" w:cs="Arial" w:eastAsia="Arial" w:hAnsi="Arial"/>
                <w:sz w:val="16"/>
                <w:szCs w:val="16"/>
                <w:color w:val="auto"/>
              </w:rPr>
              <w:t>Valencia, CA (NASDAQ: RCEL) from 2017 to 2022. From 2014 to 2017, he served as Chief Scientific</w:t>
            </w:r>
          </w:p>
        </w:tc>
      </w:tr>
      <w:tr>
        <w:trPr>
          <w:trHeight w:val="189"/>
        </w:trPr>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8380" w:type="dxa"/>
            <w:vAlign w:val="bottom"/>
          </w:tcPr>
          <w:p>
            <w:pPr>
              <w:ind w:left="680"/>
              <w:spacing w:after="0"/>
              <w:rPr>
                <w:sz w:val="20"/>
                <w:szCs w:val="20"/>
                <w:color w:val="auto"/>
              </w:rPr>
            </w:pPr>
            <w:r>
              <w:rPr>
                <w:rFonts w:ascii="Arial" w:cs="Arial" w:eastAsia="Arial" w:hAnsi="Arial"/>
                <w:sz w:val="16"/>
                <w:szCs w:val="16"/>
                <w:color w:val="auto"/>
              </w:rPr>
              <w:t>Officer of Novartis' Cell and Gene Therapy Unit, and from 2012 to 2014 he served as Vice President and</w:t>
            </w:r>
          </w:p>
        </w:tc>
      </w:tr>
      <w:tr>
        <w:trPr>
          <w:trHeight w:val="203"/>
        </w:trPr>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Nomination Committee</w:t>
            </w:r>
          </w:p>
        </w:tc>
        <w:tc>
          <w:tcPr>
            <w:tcW w:w="8380" w:type="dxa"/>
            <w:vAlign w:val="bottom"/>
          </w:tcPr>
          <w:p>
            <w:pPr>
              <w:ind w:left="680"/>
              <w:spacing w:after="0"/>
              <w:rPr>
                <w:sz w:val="20"/>
                <w:szCs w:val="20"/>
                <w:color w:val="auto"/>
              </w:rPr>
            </w:pPr>
            <w:r>
              <w:rPr>
                <w:rFonts w:ascii="Arial" w:cs="Arial" w:eastAsia="Arial" w:hAnsi="Arial"/>
                <w:sz w:val="16"/>
                <w:szCs w:val="16"/>
                <w:color w:val="auto"/>
              </w:rPr>
              <w:t>Global Head of Stem Cell Therapy for Novartis Pharmaceuticals Corp, the US affiliate of Switzerland-based</w:t>
            </w:r>
          </w:p>
        </w:tc>
      </w:tr>
      <w:tr>
        <w:trPr>
          <w:trHeight w:val="189"/>
        </w:trPr>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 Science Committee</w:t>
            </w:r>
          </w:p>
        </w:tc>
        <w:tc>
          <w:tcPr>
            <w:tcW w:w="8380" w:type="dxa"/>
            <w:vAlign w:val="bottom"/>
          </w:tcPr>
          <w:p>
            <w:pPr>
              <w:ind w:left="680"/>
              <w:spacing w:after="0"/>
              <w:rPr>
                <w:sz w:val="20"/>
                <w:szCs w:val="20"/>
                <w:color w:val="auto"/>
              </w:rPr>
            </w:pPr>
            <w:r>
              <w:rPr>
                <w:rFonts w:ascii="Arial" w:cs="Arial" w:eastAsia="Arial" w:hAnsi="Arial"/>
                <w:sz w:val="16"/>
                <w:szCs w:val="16"/>
                <w:color w:val="auto"/>
              </w:rPr>
              <w:t>Novartis AG, a global pharmaceutical company. Dr. Perry has also served as SVP and Global Head of R&amp;D</w:t>
            </w:r>
          </w:p>
        </w:tc>
      </w:tr>
      <w:tr>
        <w:trPr>
          <w:trHeight w:val="189"/>
        </w:trPr>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at Baxter Healthcare, President and as CEO of Cell &amp; Gene Therapy at Novartis AG. Earlier in his career</w:t>
            </w:r>
          </w:p>
        </w:tc>
      </w:tr>
      <w:tr>
        <w:trPr>
          <w:trHeight w:val="215"/>
        </w:trPr>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he served as VP Regulatory Affairs at Novartis, Sandoz Pharmaceuticals, and Syntex Corporation. He also</w:t>
            </w:r>
          </w:p>
        </w:tc>
      </w:tr>
    </w:tbl>
    <w:p>
      <w:pPr>
        <w:ind w:left="3500" w:right="20"/>
        <w:spacing w:after="0" w:line="256" w:lineRule="auto"/>
        <w:rPr>
          <w:sz w:val="20"/>
          <w:szCs w:val="20"/>
          <w:color w:val="auto"/>
        </w:rPr>
      </w:pPr>
      <w:r>
        <w:rPr>
          <w:rFonts w:ascii="Arial" w:cs="Arial" w:eastAsia="Arial" w:hAnsi="Arial"/>
          <w:sz w:val="16"/>
          <w:szCs w:val="16"/>
          <w:color w:val="auto"/>
        </w:rPr>
        <w:t>served as Director of Regulatory Affairs at Schering-Plough Corporation. Dr. Perry also served as a Venture Partner with Bay City Capital, LLC for eight years. Dr. Perry has previously served as a board member for the following companies: Ampliphi Bioscience Corp, Gamida Cell Ltd, Targeted Genetics, Inc., American Xeno, Inc., BioTransplant, Inc., ltamar Biomedical Ltd, Systemix, Inc., Genetic Therapy, Inc., Extropy Pharmaceuticals, Inc, and Pharsight Corporation. Dr. Perry holds an Honors Bachelor of Science in Physics and Engineering and a PhD in Biomedical Pharmacology from the University of Guelph. He also holds a Doctor of Veterinary Medicine &amp; Surgery from Ontario Veterinary College and is a graduate of the International Advanced Management Program at Harvard Business School. Dr. Perry currently serves as Adjunct Professor at the Gates Center for Regenerative Medicine at the University of Colorado Anschutz Medical Campus and as Faculty at Houston Methodist and Chair of the Translational Medicine Advisory Board of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970915</wp:posOffset>
            </wp:positionV>
            <wp:extent cx="4920615" cy="882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061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3640" w:right="20"/>
        <w:spacing w:after="0" w:line="256"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1082040</wp:posOffset>
            </wp:positionV>
            <wp:extent cx="98615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71CE"/>
        </w:rPr>
        <w:t>6</w:t>
      </w:r>
    </w:p>
    <w:p>
      <w:pPr>
        <w:sectPr>
          <w:pgSz w:w="11900" w:h="16838" w:orient="portrait"/>
          <w:cols w:equalWidth="0" w:num="1">
            <w:col w:w="11220"/>
          </w:cols>
          <w:pgMar w:left="320" w:top="19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Christopher Anzalone, PhD</w:t>
      </w:r>
    </w:p>
    <w:p>
      <w:pPr>
        <w:ind w:left="20"/>
        <w:spacing w:after="0"/>
        <w:rPr>
          <w:sz w:val="20"/>
          <w:szCs w:val="20"/>
          <w:color w:val="auto"/>
        </w:rPr>
      </w:pPr>
      <w:r>
        <w:rPr>
          <w:rFonts w:ascii="Arial" w:cs="Arial" w:eastAsia="Arial" w:hAnsi="Arial"/>
          <w:sz w:val="20"/>
          <w:szCs w:val="20"/>
          <w:b w:val="1"/>
          <w:bCs w:val="1"/>
          <w:i w:val="1"/>
          <w:iCs w:val="1"/>
          <w:color w:val="0071CE"/>
        </w:rPr>
        <w:t>Chief Executive Officer, President &amp; Director</w:t>
      </w:r>
    </w:p>
    <w:p>
      <w:pPr>
        <w:sectPr>
          <w:pgSz w:w="11900" w:h="16838" w:orient="portrait"/>
          <w:cols w:equalWidth="0" w:num="1">
            <w:col w:w="11240"/>
          </w:cols>
          <w:pgMar w:left="320" w:top="198"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407670</wp:posOffset>
            </wp:positionV>
            <wp:extent cx="4920615" cy="891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560"/>
        <w:spacing w:after="0" w:line="256"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199390</wp:posOffset>
            </wp:positionV>
            <wp:extent cx="71234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919480</wp:posOffset>
            </wp:positionV>
            <wp:extent cx="9861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7</w:t>
      </w:r>
    </w:p>
    <w:p>
      <w:pPr>
        <w:sectPr>
          <w:pgSz w:w="11900" w:h="16838" w:orient="portrait"/>
          <w:cols w:equalWidth="0" w:num="1">
            <w:col w:w="11240"/>
          </w:cols>
          <w:pgMar w:left="320" w:top="19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71CE"/>
        </w:rPr>
        <w:t>Marianne De Backer, PhD, MBA</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21" w:lineRule="exact"/>
        <w:rPr>
          <w:sz w:val="20"/>
          <w:szCs w:val="20"/>
          <w:color w:val="auto"/>
        </w:rPr>
      </w:pPr>
    </w:p>
    <w:p>
      <w:pPr>
        <w:ind w:left="260" w:hanging="152"/>
        <w:spacing w:after="0"/>
        <w:tabs>
          <w:tab w:leader="none" w:pos="26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Nomination Committee (Chair)</w:t>
      </w:r>
    </w:p>
    <w:p>
      <w:pPr>
        <w:spacing w:after="0" w:line="18" w:lineRule="exact"/>
        <w:rPr>
          <w:rFonts w:ascii="Arial" w:cs="Arial" w:eastAsia="Arial" w:hAnsi="Arial"/>
          <w:sz w:val="16"/>
          <w:szCs w:val="16"/>
          <w:b w:val="1"/>
          <w:bCs w:val="1"/>
          <w:color w:val="0071CE"/>
        </w:rPr>
      </w:pPr>
    </w:p>
    <w:p>
      <w:pPr>
        <w:ind w:left="260" w:hanging="152"/>
        <w:spacing w:after="0"/>
        <w:tabs>
          <w:tab w:leader="none" w:pos="26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Audit Committee</w:t>
      </w:r>
    </w:p>
    <w:p>
      <w:pPr>
        <w:spacing w:after="0" w:line="5" w:lineRule="exact"/>
        <w:rPr>
          <w:rFonts w:ascii="Arial" w:cs="Arial" w:eastAsia="Arial" w:hAnsi="Arial"/>
          <w:sz w:val="16"/>
          <w:szCs w:val="16"/>
          <w:b w:val="1"/>
          <w:bCs w:val="1"/>
          <w:color w:val="0071CE"/>
        </w:rPr>
      </w:pPr>
    </w:p>
    <w:p>
      <w:pPr>
        <w:ind w:left="260" w:hanging="152"/>
        <w:spacing w:after="0"/>
        <w:tabs>
          <w:tab w:leader="none" w:pos="26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Compensation Committee</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21" w:lineRule="exact"/>
        <w:rPr>
          <w:sz w:val="20"/>
          <w:szCs w:val="20"/>
          <w:color w:val="auto"/>
        </w:rPr>
      </w:pPr>
    </w:p>
    <w:p>
      <w:pPr>
        <w:ind w:left="200" w:hanging="92"/>
        <w:spacing w:after="0"/>
        <w:tabs>
          <w:tab w:leader="none" w:pos="200" w:val="left"/>
        </w:tabs>
        <w:numPr>
          <w:ilvl w:val="0"/>
          <w:numId w:val="6"/>
        </w:numPr>
        <w:rPr>
          <w:rFonts w:ascii="Arial" w:cs="Arial" w:eastAsia="Arial" w:hAnsi="Arial"/>
          <w:sz w:val="16"/>
          <w:szCs w:val="16"/>
          <w:color w:val="026DCE"/>
        </w:rPr>
      </w:pPr>
      <w:r>
        <w:rPr>
          <w:rFonts w:ascii="Arial" w:cs="Arial" w:eastAsia="Arial" w:hAnsi="Arial"/>
          <w:sz w:val="16"/>
          <w:szCs w:val="16"/>
          <w:color w:val="auto"/>
        </w:rPr>
        <w:t>Kronos Bio, Inc.</w:t>
      </w:r>
    </w:p>
    <w:p>
      <w:pPr>
        <w:spacing w:after="0" w:line="14" w:lineRule="exact"/>
        <w:rPr>
          <w:rFonts w:ascii="Arial" w:cs="Arial" w:eastAsia="Arial" w:hAnsi="Arial"/>
          <w:sz w:val="16"/>
          <w:szCs w:val="16"/>
          <w:color w:val="026DCE"/>
        </w:rPr>
      </w:pPr>
    </w:p>
    <w:p>
      <w:pPr>
        <w:ind w:left="280" w:hanging="172"/>
        <w:spacing w:after="0" w:line="270" w:lineRule="auto"/>
        <w:tabs>
          <w:tab w:leader="none" w:pos="219" w:val="left"/>
        </w:tabs>
        <w:numPr>
          <w:ilvl w:val="0"/>
          <w:numId w:val="6"/>
        </w:numPr>
        <w:rPr>
          <w:rFonts w:ascii="Arial" w:cs="Arial" w:eastAsia="Arial" w:hAnsi="Arial"/>
          <w:sz w:val="16"/>
          <w:szCs w:val="16"/>
          <w:color w:val="026DCE"/>
        </w:rPr>
      </w:pPr>
      <w:r>
        <w:rPr>
          <w:rFonts w:ascii="Arial" w:cs="Arial" w:eastAsia="Arial" w:hAnsi="Arial"/>
          <w:sz w:val="16"/>
          <w:szCs w:val="16"/>
          <w:color w:val="auto"/>
        </w:rPr>
        <w:t>Vir Biotechnology, Inc. (effective as of April 3,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Dr. De Backer brings over 25 years of international experience in healthcare, biotechnology, innovation, strategy, business and corporate development. She has served as member of the Executive Committee, Executive Vice President and Head of Strategy, Business Development and Licensing, and Open Innovation of the pharmaceuticals division of Bayer AG (BAYRY) since 2019. She also serves on the board of directors of Gladstone Foundation, and Bayer-acquired companies Bluerock Therapeutics, AskBio, and Vividion Therapeutics. Previously, from 1991 through 2018, she was at Johnson &amp; Johnson (NYSE: JNJ) where she most recently held global Corporate Development and Venture Investor roles including the position of Global Vice President of M&amp;A Operations and Divestitures globally for the Pharmaceuticals Group and head of Infectious Diseases &amp; Vaccines Business Development. Prior to that she led a commercial business unit in Europe as well as drug discovery research teams in both Europe and the United States. In 2022, Dr. De Backer was recognized by BCG and Manager Magazin as one of the 100 Most Influential Women in German business and Top 25 Women Leaders in Biotechnology by Healthcare Technology Report. In 2021, she was named one of the Fiercest Women in Life Sciences by Fierce Pharma. Dr. De Backer holds an MBA from Erasmus University Rotterdam, a Master’s degree in Molecular Biology and Biotechnology from Vrije Universiteit Brussels, and a Master’s degree in Engineering and a PhD in Biotechnology from Ghent University.</w:t>
      </w:r>
    </w:p>
    <w:p>
      <w:pPr>
        <w:spacing w:after="0" w:line="1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i w:val="1"/>
          <w:iCs w:val="1"/>
          <w:color w:val="auto"/>
        </w:rPr>
        <w:t>On January 25, 2023 it was announced that Dr. De Backer was appointed as Chief Executive Officer of Vir Biotechnology, Inc., effective as of April 3, 2023. Dr. De Backer will also join Vir's board of directors, effective as of April 3, 2023. Subsequently, on January 26, 2023, it was announced that Dr. De Backer will resign as board member of Kronos Bio, Inc., effective likely in the first or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866775</wp:posOffset>
            </wp:positionV>
            <wp:extent cx="4929505" cy="891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9505" cy="8915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20"/>
            <w:col w:w="78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3540" w:right="240"/>
        <w:spacing w:after="0" w:line="256" w:lineRule="auto"/>
        <w:rPr>
          <w:sz w:val="20"/>
          <w:szCs w:val="20"/>
          <w:color w:val="auto"/>
        </w:rPr>
      </w:pPr>
      <w:r>
        <w:rPr>
          <w:rFonts w:ascii="Arial" w:cs="Arial" w:eastAsia="Arial" w:hAnsi="Arial"/>
          <w:sz w:val="16"/>
          <w:szCs w:val="16"/>
          <w:color w:val="auto"/>
        </w:rPr>
        <w:t>Dr. De Backer’s qualifications to serve on the Board include her extensive background in the biopharmaceutical industry, her scientific drug development and pharmaceutical transaction experience, as well as her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719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7199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1090930</wp:posOffset>
            </wp:positionV>
            <wp:extent cx="98615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71CE"/>
        </w:rPr>
        <w:t>8</w:t>
      </w:r>
    </w:p>
    <w:p>
      <w:pPr>
        <w:sectPr>
          <w:pgSz w:w="11900" w:h="16838" w:orient="portrait"/>
          <w:cols w:equalWidth="0" w:num="1">
            <w:col w:w="11220"/>
          </w:cols>
          <w:pgMar w:left="320" w:top="198"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Mauro Ferrari, PhD</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60" w:hanging="152"/>
        <w:spacing w:after="0"/>
        <w:tabs>
          <w:tab w:leader="none" w:pos="260" w:val="left"/>
        </w:tabs>
        <w:numPr>
          <w:ilvl w:val="0"/>
          <w:numId w:val="7"/>
        </w:numPr>
        <w:rPr>
          <w:rFonts w:ascii="Arial" w:cs="Arial" w:eastAsia="Arial" w:hAnsi="Arial"/>
          <w:sz w:val="18"/>
          <w:szCs w:val="18"/>
          <w:color w:val="0071CE"/>
        </w:rPr>
      </w:pPr>
      <w:r>
        <w:rPr>
          <w:rFonts w:ascii="Arial" w:cs="Arial" w:eastAsia="Arial" w:hAnsi="Arial"/>
          <w:sz w:val="16"/>
          <w:szCs w:val="16"/>
          <w:color w:val="auto"/>
        </w:rPr>
        <w:t>Science Committee (Co-Chair)</w:t>
      </w:r>
    </w:p>
    <w:p>
      <w:pPr>
        <w:spacing w:after="0" w:line="11" w:lineRule="exact"/>
        <w:rPr>
          <w:rFonts w:ascii="Arial" w:cs="Arial" w:eastAsia="Arial" w:hAnsi="Arial"/>
          <w:sz w:val="18"/>
          <w:szCs w:val="18"/>
          <w:color w:val="0071CE"/>
        </w:rPr>
      </w:pPr>
    </w:p>
    <w:p>
      <w:pPr>
        <w:ind w:left="260" w:hanging="152"/>
        <w:spacing w:after="0"/>
        <w:tabs>
          <w:tab w:leader="none" w:pos="260" w:val="left"/>
        </w:tabs>
        <w:numPr>
          <w:ilvl w:val="0"/>
          <w:numId w:val="7"/>
        </w:numPr>
        <w:rPr>
          <w:rFonts w:ascii="Arial" w:cs="Arial" w:eastAsia="Arial" w:hAnsi="Arial"/>
          <w:sz w:val="16"/>
          <w:szCs w:val="16"/>
          <w:b w:val="1"/>
          <w:bCs w:val="1"/>
          <w:color w:val="0071CE"/>
        </w:rPr>
      </w:pPr>
      <w:r>
        <w:rPr>
          <w:rFonts w:ascii="Arial" w:cs="Arial" w:eastAsia="Arial" w:hAnsi="Arial"/>
          <w:sz w:val="16"/>
          <w:szCs w:val="16"/>
          <w:color w:val="auto"/>
        </w:rPr>
        <w:t>Audit Committee</w:t>
      </w:r>
    </w:p>
    <w:p>
      <w:pPr>
        <w:spacing w:after="0" w:line="18" w:lineRule="exact"/>
        <w:rPr>
          <w:rFonts w:ascii="Arial" w:cs="Arial" w:eastAsia="Arial" w:hAnsi="Arial"/>
          <w:sz w:val="16"/>
          <w:szCs w:val="16"/>
          <w:b w:val="1"/>
          <w:bCs w:val="1"/>
          <w:color w:val="0071CE"/>
        </w:rPr>
      </w:pPr>
    </w:p>
    <w:p>
      <w:pPr>
        <w:ind w:left="260" w:hanging="152"/>
        <w:spacing w:after="0"/>
        <w:tabs>
          <w:tab w:leader="none" w:pos="260" w:val="left"/>
        </w:tabs>
        <w:numPr>
          <w:ilvl w:val="0"/>
          <w:numId w:val="7"/>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Dr. Ferrari currently serves as Affiliate Professor of Pharmaceutics at the University of Washington in Seattle, Washington and as CEO of BrYet Pharmaceutics in Houston, Texas. From 2010 to 2019, Dr. Ferrari served in several different capacities at the Houston Methodist Hospital, including President and CEO of The Houston Methodist Hospital Research Institute (TMHRI), Executive Vice President of Houston Methodist Hospital, and Senior Associate Dean of the hospital’s academic affiliate, Weill Cornell Medical College in New York. Dr. Ferrari is an internationally recognized expert in cancer therapeutics, nanomedicine and biomedical nanotechnology. His previous academic appointments include tenured professorships at his graduate Alma Mater UC Berkeley, The Ohio State University, as Professor and Chair of The Department of NanoMedicine and Biomedical Engineering at The University of Texas Health Science Center, Professor of Experimental Therapeutics at the MD Anderson Cancer Center, and Adjunct Professor of Bioengineering at Rice University. From 2003 to 2005, Dr. Ferrari served as Special Expert on Nanotechnology and Eminent Scholar at The National Cancer Institute. He has received many National and International awards and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614045</wp:posOffset>
            </wp:positionV>
            <wp:extent cx="4920615" cy="137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061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40"/>
        <w:spacing w:after="0" w:line="257"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nanotechnology, biotechnology and biomedical applications. Dr. Ferrari has significant technical training, several academic appointments, over 500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242570</wp:posOffset>
            </wp:positionV>
            <wp:extent cx="71234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1073785</wp:posOffset>
            </wp:positionV>
            <wp:extent cx="9861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9</w:t>
      </w:r>
    </w:p>
    <w:p>
      <w:pPr>
        <w:sectPr>
          <w:pgSz w:w="11900" w:h="16838" w:orient="portrait"/>
          <w:cols w:equalWidth="0" w:num="1">
            <w:col w:w="11240"/>
          </w:cols>
          <w:pgMar w:left="320" w:top="19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Adeoye Olukotun, MD, MPH</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21" w:lineRule="exact"/>
        <w:rPr>
          <w:sz w:val="20"/>
          <w:szCs w:val="20"/>
          <w:color w:val="auto"/>
        </w:rPr>
      </w:pPr>
    </w:p>
    <w:p>
      <w:pPr>
        <w:ind w:left="260" w:hanging="152"/>
        <w:spacing w:after="0"/>
        <w:tabs>
          <w:tab w:leader="none" w:pos="260" w:val="left"/>
        </w:tabs>
        <w:numPr>
          <w:ilvl w:val="0"/>
          <w:numId w:val="8"/>
        </w:numPr>
        <w:rPr>
          <w:rFonts w:ascii="Arial" w:cs="Arial" w:eastAsia="Arial" w:hAnsi="Arial"/>
          <w:sz w:val="16"/>
          <w:szCs w:val="16"/>
          <w:color w:val="0071CE"/>
        </w:rPr>
      </w:pPr>
      <w:r>
        <w:rPr>
          <w:rFonts w:ascii="Arial" w:cs="Arial" w:eastAsia="Arial" w:hAnsi="Arial"/>
          <w:sz w:val="16"/>
          <w:szCs w:val="16"/>
          <w:color w:val="auto"/>
        </w:rPr>
        <w:t>Science Committee (Co-Chair)</w:t>
      </w:r>
    </w:p>
    <w:p>
      <w:pPr>
        <w:spacing w:after="0" w:line="14" w:lineRule="exact"/>
        <w:rPr>
          <w:rFonts w:ascii="Arial" w:cs="Arial" w:eastAsia="Arial" w:hAnsi="Arial"/>
          <w:sz w:val="16"/>
          <w:szCs w:val="16"/>
          <w:color w:val="0071CE"/>
        </w:rPr>
      </w:pPr>
    </w:p>
    <w:p>
      <w:pPr>
        <w:ind w:left="260" w:hanging="152"/>
        <w:spacing w:after="0"/>
        <w:tabs>
          <w:tab w:leader="none" w:pos="260" w:val="left"/>
        </w:tabs>
        <w:numPr>
          <w:ilvl w:val="0"/>
          <w:numId w:val="8"/>
        </w:numPr>
        <w:rPr>
          <w:rFonts w:ascii="Arial" w:cs="Arial" w:eastAsia="Arial" w:hAnsi="Arial"/>
          <w:sz w:val="16"/>
          <w:szCs w:val="16"/>
          <w:color w:val="0071CE"/>
        </w:rPr>
      </w:pPr>
      <w:r>
        <w:rPr>
          <w:rFonts w:ascii="Arial" w:cs="Arial" w:eastAsia="Arial" w:hAnsi="Arial"/>
          <w:sz w:val="16"/>
          <w:szCs w:val="16"/>
          <w:color w:val="auto"/>
        </w:rPr>
        <w:t>Nomination Committee</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32" w:lineRule="exact"/>
        <w:rPr>
          <w:sz w:val="20"/>
          <w:szCs w:val="20"/>
          <w:color w:val="auto"/>
        </w:rPr>
      </w:pPr>
    </w:p>
    <w:p>
      <w:pPr>
        <w:ind w:left="260" w:hanging="152"/>
        <w:spacing w:after="0"/>
        <w:tabs>
          <w:tab w:leader="none" w:pos="260" w:val="left"/>
        </w:tabs>
        <w:numPr>
          <w:ilvl w:val="0"/>
          <w:numId w:val="9"/>
        </w:numPr>
        <w:rPr>
          <w:rFonts w:ascii="Arial" w:cs="Arial" w:eastAsia="Arial" w:hAnsi="Arial"/>
          <w:sz w:val="18"/>
          <w:szCs w:val="18"/>
          <w:color w:val="0071CE"/>
        </w:rPr>
      </w:pPr>
      <w:r>
        <w:rPr>
          <w:rFonts w:ascii="Arial" w:cs="Arial" w:eastAsia="Arial" w:hAnsi="Arial"/>
          <w:sz w:val="16"/>
          <w:szCs w:val="16"/>
          <w:color w:val="auto"/>
        </w:rPr>
        <w:t>Tonix Pharmaceuticals Holding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Dr. Olukotun is a Mayo Clinic trained cardiologist who has served as Chief Executive Officer of CR Strategies, LLC, which consults on clinical trial design and FDA strategy for pharmaceutical development , since 2001. Dr. Olukotun currently serves on the board of directors of Tonix Pharmaceuticals Holding Corp. (NASDAQ: TNXP), a clinical-stage biopharmaceuticals company. He served as CEO of Epigen Pharmaceuticals, Inc., a discovery phase biotechnology company, from 2014 to 2017, and Vice Board Chair of CardioVax, Inc., a clinical-stage biopharmaceutical company, from 2012 to 2016. He spent the first 20 years of his career in roles of increasing responsibility in clinical development, including multiple product approvals, at Pfizer, Bristol-Myers Squibb, and Mallinckrodt. He has over 35 years of experience in the pharmaceutical industry and has been instrumental in the approval and success of numerous cardiology and metabolic medicines, including the first daily beta blocker and the first approved ACE inhibitor, among others. Dr. Olukotun received his Medical Doctor degree from the Albert Einstein College of Medicine in New York, and a Masters in Public Health from Harvard University School of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621030</wp:posOffset>
            </wp:positionV>
            <wp:extent cx="4920615" cy="891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20"/>
        <w:spacing w:after="0" w:line="256" w:lineRule="auto"/>
        <w:rPr>
          <w:sz w:val="20"/>
          <w:szCs w:val="20"/>
          <w:color w:val="auto"/>
        </w:rPr>
      </w:pPr>
      <w:r>
        <w:rPr>
          <w:rFonts w:ascii="Arial" w:cs="Arial" w:eastAsia="Arial" w:hAnsi="Arial"/>
          <w:sz w:val="16"/>
          <w:szCs w:val="16"/>
          <w:color w:val="auto"/>
        </w:rPr>
        <w:t>Dr. Olukotun’s qualifications to serve on the Board include his extensive background in biopharmaceutical development, particularly in the cardiometabolic field, his scientific and public health expertise, and his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199390</wp:posOffset>
            </wp:positionV>
            <wp:extent cx="7123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580"/>
            <w:col w:w="77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97F"/>
        </w:rPr>
        <w:t>Victoria Vakiener</w:t>
      </w:r>
    </w:p>
    <w:p>
      <w:pPr>
        <w:ind w:left="20"/>
        <w:spacing w:after="0"/>
        <w:rPr>
          <w:sz w:val="20"/>
          <w:szCs w:val="20"/>
          <w:color w:val="auto"/>
        </w:rPr>
      </w:pPr>
      <w:r>
        <w:rPr>
          <w:rFonts w:ascii="Arial" w:cs="Arial" w:eastAsia="Arial" w:hAnsi="Arial"/>
          <w:sz w:val="19"/>
          <w:szCs w:val="19"/>
          <w:b w:val="1"/>
          <w:bCs w:val="1"/>
          <w:i w:val="1"/>
          <w:iCs w:val="1"/>
          <w:color w:val="0071CE"/>
        </w:rPr>
        <w:t>Independent Director</w:t>
      </w:r>
    </w:p>
    <w:p>
      <w:pPr>
        <w:sectPr>
          <w:pgSz w:w="11900" w:h="16838" w:orient="portrait"/>
          <w:cols w:equalWidth="0" w:num="1">
            <w:col w:w="11220"/>
          </w:cols>
          <w:pgMar w:left="320" w:top="198" w:right="359" w:bottom="1440" w:gutter="0" w:footer="0" w:header="0"/>
          <w:type w:val="continuous"/>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ind w:left="260" w:hanging="153"/>
        <w:spacing w:after="0"/>
        <w:tabs>
          <w:tab w:leader="none" w:pos="260" w:val="left"/>
        </w:tabs>
        <w:numPr>
          <w:ilvl w:val="0"/>
          <w:numId w:val="10"/>
        </w:numPr>
        <w:rPr>
          <w:rFonts w:ascii="Arial" w:cs="Arial" w:eastAsia="Arial" w:hAnsi="Arial"/>
          <w:sz w:val="16"/>
          <w:szCs w:val="16"/>
          <w:color w:val="026DCE"/>
        </w:rPr>
      </w:pPr>
      <w:r>
        <w:rPr>
          <w:rFonts w:ascii="Arial" w:cs="Arial" w:eastAsia="Arial" w:hAnsi="Arial"/>
          <w:sz w:val="16"/>
          <w:szCs w:val="16"/>
          <w:color w:val="auto"/>
        </w:rPr>
        <w:t>Audit Committee</w:t>
      </w:r>
    </w:p>
    <w:p>
      <w:pPr>
        <w:ind w:left="260" w:hanging="153"/>
        <w:spacing w:after="0"/>
        <w:tabs>
          <w:tab w:leader="none" w:pos="260" w:val="left"/>
        </w:tabs>
        <w:numPr>
          <w:ilvl w:val="0"/>
          <w:numId w:val="10"/>
        </w:numPr>
        <w:rPr>
          <w:rFonts w:ascii="Arial" w:cs="Arial" w:eastAsia="Arial" w:hAnsi="Arial"/>
          <w:sz w:val="16"/>
          <w:szCs w:val="16"/>
          <w:color w:val="026DCE"/>
        </w:rPr>
      </w:pPr>
      <w:r>
        <w:rPr>
          <w:rFonts w:ascii="Arial" w:cs="Arial" w:eastAsia="Arial" w:hAnsi="Arial"/>
          <w:sz w:val="16"/>
          <w:szCs w:val="16"/>
          <w:color w:val="auto"/>
        </w:rPr>
        <w:t>Nomination Committee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8" w:lineRule="exact"/>
        <w:rPr>
          <w:sz w:val="20"/>
          <w:szCs w:val="20"/>
          <w:color w:val="auto"/>
        </w:rPr>
      </w:pPr>
    </w:p>
    <w:p>
      <w:pPr>
        <w:ind w:left="260" w:hanging="153"/>
        <w:spacing w:after="0"/>
        <w:tabs>
          <w:tab w:leader="none" w:pos="260" w:val="left"/>
        </w:tabs>
        <w:numPr>
          <w:ilvl w:val="0"/>
          <w:numId w:val="11"/>
        </w:numPr>
        <w:rPr>
          <w:rFonts w:ascii="Arial" w:cs="Arial" w:eastAsia="Arial" w:hAnsi="Arial"/>
          <w:sz w:val="16"/>
          <w:szCs w:val="16"/>
          <w:color w:val="026DCE"/>
        </w:rPr>
      </w:pPr>
      <w:r>
        <w:rPr>
          <w:rFonts w:ascii="Arial" w:cs="Arial" w:eastAsia="Arial" w:hAnsi="Arial"/>
          <w:sz w:val="16"/>
          <w:szCs w:val="16"/>
          <w:color w:val="auto"/>
        </w:rPr>
        <w:t>Chimerix, Inc.</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Ms. Vakiener currently serves on the board of directors of Chimerix (NASDAQ: CMRX), a clinical-stage biopharmaceutical company. From November 2018 through September 2021, she served as Chief Commercial Officer of Epizyme, Inc., a biopharmaceutical company that was acquired in 2022, where she built the commercial organization and launched TAZVERIK for two indications within six months. Prior to joining Epizyme, Ms. Vakiener was an executive at Johnson &amp; Johnson (NYSE: JNJ) for more than twenty years where she held positions of leadership with increasing responsibility across the company’s pharmaceutical and diagnostics businesses. Ms. Vakiener began her pharmaceutical career at Schering-Plough, where she spent nine years in both scientific and commercial roles. Ms. Vakiener received a BS in Biochemistry from Albright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596265</wp:posOffset>
            </wp:positionV>
            <wp:extent cx="4928870" cy="643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8870" cy="643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3640" w:right="300"/>
        <w:spacing w:after="0" w:line="265" w:lineRule="auto"/>
        <w:rPr>
          <w:sz w:val="20"/>
          <w:szCs w:val="20"/>
          <w:color w:val="auto"/>
        </w:rPr>
      </w:pPr>
      <w:r>
        <w:rPr>
          <w:rFonts w:ascii="Arial" w:cs="Arial" w:eastAsia="Arial" w:hAnsi="Arial"/>
          <w:sz w:val="16"/>
          <w:szCs w:val="16"/>
          <w:color w:val="auto"/>
        </w:rPr>
        <w:t>Ms. Vakiener’s qualifications to serve on the Board include her deep commercial experience and expertise, her scientific development experience, and her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623570</wp:posOffset>
            </wp:positionV>
            <wp:extent cx="98615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71CE"/>
        </w:rPr>
        <w:t>10</w:t>
      </w:r>
    </w:p>
    <w:p>
      <w:pPr>
        <w:sectPr>
          <w:pgSz w:w="11900" w:h="16838" w:orient="portrait"/>
          <w:cols w:equalWidth="0" w:num="1">
            <w:col w:w="11220"/>
          </w:cols>
          <w:pgMar w:left="320" w:top="198"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William Waddill</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ind w:left="260" w:hanging="152"/>
        <w:spacing w:after="0"/>
        <w:tabs>
          <w:tab w:leader="none" w:pos="26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Audit Committee (Chair)</w:t>
      </w:r>
    </w:p>
    <w:p>
      <w:pPr>
        <w:ind w:left="260" w:hanging="152"/>
        <w:spacing w:after="0" w:line="211" w:lineRule="auto"/>
        <w:tabs>
          <w:tab w:leader="none" w:pos="26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 Compensation Committee (Chair)</w:t>
      </w:r>
    </w:p>
    <w:p>
      <w:pPr>
        <w:ind w:left="260" w:hanging="152"/>
        <w:spacing w:after="0"/>
        <w:tabs>
          <w:tab w:leader="none" w:pos="260" w:val="left"/>
        </w:tabs>
        <w:numPr>
          <w:ilvl w:val="0"/>
          <w:numId w:val="12"/>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8" w:lineRule="exact"/>
        <w:rPr>
          <w:sz w:val="20"/>
          <w:szCs w:val="20"/>
          <w:color w:val="auto"/>
        </w:rPr>
      </w:pPr>
    </w:p>
    <w:p>
      <w:pPr>
        <w:ind w:left="260" w:hanging="152"/>
        <w:spacing w:after="0"/>
        <w:tabs>
          <w:tab w:leader="none" w:pos="26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Protagonist Therapeutics, Inc.</w:t>
      </w:r>
    </w:p>
    <w:p>
      <w:pPr>
        <w:spacing w:after="0" w:line="5" w:lineRule="exact"/>
        <w:rPr>
          <w:rFonts w:ascii="Arial" w:cs="Arial" w:eastAsia="Arial" w:hAnsi="Arial"/>
          <w:sz w:val="16"/>
          <w:szCs w:val="16"/>
          <w:color w:val="0071CE"/>
        </w:rPr>
      </w:pPr>
    </w:p>
    <w:p>
      <w:pPr>
        <w:ind w:left="260" w:hanging="152"/>
        <w:spacing w:after="0"/>
        <w:tabs>
          <w:tab w:leader="none" w:pos="26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 Annexon Biosciences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Mr. Waddill began his career over 35 years ago in commercial banking and public accounting and has been in the biotechnology industry for over 30 years. He currently serves on the boards of Protagonist Therapeutics (NASDAQ: PTGX) and Annexon Biosciences (NASDAQ: ANNX), both clinical-stage biopharmaceutical companies. Mr. Waddill was Senior Vice President and CFO of Calithera Bioscience (NASDAQ: CALA), from 2014 to 2016 and Senior Vice President and CFO at OncoMed Pharmaceuticals from 2007 to 2014, both of which were public clinical-stage biopharmaceutical companies. Prior to that, he served as the Senior Vice President and CFO of Ilypsa, Inc., a biotechnology company that was acquired in 2007 by Amgen, Inc. Before joining Ilypsa, he served as the founder and principal at Square One Finance, a financial consulting business.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347980</wp:posOffset>
            </wp:positionV>
            <wp:extent cx="4920615" cy="754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206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40"/>
        <w:spacing w:after="0" w:line="256"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and audit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62230</wp:posOffset>
            </wp:positionV>
            <wp:extent cx="7123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628015</wp:posOffset>
            </wp:positionV>
            <wp:extent cx="98615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040"/>
        <w:spacing w:after="0"/>
        <w:rPr>
          <w:sz w:val="20"/>
          <w:szCs w:val="20"/>
          <w:color w:val="auto"/>
        </w:rPr>
      </w:pPr>
      <w:r>
        <w:rPr>
          <w:rFonts w:ascii="Arial" w:cs="Arial" w:eastAsia="Arial" w:hAnsi="Arial"/>
          <w:sz w:val="16"/>
          <w:szCs w:val="16"/>
          <w:b w:val="1"/>
          <w:bCs w:val="1"/>
          <w:color w:val="0071CE"/>
        </w:rPr>
        <w:t>11</w:t>
      </w:r>
    </w:p>
    <w:p>
      <w:pPr>
        <w:sectPr>
          <w:pgSz w:w="11900" w:h="16838" w:orient="portrait"/>
          <w:cols w:equalWidth="0" w:num="1">
            <w:col w:w="11240"/>
          </w:cols>
          <w:pgMar w:left="320" w:top="19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Nomination Committee of the Board annually considers the size, composition and needs of the Board and, as appropriate, recommends the nominees for directors to the Board for approval. The Nomination Committee considers and evaluates suggestions from many sources regarding possible candidates for directors. Below are general criteria for the evaluation of current and proposed directors:</w:t>
      </w:r>
    </w:p>
    <w:p>
      <w:pPr>
        <w:spacing w:after="0" w:line="8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highest ethical character and shared values with our Code of Corporate Conduct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Accomplishment within candidate’s field, with superior credentials and recognition</w:t>
      </w:r>
    </w:p>
    <w:p>
      <w:pPr>
        <w:spacing w:after="0" w:line="113"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Relevant expertise and experience and the ability to offer advice and guidance to the Chief Executive Officer based on such expertise and experience</w:t>
      </w:r>
    </w:p>
    <w:p>
      <w:pPr>
        <w:spacing w:after="0" w:line="29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exercise sound business judgment</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Nomination Committee considers the mix of skills and experience among current and prospective directors with a goal of assembling a Board with complementary skills for the benefit of the Company. Listed below are selected key contributions of each current Board member. The table is not intended to be an exhaustive summary of all the contributions of each Board member.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40" w:type="dxa"/>
            <w:vAlign w:val="bottom"/>
            <w:tcBorders>
              <w:bottom w:val="single" w:sz="8" w:color="0071CE"/>
            </w:tcBorders>
            <w:shd w:val="clear" w:color="auto" w:fill="0071CE"/>
          </w:tcPr>
          <w:p>
            <w:pPr>
              <w:ind w:left="100"/>
              <w:spacing w:after="0"/>
              <w:rPr>
                <w:sz w:val="20"/>
                <w:szCs w:val="20"/>
                <w:color w:val="auto"/>
              </w:rPr>
            </w:pPr>
            <w:r>
              <w:rPr>
                <w:rFonts w:ascii="Arial" w:cs="Arial" w:eastAsia="Arial" w:hAnsi="Arial"/>
                <w:sz w:val="14"/>
                <w:szCs w:val="14"/>
                <w:b w:val="1"/>
                <w:bCs w:val="1"/>
                <w:color w:val="FFFFFF"/>
              </w:rPr>
              <w:t>Expertise</w:t>
            </w:r>
          </w:p>
        </w:tc>
        <w:tc>
          <w:tcPr>
            <w:tcW w:w="1220" w:type="dxa"/>
            <w:vAlign w:val="bottom"/>
            <w:tcBorders>
              <w:bottom w:val="single" w:sz="8" w:color="0071CE"/>
            </w:tcBorders>
            <w:shd w:val="clear" w:color="auto" w:fill="0071CE"/>
          </w:tcPr>
          <w:p>
            <w:pPr>
              <w:jc w:val="center"/>
              <w:ind w:left="144"/>
              <w:spacing w:after="0"/>
              <w:rPr>
                <w:sz w:val="20"/>
                <w:szCs w:val="20"/>
                <w:color w:val="auto"/>
              </w:rPr>
            </w:pPr>
            <w:r>
              <w:rPr>
                <w:rFonts w:ascii="Arial" w:cs="Arial" w:eastAsia="Arial" w:hAnsi="Arial"/>
                <w:sz w:val="14"/>
                <w:szCs w:val="14"/>
                <w:b w:val="1"/>
                <w:bCs w:val="1"/>
                <w:color w:val="FFFFFF"/>
              </w:rPr>
              <w:t>Given</w:t>
            </w:r>
          </w:p>
        </w:tc>
        <w:tc>
          <w:tcPr>
            <w:tcW w:w="9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11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12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De Backer</w:t>
            </w:r>
          </w:p>
        </w:tc>
        <w:tc>
          <w:tcPr>
            <w:tcW w:w="9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Ferrari</w:t>
            </w:r>
          </w:p>
        </w:tc>
        <w:tc>
          <w:tcPr>
            <w:tcW w:w="11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Olukotun</w:t>
            </w:r>
          </w:p>
        </w:tc>
        <w:tc>
          <w:tcPr>
            <w:tcW w:w="11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Vakiener</w:t>
            </w:r>
          </w:p>
        </w:tc>
        <w:tc>
          <w:tcPr>
            <w:tcW w:w="10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Waddill</w:t>
            </w:r>
          </w:p>
        </w:tc>
        <w:tc>
          <w:tcPr>
            <w:tcW w:w="0" w:type="dxa"/>
            <w:vAlign w:val="bottom"/>
          </w:tcPr>
          <w:p>
            <w:pPr>
              <w:spacing w:after="0"/>
              <w:rPr>
                <w:sz w:val="1"/>
                <w:szCs w:val="1"/>
                <w:color w:val="auto"/>
              </w:rPr>
            </w:pPr>
          </w:p>
        </w:tc>
      </w:tr>
      <w:tr>
        <w:trPr>
          <w:trHeight w:val="189"/>
        </w:trPr>
        <w:tc>
          <w:tcPr>
            <w:tcW w:w="22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Biopharma Research</w:t>
            </w:r>
          </w:p>
        </w:tc>
        <w:tc>
          <w:tcPr>
            <w:tcW w:w="1220" w:type="dxa"/>
            <w:vAlign w:val="bottom"/>
            <w:vMerge w:val="restart"/>
            <w:shd w:val="clear" w:color="auto" w:fill="E5E5E5"/>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rPr>
              <w:t>X</w:t>
            </w:r>
          </w:p>
        </w:tc>
        <w:tc>
          <w:tcPr>
            <w:tcW w:w="11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240" w:type="dxa"/>
            <w:vAlign w:val="bottom"/>
            <w:vMerge w:val="restart"/>
            <w:shd w:val="clear" w:color="auto" w:fill="E5E5E5"/>
          </w:tcPr>
          <w:p>
            <w:pPr>
              <w:ind w:left="140"/>
              <w:spacing w:after="0"/>
              <w:rPr>
                <w:sz w:val="20"/>
                <w:szCs w:val="20"/>
                <w:color w:val="auto"/>
              </w:rPr>
            </w:pPr>
            <w:r>
              <w:rPr>
                <w:rFonts w:ascii="Arial" w:cs="Arial" w:eastAsia="Arial" w:hAnsi="Arial"/>
                <w:sz w:val="15"/>
                <w:szCs w:val="15"/>
                <w:b w:val="1"/>
                <w:bCs w:val="1"/>
                <w:color w:val="auto"/>
              </w:rPr>
              <w:t>&amp; Development</w:t>
            </w:r>
          </w:p>
        </w:tc>
        <w:tc>
          <w:tcPr>
            <w:tcW w:w="1220" w:type="dxa"/>
            <w:vAlign w:val="bottom"/>
            <w:vMerge w:val="continue"/>
            <w:shd w:val="clear" w:color="auto" w:fill="E5E5E5"/>
          </w:tcPr>
          <w:p>
            <w:pPr>
              <w:spacing w:after="0"/>
              <w:rPr>
                <w:sz w:val="10"/>
                <w:szCs w:val="10"/>
                <w:color w:val="auto"/>
              </w:rPr>
            </w:pPr>
          </w:p>
        </w:tc>
        <w:tc>
          <w:tcPr>
            <w:tcW w:w="940" w:type="dxa"/>
            <w:vAlign w:val="bottom"/>
            <w:vMerge w:val="continue"/>
            <w:shd w:val="clear" w:color="auto" w:fill="E5E5E5"/>
          </w:tcPr>
          <w:p>
            <w:pPr>
              <w:spacing w:after="0"/>
              <w:rPr>
                <w:sz w:val="10"/>
                <w:szCs w:val="10"/>
                <w:color w:val="auto"/>
              </w:rPr>
            </w:pPr>
          </w:p>
        </w:tc>
        <w:tc>
          <w:tcPr>
            <w:tcW w:w="1160" w:type="dxa"/>
            <w:vAlign w:val="bottom"/>
            <w:vMerge w:val="continue"/>
            <w:shd w:val="clear" w:color="auto" w:fill="E5E5E5"/>
          </w:tcPr>
          <w:p>
            <w:pPr>
              <w:spacing w:after="0"/>
              <w:rPr>
                <w:sz w:val="10"/>
                <w:szCs w:val="10"/>
                <w:color w:val="auto"/>
              </w:rPr>
            </w:pPr>
          </w:p>
        </w:tc>
        <w:tc>
          <w:tcPr>
            <w:tcW w:w="1220" w:type="dxa"/>
            <w:vAlign w:val="bottom"/>
            <w:vMerge w:val="continue"/>
            <w:shd w:val="clear" w:color="auto" w:fill="E5E5E5"/>
          </w:tcPr>
          <w:p>
            <w:pPr>
              <w:spacing w:after="0"/>
              <w:rPr>
                <w:sz w:val="10"/>
                <w:szCs w:val="10"/>
                <w:color w:val="auto"/>
              </w:rPr>
            </w:pPr>
          </w:p>
        </w:tc>
        <w:tc>
          <w:tcPr>
            <w:tcW w:w="980" w:type="dxa"/>
            <w:vAlign w:val="bottom"/>
            <w:vMerge w:val="continue"/>
            <w:shd w:val="clear" w:color="auto" w:fill="E5E5E5"/>
          </w:tcPr>
          <w:p>
            <w:pPr>
              <w:spacing w:after="0"/>
              <w:rPr>
                <w:sz w:val="10"/>
                <w:szCs w:val="10"/>
                <w:color w:val="auto"/>
              </w:rPr>
            </w:pPr>
          </w:p>
        </w:tc>
        <w:tc>
          <w:tcPr>
            <w:tcW w:w="1140" w:type="dxa"/>
            <w:vAlign w:val="bottom"/>
            <w:vMerge w:val="continue"/>
            <w:shd w:val="clear" w:color="auto" w:fill="E5E5E5"/>
          </w:tcPr>
          <w:p>
            <w:pPr>
              <w:spacing w:after="0"/>
              <w:rPr>
                <w:sz w:val="10"/>
                <w:szCs w:val="10"/>
                <w:color w:val="auto"/>
              </w:rPr>
            </w:pPr>
          </w:p>
        </w:tc>
        <w:tc>
          <w:tcPr>
            <w:tcW w:w="1120" w:type="dxa"/>
            <w:vAlign w:val="bottom"/>
            <w:vMerge w:val="continue"/>
            <w:shd w:val="clear" w:color="auto" w:fill="E5E5E5"/>
          </w:tcPr>
          <w:p>
            <w:pPr>
              <w:spacing w:after="0"/>
              <w:rPr>
                <w:sz w:val="10"/>
                <w:szCs w:val="10"/>
                <w:color w:val="auto"/>
              </w:rPr>
            </w:pPr>
          </w:p>
        </w:tc>
        <w:tc>
          <w:tcPr>
            <w:tcW w:w="104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shd w:val="clear" w:color="auto" w:fill="E5E5E5"/>
          </w:tcPr>
          <w:p>
            <w:pPr>
              <w:spacing w:after="0"/>
              <w:rPr>
                <w:sz w:val="7"/>
                <w:szCs w:val="7"/>
                <w:color w:val="auto"/>
              </w:rPr>
            </w:pPr>
          </w:p>
        </w:tc>
        <w:tc>
          <w:tcPr>
            <w:tcW w:w="1220" w:type="dxa"/>
            <w:vAlign w:val="bottom"/>
            <w:shd w:val="clear" w:color="auto" w:fill="E5E5E5"/>
          </w:tcPr>
          <w:p>
            <w:pPr>
              <w:spacing w:after="0"/>
              <w:rPr>
                <w:sz w:val="7"/>
                <w:szCs w:val="7"/>
                <w:color w:val="auto"/>
              </w:rPr>
            </w:pPr>
          </w:p>
        </w:tc>
        <w:tc>
          <w:tcPr>
            <w:tcW w:w="940" w:type="dxa"/>
            <w:vAlign w:val="bottom"/>
            <w:shd w:val="clear" w:color="auto" w:fill="E5E5E5"/>
          </w:tcPr>
          <w:p>
            <w:pPr>
              <w:spacing w:after="0"/>
              <w:rPr>
                <w:sz w:val="7"/>
                <w:szCs w:val="7"/>
                <w:color w:val="auto"/>
              </w:rPr>
            </w:pPr>
          </w:p>
        </w:tc>
        <w:tc>
          <w:tcPr>
            <w:tcW w:w="1160" w:type="dxa"/>
            <w:vAlign w:val="bottom"/>
            <w:shd w:val="clear" w:color="auto" w:fill="E5E5E5"/>
          </w:tcPr>
          <w:p>
            <w:pPr>
              <w:spacing w:after="0"/>
              <w:rPr>
                <w:sz w:val="7"/>
                <w:szCs w:val="7"/>
                <w:color w:val="auto"/>
              </w:rPr>
            </w:pPr>
          </w:p>
        </w:tc>
        <w:tc>
          <w:tcPr>
            <w:tcW w:w="1220" w:type="dxa"/>
            <w:vAlign w:val="bottom"/>
            <w:shd w:val="clear" w:color="auto" w:fill="E5E5E5"/>
          </w:tcPr>
          <w:p>
            <w:pPr>
              <w:spacing w:after="0"/>
              <w:rPr>
                <w:sz w:val="7"/>
                <w:szCs w:val="7"/>
                <w:color w:val="auto"/>
              </w:rPr>
            </w:pPr>
          </w:p>
        </w:tc>
        <w:tc>
          <w:tcPr>
            <w:tcW w:w="980" w:type="dxa"/>
            <w:vAlign w:val="bottom"/>
            <w:shd w:val="clear" w:color="auto" w:fill="E5E5E5"/>
          </w:tcPr>
          <w:p>
            <w:pPr>
              <w:spacing w:after="0"/>
              <w:rPr>
                <w:sz w:val="7"/>
                <w:szCs w:val="7"/>
                <w:color w:val="auto"/>
              </w:rPr>
            </w:pPr>
          </w:p>
        </w:tc>
        <w:tc>
          <w:tcPr>
            <w:tcW w:w="1140" w:type="dxa"/>
            <w:vAlign w:val="bottom"/>
            <w:shd w:val="clear" w:color="auto" w:fill="E5E5E5"/>
          </w:tcPr>
          <w:p>
            <w:pPr>
              <w:spacing w:after="0"/>
              <w:rPr>
                <w:sz w:val="7"/>
                <w:szCs w:val="7"/>
                <w:color w:val="auto"/>
              </w:rPr>
            </w:pPr>
          </w:p>
        </w:tc>
        <w:tc>
          <w:tcPr>
            <w:tcW w:w="112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E5E5E5"/>
          </w:tcPr>
          <w:p>
            <w:pPr>
              <w:spacing w:after="0"/>
              <w:rPr>
                <w:sz w:val="11"/>
                <w:szCs w:val="11"/>
                <w:color w:val="auto"/>
              </w:rPr>
            </w:pPr>
          </w:p>
        </w:tc>
        <w:tc>
          <w:tcPr>
            <w:tcW w:w="122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1220" w:type="dxa"/>
            <w:vAlign w:val="bottom"/>
            <w:shd w:val="clear" w:color="auto" w:fill="E5E5E5"/>
          </w:tcPr>
          <w:p>
            <w:pPr>
              <w:spacing w:after="0"/>
              <w:rPr>
                <w:sz w:val="11"/>
                <w:szCs w:val="11"/>
                <w:color w:val="auto"/>
              </w:rPr>
            </w:pPr>
          </w:p>
        </w:tc>
        <w:tc>
          <w:tcPr>
            <w:tcW w:w="98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12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240" w:type="dxa"/>
            <w:vAlign w:val="bottom"/>
          </w:tcPr>
          <w:p>
            <w:pPr>
              <w:ind w:left="140"/>
              <w:spacing w:after="0"/>
              <w:rPr>
                <w:sz w:val="20"/>
                <w:szCs w:val="20"/>
                <w:color w:val="auto"/>
              </w:rPr>
            </w:pPr>
            <w:r>
              <w:rPr>
                <w:rFonts w:ascii="Arial" w:cs="Arial" w:eastAsia="Arial" w:hAnsi="Arial"/>
                <w:sz w:val="15"/>
                <w:szCs w:val="15"/>
                <w:b w:val="1"/>
                <w:bCs w:val="1"/>
                <w:color w:val="auto"/>
              </w:rPr>
              <w:t>Healthcare</w:t>
            </w:r>
          </w:p>
        </w:tc>
        <w:tc>
          <w:tcPr>
            <w:tcW w:w="1220" w:type="dxa"/>
            <w:vAlign w:val="bottom"/>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71CE"/>
              </w:rPr>
              <w:t>X</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2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Drug Development</w:t>
            </w:r>
          </w:p>
        </w:tc>
        <w:tc>
          <w:tcPr>
            <w:tcW w:w="1220" w:type="dxa"/>
            <w:vAlign w:val="bottom"/>
            <w:shd w:val="clear" w:color="auto" w:fill="E5E5E5"/>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rPr>
              <w:t>X</w:t>
            </w:r>
          </w:p>
        </w:tc>
        <w:tc>
          <w:tcPr>
            <w:tcW w:w="11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E5E5E5"/>
          </w:tcPr>
          <w:p>
            <w:pPr>
              <w:spacing w:after="0"/>
              <w:rPr>
                <w:sz w:val="8"/>
                <w:szCs w:val="8"/>
                <w:color w:val="auto"/>
              </w:rPr>
            </w:pPr>
          </w:p>
        </w:tc>
        <w:tc>
          <w:tcPr>
            <w:tcW w:w="1220" w:type="dxa"/>
            <w:vAlign w:val="bottom"/>
            <w:shd w:val="clear" w:color="auto" w:fill="E5E5E5"/>
          </w:tcPr>
          <w:p>
            <w:pPr>
              <w:spacing w:after="0"/>
              <w:rPr>
                <w:sz w:val="8"/>
                <w:szCs w:val="8"/>
                <w:color w:val="auto"/>
              </w:rPr>
            </w:pPr>
          </w:p>
        </w:tc>
        <w:tc>
          <w:tcPr>
            <w:tcW w:w="940" w:type="dxa"/>
            <w:vAlign w:val="bottom"/>
            <w:shd w:val="clear" w:color="auto" w:fill="E5E5E5"/>
          </w:tcPr>
          <w:p>
            <w:pPr>
              <w:spacing w:after="0"/>
              <w:rPr>
                <w:sz w:val="8"/>
                <w:szCs w:val="8"/>
                <w:color w:val="auto"/>
              </w:rPr>
            </w:pPr>
          </w:p>
        </w:tc>
        <w:tc>
          <w:tcPr>
            <w:tcW w:w="1160" w:type="dxa"/>
            <w:vAlign w:val="bottom"/>
            <w:shd w:val="clear" w:color="auto" w:fill="E5E5E5"/>
          </w:tcPr>
          <w:p>
            <w:pPr>
              <w:spacing w:after="0"/>
              <w:rPr>
                <w:sz w:val="8"/>
                <w:szCs w:val="8"/>
                <w:color w:val="auto"/>
              </w:rPr>
            </w:pPr>
          </w:p>
        </w:tc>
        <w:tc>
          <w:tcPr>
            <w:tcW w:w="1220" w:type="dxa"/>
            <w:vAlign w:val="bottom"/>
            <w:shd w:val="clear" w:color="auto" w:fill="E5E5E5"/>
          </w:tcPr>
          <w:p>
            <w:pPr>
              <w:spacing w:after="0"/>
              <w:rPr>
                <w:sz w:val="8"/>
                <w:szCs w:val="8"/>
                <w:color w:val="auto"/>
              </w:rPr>
            </w:pPr>
          </w:p>
        </w:tc>
        <w:tc>
          <w:tcPr>
            <w:tcW w:w="980" w:type="dxa"/>
            <w:vAlign w:val="bottom"/>
            <w:shd w:val="clear" w:color="auto" w:fill="E5E5E5"/>
          </w:tcPr>
          <w:p>
            <w:pPr>
              <w:spacing w:after="0"/>
              <w:rPr>
                <w:sz w:val="8"/>
                <w:szCs w:val="8"/>
                <w:color w:val="auto"/>
              </w:rPr>
            </w:pPr>
          </w:p>
        </w:tc>
        <w:tc>
          <w:tcPr>
            <w:tcW w:w="1140" w:type="dxa"/>
            <w:vAlign w:val="bottom"/>
            <w:shd w:val="clear" w:color="auto" w:fill="E5E5E5"/>
          </w:tcPr>
          <w:p>
            <w:pPr>
              <w:spacing w:after="0"/>
              <w:rPr>
                <w:sz w:val="8"/>
                <w:szCs w:val="8"/>
                <w:color w:val="auto"/>
              </w:rPr>
            </w:pPr>
          </w:p>
        </w:tc>
        <w:tc>
          <w:tcPr>
            <w:tcW w:w="112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240" w:type="dxa"/>
            <w:vAlign w:val="bottom"/>
          </w:tcPr>
          <w:p>
            <w:pPr>
              <w:ind w:left="140"/>
              <w:spacing w:after="0"/>
              <w:rPr>
                <w:sz w:val="20"/>
                <w:szCs w:val="20"/>
                <w:color w:val="auto"/>
              </w:rPr>
            </w:pPr>
            <w:r>
              <w:rPr>
                <w:rFonts w:ascii="Arial" w:cs="Arial" w:eastAsia="Arial" w:hAnsi="Arial"/>
                <w:sz w:val="15"/>
                <w:szCs w:val="15"/>
                <w:b w:val="1"/>
                <w:bCs w:val="1"/>
                <w:color w:val="auto"/>
              </w:rPr>
              <w:t>Executive Leadership</w:t>
            </w:r>
          </w:p>
        </w:tc>
        <w:tc>
          <w:tcPr>
            <w:tcW w:w="1220" w:type="dxa"/>
            <w:vAlign w:val="bottom"/>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71CE"/>
              </w:rPr>
              <w:t>X</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rPr>
              <w:t>X</w:t>
            </w:r>
          </w:p>
        </w:tc>
        <w:tc>
          <w:tcPr>
            <w:tcW w:w="0" w:type="dxa"/>
            <w:vAlign w:val="bottom"/>
          </w:tcPr>
          <w:p>
            <w:pPr>
              <w:spacing w:after="0"/>
              <w:rPr>
                <w:sz w:val="1"/>
                <w:szCs w:val="1"/>
                <w:color w:val="auto"/>
              </w:rPr>
            </w:pPr>
          </w:p>
        </w:tc>
      </w:tr>
      <w:tr>
        <w:trPr>
          <w:trHeight w:val="93"/>
        </w:trPr>
        <w:tc>
          <w:tcPr>
            <w:tcW w:w="2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Public Company</w:t>
            </w:r>
          </w:p>
        </w:tc>
        <w:tc>
          <w:tcPr>
            <w:tcW w:w="1220" w:type="dxa"/>
            <w:vAlign w:val="bottom"/>
            <w:shd w:val="clear" w:color="auto" w:fill="E5E5E5"/>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rPr>
              <w:t>X</w:t>
            </w:r>
          </w:p>
        </w:tc>
        <w:tc>
          <w:tcPr>
            <w:tcW w:w="0" w:type="dxa"/>
            <w:vAlign w:val="bottom"/>
          </w:tcPr>
          <w:p>
            <w:pPr>
              <w:spacing w:after="0"/>
              <w:rPr>
                <w:sz w:val="1"/>
                <w:szCs w:val="1"/>
                <w:color w:val="auto"/>
              </w:rPr>
            </w:pPr>
          </w:p>
        </w:tc>
      </w:tr>
      <w:tr>
        <w:trPr>
          <w:trHeight w:val="210"/>
        </w:trPr>
        <w:tc>
          <w:tcPr>
            <w:tcW w:w="22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Governance</w:t>
            </w:r>
          </w:p>
        </w:tc>
        <w:tc>
          <w:tcPr>
            <w:tcW w:w="12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240" w:type="dxa"/>
            <w:vAlign w:val="bottom"/>
            <w:shd w:val="clear" w:color="auto" w:fill="E5E5E5"/>
          </w:tcPr>
          <w:p>
            <w:pPr>
              <w:spacing w:after="0"/>
              <w:rPr>
                <w:sz w:val="7"/>
                <w:szCs w:val="7"/>
                <w:color w:val="auto"/>
              </w:rPr>
            </w:pPr>
          </w:p>
        </w:tc>
        <w:tc>
          <w:tcPr>
            <w:tcW w:w="1220" w:type="dxa"/>
            <w:vAlign w:val="bottom"/>
            <w:shd w:val="clear" w:color="auto" w:fill="E5E5E5"/>
          </w:tcPr>
          <w:p>
            <w:pPr>
              <w:spacing w:after="0"/>
              <w:rPr>
                <w:sz w:val="7"/>
                <w:szCs w:val="7"/>
                <w:color w:val="auto"/>
              </w:rPr>
            </w:pPr>
          </w:p>
        </w:tc>
        <w:tc>
          <w:tcPr>
            <w:tcW w:w="940" w:type="dxa"/>
            <w:vAlign w:val="bottom"/>
            <w:shd w:val="clear" w:color="auto" w:fill="E5E5E5"/>
          </w:tcPr>
          <w:p>
            <w:pPr>
              <w:spacing w:after="0"/>
              <w:rPr>
                <w:sz w:val="7"/>
                <w:szCs w:val="7"/>
                <w:color w:val="auto"/>
              </w:rPr>
            </w:pPr>
          </w:p>
        </w:tc>
        <w:tc>
          <w:tcPr>
            <w:tcW w:w="1160" w:type="dxa"/>
            <w:vAlign w:val="bottom"/>
            <w:shd w:val="clear" w:color="auto" w:fill="E5E5E5"/>
          </w:tcPr>
          <w:p>
            <w:pPr>
              <w:spacing w:after="0"/>
              <w:rPr>
                <w:sz w:val="7"/>
                <w:szCs w:val="7"/>
                <w:color w:val="auto"/>
              </w:rPr>
            </w:pPr>
          </w:p>
        </w:tc>
        <w:tc>
          <w:tcPr>
            <w:tcW w:w="1220" w:type="dxa"/>
            <w:vAlign w:val="bottom"/>
            <w:shd w:val="clear" w:color="auto" w:fill="E5E5E5"/>
          </w:tcPr>
          <w:p>
            <w:pPr>
              <w:spacing w:after="0"/>
              <w:rPr>
                <w:sz w:val="7"/>
                <w:szCs w:val="7"/>
                <w:color w:val="auto"/>
              </w:rPr>
            </w:pPr>
          </w:p>
        </w:tc>
        <w:tc>
          <w:tcPr>
            <w:tcW w:w="980" w:type="dxa"/>
            <w:vAlign w:val="bottom"/>
            <w:shd w:val="clear" w:color="auto" w:fill="E5E5E5"/>
          </w:tcPr>
          <w:p>
            <w:pPr>
              <w:spacing w:after="0"/>
              <w:rPr>
                <w:sz w:val="7"/>
                <w:szCs w:val="7"/>
                <w:color w:val="auto"/>
              </w:rPr>
            </w:pPr>
          </w:p>
        </w:tc>
        <w:tc>
          <w:tcPr>
            <w:tcW w:w="1140" w:type="dxa"/>
            <w:vAlign w:val="bottom"/>
            <w:shd w:val="clear" w:color="auto" w:fill="E5E5E5"/>
          </w:tcPr>
          <w:p>
            <w:pPr>
              <w:spacing w:after="0"/>
              <w:rPr>
                <w:sz w:val="7"/>
                <w:szCs w:val="7"/>
                <w:color w:val="auto"/>
              </w:rPr>
            </w:pPr>
          </w:p>
        </w:tc>
        <w:tc>
          <w:tcPr>
            <w:tcW w:w="112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2240" w:type="dxa"/>
            <w:vAlign w:val="bottom"/>
          </w:tcPr>
          <w:p>
            <w:pPr>
              <w:ind w:left="140"/>
              <w:spacing w:after="0"/>
              <w:rPr>
                <w:sz w:val="20"/>
                <w:szCs w:val="20"/>
                <w:color w:val="auto"/>
              </w:rPr>
            </w:pPr>
            <w:r>
              <w:rPr>
                <w:rFonts w:ascii="Arial" w:cs="Arial" w:eastAsia="Arial" w:hAnsi="Arial"/>
                <w:sz w:val="15"/>
                <w:szCs w:val="15"/>
                <w:b w:val="1"/>
                <w:bCs w:val="1"/>
                <w:color w:val="auto"/>
              </w:rPr>
              <w:t>Accounting/Audit</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rPr>
              <w:t>X</w:t>
            </w:r>
          </w:p>
        </w:tc>
        <w:tc>
          <w:tcPr>
            <w:tcW w:w="0" w:type="dxa"/>
            <w:vAlign w:val="bottom"/>
          </w:tcPr>
          <w:p>
            <w:pPr>
              <w:spacing w:after="0"/>
              <w:rPr>
                <w:sz w:val="1"/>
                <w:szCs w:val="1"/>
                <w:color w:val="auto"/>
              </w:rPr>
            </w:pPr>
          </w:p>
        </w:tc>
      </w:tr>
      <w:tr>
        <w:trPr>
          <w:trHeight w:val="93"/>
        </w:trPr>
        <w:tc>
          <w:tcPr>
            <w:tcW w:w="2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2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Capital Markets</w:t>
            </w:r>
          </w:p>
        </w:tc>
        <w:tc>
          <w:tcPr>
            <w:tcW w:w="1220" w:type="dxa"/>
            <w:vAlign w:val="bottom"/>
            <w:shd w:val="clear" w:color="auto" w:fill="E5E5E5"/>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shd w:val="clear" w:color="auto" w:fill="E5E5E5"/>
          </w:tcPr>
          <w:p>
            <w:pPr>
              <w:spacing w:after="0"/>
              <w:rPr>
                <w:sz w:val="24"/>
                <w:szCs w:val="24"/>
                <w:color w:val="auto"/>
              </w:rPr>
            </w:pPr>
          </w:p>
        </w:tc>
        <w:tc>
          <w:tcPr>
            <w:tcW w:w="114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rPr>
              <w:t>X</w:t>
            </w:r>
          </w:p>
        </w:tc>
        <w:tc>
          <w:tcPr>
            <w:tcW w:w="0" w:type="dxa"/>
            <w:vAlign w:val="bottom"/>
          </w:tcPr>
          <w:p>
            <w:pPr>
              <w:spacing w:after="0"/>
              <w:rPr>
                <w:sz w:val="1"/>
                <w:szCs w:val="1"/>
                <w:color w:val="auto"/>
              </w:rPr>
            </w:pPr>
          </w:p>
        </w:tc>
      </w:tr>
      <w:tr>
        <w:trPr>
          <w:trHeight w:val="93"/>
        </w:trPr>
        <w:tc>
          <w:tcPr>
            <w:tcW w:w="2240" w:type="dxa"/>
            <w:vAlign w:val="bottom"/>
            <w:shd w:val="clear" w:color="auto" w:fill="E5E5E5"/>
          </w:tcPr>
          <w:p>
            <w:pPr>
              <w:spacing w:after="0"/>
              <w:rPr>
                <w:sz w:val="8"/>
                <w:szCs w:val="8"/>
                <w:color w:val="auto"/>
              </w:rPr>
            </w:pPr>
          </w:p>
        </w:tc>
        <w:tc>
          <w:tcPr>
            <w:tcW w:w="1220" w:type="dxa"/>
            <w:vAlign w:val="bottom"/>
            <w:shd w:val="clear" w:color="auto" w:fill="E5E5E5"/>
          </w:tcPr>
          <w:p>
            <w:pPr>
              <w:spacing w:after="0"/>
              <w:rPr>
                <w:sz w:val="8"/>
                <w:szCs w:val="8"/>
                <w:color w:val="auto"/>
              </w:rPr>
            </w:pPr>
          </w:p>
        </w:tc>
        <w:tc>
          <w:tcPr>
            <w:tcW w:w="940" w:type="dxa"/>
            <w:vAlign w:val="bottom"/>
            <w:shd w:val="clear" w:color="auto" w:fill="E5E5E5"/>
          </w:tcPr>
          <w:p>
            <w:pPr>
              <w:spacing w:after="0"/>
              <w:rPr>
                <w:sz w:val="8"/>
                <w:szCs w:val="8"/>
                <w:color w:val="auto"/>
              </w:rPr>
            </w:pPr>
          </w:p>
        </w:tc>
        <w:tc>
          <w:tcPr>
            <w:tcW w:w="1160" w:type="dxa"/>
            <w:vAlign w:val="bottom"/>
            <w:shd w:val="clear" w:color="auto" w:fill="E5E5E5"/>
          </w:tcPr>
          <w:p>
            <w:pPr>
              <w:spacing w:after="0"/>
              <w:rPr>
                <w:sz w:val="8"/>
                <w:szCs w:val="8"/>
                <w:color w:val="auto"/>
              </w:rPr>
            </w:pPr>
          </w:p>
        </w:tc>
        <w:tc>
          <w:tcPr>
            <w:tcW w:w="1220" w:type="dxa"/>
            <w:vAlign w:val="bottom"/>
            <w:shd w:val="clear" w:color="auto" w:fill="E5E5E5"/>
          </w:tcPr>
          <w:p>
            <w:pPr>
              <w:spacing w:after="0"/>
              <w:rPr>
                <w:sz w:val="8"/>
                <w:szCs w:val="8"/>
                <w:color w:val="auto"/>
              </w:rPr>
            </w:pPr>
          </w:p>
        </w:tc>
        <w:tc>
          <w:tcPr>
            <w:tcW w:w="980" w:type="dxa"/>
            <w:vAlign w:val="bottom"/>
            <w:shd w:val="clear" w:color="auto" w:fill="E5E5E5"/>
          </w:tcPr>
          <w:p>
            <w:pPr>
              <w:spacing w:after="0"/>
              <w:rPr>
                <w:sz w:val="8"/>
                <w:szCs w:val="8"/>
                <w:color w:val="auto"/>
              </w:rPr>
            </w:pPr>
          </w:p>
        </w:tc>
        <w:tc>
          <w:tcPr>
            <w:tcW w:w="1140" w:type="dxa"/>
            <w:vAlign w:val="bottom"/>
            <w:shd w:val="clear" w:color="auto" w:fill="E5E5E5"/>
          </w:tcPr>
          <w:p>
            <w:pPr>
              <w:spacing w:after="0"/>
              <w:rPr>
                <w:sz w:val="8"/>
                <w:szCs w:val="8"/>
                <w:color w:val="auto"/>
              </w:rPr>
            </w:pPr>
          </w:p>
        </w:tc>
        <w:tc>
          <w:tcPr>
            <w:tcW w:w="112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240" w:type="dxa"/>
            <w:vAlign w:val="bottom"/>
          </w:tcPr>
          <w:p>
            <w:pPr>
              <w:ind w:left="140"/>
              <w:spacing w:after="0"/>
              <w:rPr>
                <w:sz w:val="20"/>
                <w:szCs w:val="20"/>
                <w:color w:val="auto"/>
              </w:rPr>
            </w:pPr>
            <w:r>
              <w:rPr>
                <w:rFonts w:ascii="Arial" w:cs="Arial" w:eastAsia="Arial" w:hAnsi="Arial"/>
                <w:sz w:val="15"/>
                <w:szCs w:val="15"/>
                <w:b w:val="1"/>
                <w:bCs w:val="1"/>
                <w:color w:val="auto"/>
              </w:rPr>
              <w:t>Commercial</w:t>
            </w:r>
          </w:p>
        </w:tc>
        <w:tc>
          <w:tcPr>
            <w:tcW w:w="1220" w:type="dxa"/>
            <w:vAlign w:val="bottom"/>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0071CE"/>
            </w:tcBorders>
          </w:tcPr>
          <w:p>
            <w:pPr>
              <w:spacing w:after="0"/>
              <w:rPr>
                <w:sz w:val="8"/>
                <w:szCs w:val="8"/>
                <w:color w:val="auto"/>
              </w:rPr>
            </w:pPr>
          </w:p>
        </w:tc>
        <w:tc>
          <w:tcPr>
            <w:tcW w:w="1220" w:type="dxa"/>
            <w:vAlign w:val="bottom"/>
            <w:tcBorders>
              <w:bottom w:val="single" w:sz="8" w:color="0071CE"/>
            </w:tcBorders>
          </w:tcPr>
          <w:p>
            <w:pPr>
              <w:spacing w:after="0"/>
              <w:rPr>
                <w:sz w:val="8"/>
                <w:szCs w:val="8"/>
                <w:color w:val="auto"/>
              </w:rPr>
            </w:pPr>
          </w:p>
        </w:tc>
        <w:tc>
          <w:tcPr>
            <w:tcW w:w="940" w:type="dxa"/>
            <w:vAlign w:val="bottom"/>
            <w:tcBorders>
              <w:bottom w:val="single" w:sz="8" w:color="0071CE"/>
            </w:tcBorders>
          </w:tcPr>
          <w:p>
            <w:pPr>
              <w:spacing w:after="0"/>
              <w:rPr>
                <w:sz w:val="8"/>
                <w:szCs w:val="8"/>
                <w:color w:val="auto"/>
              </w:rPr>
            </w:pPr>
          </w:p>
        </w:tc>
        <w:tc>
          <w:tcPr>
            <w:tcW w:w="1160" w:type="dxa"/>
            <w:vAlign w:val="bottom"/>
            <w:tcBorders>
              <w:bottom w:val="single" w:sz="8" w:color="0071CE"/>
            </w:tcBorders>
          </w:tcPr>
          <w:p>
            <w:pPr>
              <w:spacing w:after="0"/>
              <w:rPr>
                <w:sz w:val="8"/>
                <w:szCs w:val="8"/>
                <w:color w:val="auto"/>
              </w:rPr>
            </w:pPr>
          </w:p>
        </w:tc>
        <w:tc>
          <w:tcPr>
            <w:tcW w:w="1220" w:type="dxa"/>
            <w:vAlign w:val="bottom"/>
            <w:tcBorders>
              <w:bottom w:val="single" w:sz="8" w:color="0071CE"/>
            </w:tcBorders>
          </w:tcPr>
          <w:p>
            <w:pPr>
              <w:spacing w:after="0"/>
              <w:rPr>
                <w:sz w:val="8"/>
                <w:szCs w:val="8"/>
                <w:color w:val="auto"/>
              </w:rPr>
            </w:pPr>
          </w:p>
        </w:tc>
        <w:tc>
          <w:tcPr>
            <w:tcW w:w="980" w:type="dxa"/>
            <w:vAlign w:val="bottom"/>
            <w:tcBorders>
              <w:bottom w:val="single" w:sz="8" w:color="0071CE"/>
            </w:tcBorders>
          </w:tcPr>
          <w:p>
            <w:pPr>
              <w:spacing w:after="0"/>
              <w:rPr>
                <w:sz w:val="8"/>
                <w:szCs w:val="8"/>
                <w:color w:val="auto"/>
              </w:rPr>
            </w:pPr>
          </w:p>
        </w:tc>
        <w:tc>
          <w:tcPr>
            <w:tcW w:w="1140" w:type="dxa"/>
            <w:vAlign w:val="bottom"/>
            <w:tcBorders>
              <w:bottom w:val="single" w:sz="8" w:color="0071CE"/>
            </w:tcBorders>
          </w:tcPr>
          <w:p>
            <w:pPr>
              <w:spacing w:after="0"/>
              <w:rPr>
                <w:sz w:val="8"/>
                <w:szCs w:val="8"/>
                <w:color w:val="auto"/>
              </w:rPr>
            </w:pPr>
          </w:p>
        </w:tc>
        <w:tc>
          <w:tcPr>
            <w:tcW w:w="1120" w:type="dxa"/>
            <w:vAlign w:val="bottom"/>
            <w:tcBorders>
              <w:bottom w:val="single" w:sz="8" w:color="0071CE"/>
            </w:tcBorders>
          </w:tcPr>
          <w:p>
            <w:pPr>
              <w:spacing w:after="0"/>
              <w:rPr>
                <w:sz w:val="8"/>
                <w:szCs w:val="8"/>
                <w:color w:val="auto"/>
              </w:rPr>
            </w:pPr>
          </w:p>
        </w:tc>
        <w:tc>
          <w:tcPr>
            <w:tcW w:w="1040" w:type="dxa"/>
            <w:vAlign w:val="bottom"/>
            <w:tcBorders>
              <w:bottom w:val="single" w:sz="8" w:color="0071C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12</w:t>
      </w:r>
    </w:p>
    <w:p>
      <w:pPr>
        <w:sectPr>
          <w:pgSz w:w="11900" w:h="16838" w:orient="portrait"/>
          <w:cols w:equalWidth="0" w:num="1">
            <w:col w:w="11240"/>
          </w:cols>
          <w:pgMar w:left="320" w:top="19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2143125" cy="2400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Board Diversity Matrix</w:t>
      </w:r>
    </w:p>
    <w:p>
      <w:pPr>
        <w:spacing w:after="0" w:line="235"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The Nomination Committee believes that the Board should represent a diverse mix of skills, regional and industry experience, backgrounds, ages, and other unique characteristics, such as race, gender, and ethnicity. In furtherance of this goal, the Committee is committed to actively seeking out highly qualified diverse candidates (including women and minority candidates) to include in the pool from which Board nominees are chosen, referred to by some as the “Rooney Rule.”</w:t>
      </w:r>
    </w:p>
    <w:p>
      <w:pPr>
        <w:spacing w:after="0" w:line="19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Currently, one of the Company’s directors self-identifies as Black and two are women. These are the Board’s three most recent additions, demonstrating the Board’s commitment to diversify as it matures. Provided below is a board diversity matrix chart pursuant to Nasdaq’s Board Diversity Rule.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shd w:val="clear" w:color="auto" w:fill="0071CE"/>
          </w:tcPr>
          <w:p>
            <w:pPr>
              <w:ind w:left="40"/>
              <w:spacing w:after="0"/>
              <w:rPr>
                <w:sz w:val="20"/>
                <w:szCs w:val="20"/>
                <w:color w:val="auto"/>
              </w:rPr>
            </w:pPr>
            <w:r>
              <w:rPr>
                <w:rFonts w:ascii="Arial" w:cs="Arial" w:eastAsia="Arial" w:hAnsi="Arial"/>
                <w:sz w:val="14"/>
                <w:szCs w:val="14"/>
                <w:b w:val="1"/>
                <w:bCs w:val="1"/>
                <w:color w:val="FFFFFF"/>
              </w:rPr>
              <w:t>Board Diversity Matrix (As of January 30, 2023)</w:t>
            </w:r>
          </w:p>
        </w:tc>
        <w:tc>
          <w:tcPr>
            <w:tcW w:w="1660" w:type="dxa"/>
            <w:vAlign w:val="bottom"/>
            <w:shd w:val="clear" w:color="auto" w:fill="0071CE"/>
          </w:tcPr>
          <w:p>
            <w:pPr>
              <w:spacing w:after="0"/>
              <w:rPr>
                <w:sz w:val="17"/>
                <w:szCs w:val="17"/>
                <w:color w:val="auto"/>
              </w:rPr>
            </w:pPr>
          </w:p>
        </w:tc>
        <w:tc>
          <w:tcPr>
            <w:tcW w:w="1240" w:type="dxa"/>
            <w:vAlign w:val="bottom"/>
            <w:shd w:val="clear" w:color="auto" w:fill="0071CE"/>
          </w:tcPr>
          <w:p>
            <w:pPr>
              <w:spacing w:after="0"/>
              <w:rPr>
                <w:sz w:val="17"/>
                <w:szCs w:val="17"/>
                <w:color w:val="auto"/>
              </w:rPr>
            </w:pPr>
          </w:p>
        </w:tc>
        <w:tc>
          <w:tcPr>
            <w:tcW w:w="1960" w:type="dxa"/>
            <w:vAlign w:val="bottom"/>
            <w:shd w:val="clear" w:color="auto" w:fill="0071CE"/>
          </w:tcPr>
          <w:p>
            <w:pPr>
              <w:spacing w:after="0"/>
              <w:rPr>
                <w:sz w:val="17"/>
                <w:szCs w:val="17"/>
                <w:color w:val="auto"/>
              </w:rPr>
            </w:pPr>
          </w:p>
        </w:tc>
        <w:tc>
          <w:tcPr>
            <w:tcW w:w="1700" w:type="dxa"/>
            <w:vAlign w:val="bottom"/>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Total Number of Directors</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jc w:val="center"/>
              <w:ind w:right="1100"/>
              <w:spacing w:after="0"/>
              <w:rPr>
                <w:sz w:val="20"/>
                <w:szCs w:val="20"/>
                <w:color w:val="auto"/>
              </w:rPr>
            </w:pPr>
            <w:r>
              <w:rPr>
                <w:rFonts w:ascii="Arial" w:cs="Arial" w:eastAsia="Arial" w:hAnsi="Arial"/>
                <w:sz w:val="16"/>
                <w:szCs w:val="16"/>
                <w:color w:val="auto"/>
              </w:rPr>
              <w:t>#8</w:t>
            </w: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0071CE"/>
          </w:tcPr>
          <w:p>
            <w:pPr>
              <w:spacing w:after="0"/>
              <w:rPr>
                <w:sz w:val="13"/>
                <w:szCs w:val="13"/>
                <w:color w:val="auto"/>
              </w:rPr>
            </w:pPr>
          </w:p>
        </w:tc>
        <w:tc>
          <w:tcPr>
            <w:tcW w:w="1660" w:type="dxa"/>
            <w:vAlign w:val="bottom"/>
            <w:vMerge w:val="restart"/>
            <w:shd w:val="clear" w:color="auto" w:fill="0071CE"/>
          </w:tcPr>
          <w:p>
            <w:pPr>
              <w:jc w:val="center"/>
              <w:ind w:right="40"/>
              <w:spacing w:after="0"/>
              <w:rPr>
                <w:sz w:val="20"/>
                <w:szCs w:val="20"/>
                <w:color w:val="auto"/>
              </w:rPr>
            </w:pPr>
            <w:r>
              <w:rPr>
                <w:rFonts w:ascii="Arial" w:cs="Arial" w:eastAsia="Arial" w:hAnsi="Arial"/>
                <w:sz w:val="14"/>
                <w:szCs w:val="14"/>
                <w:b w:val="1"/>
                <w:bCs w:val="1"/>
                <w:color w:val="FFFFFF"/>
              </w:rPr>
              <w:t>Female</w:t>
            </w:r>
          </w:p>
        </w:tc>
        <w:tc>
          <w:tcPr>
            <w:tcW w:w="1240" w:type="dxa"/>
            <w:vAlign w:val="bottom"/>
            <w:vMerge w:val="restart"/>
            <w:shd w:val="clear" w:color="auto" w:fill="0071CE"/>
          </w:tcPr>
          <w:p>
            <w:pPr>
              <w:jc w:val="center"/>
              <w:ind w:left="280"/>
              <w:spacing w:after="0"/>
              <w:rPr>
                <w:sz w:val="20"/>
                <w:szCs w:val="20"/>
                <w:color w:val="auto"/>
              </w:rPr>
            </w:pPr>
            <w:r>
              <w:rPr>
                <w:rFonts w:ascii="Arial" w:cs="Arial" w:eastAsia="Arial" w:hAnsi="Arial"/>
                <w:sz w:val="14"/>
                <w:szCs w:val="14"/>
                <w:b w:val="1"/>
                <w:bCs w:val="1"/>
                <w:color w:val="FFFFFF"/>
              </w:rPr>
              <w:t>Male</w:t>
            </w:r>
          </w:p>
        </w:tc>
        <w:tc>
          <w:tcPr>
            <w:tcW w:w="1960" w:type="dxa"/>
            <w:vAlign w:val="bottom"/>
            <w:vMerge w:val="restart"/>
            <w:shd w:val="clear" w:color="auto" w:fill="0071CE"/>
          </w:tcPr>
          <w:p>
            <w:pPr>
              <w:jc w:val="center"/>
              <w:ind w:left="380"/>
              <w:spacing w:after="0"/>
              <w:rPr>
                <w:sz w:val="20"/>
                <w:szCs w:val="20"/>
                <w:color w:val="auto"/>
              </w:rPr>
            </w:pPr>
            <w:r>
              <w:rPr>
                <w:rFonts w:ascii="Arial" w:cs="Arial" w:eastAsia="Arial" w:hAnsi="Arial"/>
                <w:sz w:val="14"/>
                <w:szCs w:val="14"/>
                <w:b w:val="1"/>
                <w:bCs w:val="1"/>
                <w:color w:val="FFFFFF"/>
              </w:rPr>
              <w:t>Non-Binary</w:t>
            </w:r>
          </w:p>
        </w:tc>
        <w:tc>
          <w:tcPr>
            <w:tcW w:w="1700" w:type="dxa"/>
            <w:vAlign w:val="bottom"/>
            <w:shd w:val="clear" w:color="auto" w:fill="0071CE"/>
          </w:tcPr>
          <w:p>
            <w:pPr>
              <w:jc w:val="center"/>
              <w:ind w:left="81"/>
              <w:spacing w:after="0" w:line="153" w:lineRule="exact"/>
              <w:rPr>
                <w:sz w:val="20"/>
                <w:szCs w:val="20"/>
                <w:color w:val="auto"/>
              </w:rPr>
            </w:pPr>
            <w:r>
              <w:rPr>
                <w:rFonts w:ascii="Arial" w:cs="Arial" w:eastAsia="Arial" w:hAnsi="Arial"/>
                <w:sz w:val="14"/>
                <w:szCs w:val="14"/>
                <w:b w:val="1"/>
                <w:bCs w:val="1"/>
                <w:color w:val="FFFFFF"/>
              </w:rPr>
              <w:t>Did Not Disclose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0071CE"/>
            </w:tcBorders>
            <w:shd w:val="clear" w:color="auto" w:fill="0071CE"/>
          </w:tcPr>
          <w:p>
            <w:pPr>
              <w:spacing w:after="0"/>
              <w:rPr>
                <w:sz w:val="16"/>
                <w:szCs w:val="16"/>
                <w:color w:val="auto"/>
              </w:rPr>
            </w:pPr>
          </w:p>
        </w:tc>
        <w:tc>
          <w:tcPr>
            <w:tcW w:w="1660" w:type="dxa"/>
            <w:vAlign w:val="bottom"/>
            <w:tcBorders>
              <w:bottom w:val="single" w:sz="8" w:color="0071CE"/>
            </w:tcBorders>
            <w:vMerge w:val="continue"/>
            <w:shd w:val="clear" w:color="auto" w:fill="0071CE"/>
          </w:tcPr>
          <w:p>
            <w:pPr>
              <w:spacing w:after="0"/>
              <w:rPr>
                <w:sz w:val="16"/>
                <w:szCs w:val="16"/>
                <w:color w:val="auto"/>
              </w:rPr>
            </w:pPr>
          </w:p>
        </w:tc>
        <w:tc>
          <w:tcPr>
            <w:tcW w:w="1240" w:type="dxa"/>
            <w:vAlign w:val="bottom"/>
            <w:tcBorders>
              <w:bottom w:val="single" w:sz="8" w:color="0071CE"/>
            </w:tcBorders>
            <w:vMerge w:val="continue"/>
            <w:shd w:val="clear" w:color="auto" w:fill="0071CE"/>
          </w:tcPr>
          <w:p>
            <w:pPr>
              <w:spacing w:after="0"/>
              <w:rPr>
                <w:sz w:val="16"/>
                <w:szCs w:val="16"/>
                <w:color w:val="auto"/>
              </w:rPr>
            </w:pPr>
          </w:p>
        </w:tc>
        <w:tc>
          <w:tcPr>
            <w:tcW w:w="1960" w:type="dxa"/>
            <w:vAlign w:val="bottom"/>
            <w:tcBorders>
              <w:bottom w:val="single" w:sz="8" w:color="0071CE"/>
            </w:tcBorders>
            <w:vMerge w:val="continue"/>
            <w:shd w:val="clear" w:color="auto" w:fill="0071CE"/>
          </w:tcPr>
          <w:p>
            <w:pPr>
              <w:spacing w:after="0"/>
              <w:rPr>
                <w:sz w:val="16"/>
                <w:szCs w:val="16"/>
                <w:color w:val="auto"/>
              </w:rPr>
            </w:pPr>
          </w:p>
        </w:tc>
        <w:tc>
          <w:tcPr>
            <w:tcW w:w="1700" w:type="dxa"/>
            <w:vAlign w:val="bottom"/>
            <w:tcBorders>
              <w:bottom w:val="single" w:sz="8" w:color="0071CE"/>
            </w:tcBorders>
            <w:shd w:val="clear" w:color="auto" w:fill="0071CE"/>
          </w:tcPr>
          <w:p>
            <w:pPr>
              <w:jc w:val="center"/>
              <w:ind w:left="81"/>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216"/>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Part I: Gender Identity</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Directors</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2</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6</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Part II: Demographic Background</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African American or Black</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1</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Alaskan Native or Native American</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Asian</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Hispanic or Latinx</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Native Hawaiian or Pacific Islander</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White</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2</w:t>
            </w:r>
          </w:p>
        </w:tc>
        <w:tc>
          <w:tcPr>
            <w:tcW w:w="124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w w:val="89"/>
              </w:rPr>
              <w:t>5</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Two or More Races or Ethnicities</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LGBTQ+</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jc w:val="center"/>
              <w:ind w:right="1120"/>
              <w:spacing w:after="0"/>
              <w:rPr>
                <w:sz w:val="20"/>
                <w:szCs w:val="20"/>
                <w:color w:val="auto"/>
              </w:rPr>
            </w:pPr>
            <w:r>
              <w:rPr>
                <w:rFonts w:ascii="Arial" w:cs="Arial" w:eastAsia="Arial" w:hAnsi="Arial"/>
                <w:sz w:val="16"/>
                <w:szCs w:val="16"/>
                <w:color w:val="auto"/>
                <w:w w:val="89"/>
              </w:rPr>
              <w:t>0</w:t>
            </w: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0071CE"/>
            </w:tcBorders>
          </w:tcPr>
          <w:p>
            <w:pPr>
              <w:ind w:left="120"/>
              <w:spacing w:after="0"/>
              <w:rPr>
                <w:sz w:val="20"/>
                <w:szCs w:val="20"/>
                <w:color w:val="auto"/>
              </w:rPr>
            </w:pPr>
            <w:r>
              <w:rPr>
                <w:rFonts w:ascii="Arial" w:cs="Arial" w:eastAsia="Arial" w:hAnsi="Arial"/>
                <w:sz w:val="16"/>
                <w:szCs w:val="16"/>
                <w:color w:val="auto"/>
              </w:rPr>
              <w:t>Did Not Disclose Demographic Background</w:t>
            </w:r>
          </w:p>
        </w:tc>
        <w:tc>
          <w:tcPr>
            <w:tcW w:w="1660" w:type="dxa"/>
            <w:vAlign w:val="bottom"/>
            <w:tcBorders>
              <w:bottom w:val="single" w:sz="8" w:color="0071CE"/>
            </w:tcBorders>
          </w:tcPr>
          <w:p>
            <w:pPr>
              <w:spacing w:after="0"/>
              <w:rPr>
                <w:sz w:val="18"/>
                <w:szCs w:val="18"/>
                <w:color w:val="auto"/>
              </w:rPr>
            </w:pPr>
          </w:p>
        </w:tc>
        <w:tc>
          <w:tcPr>
            <w:tcW w:w="1240" w:type="dxa"/>
            <w:vAlign w:val="bottom"/>
            <w:tcBorders>
              <w:bottom w:val="single" w:sz="8" w:color="0071CE"/>
            </w:tcBorders>
          </w:tcPr>
          <w:p>
            <w:pPr>
              <w:spacing w:after="0"/>
              <w:rPr>
                <w:sz w:val="18"/>
                <w:szCs w:val="18"/>
                <w:color w:val="auto"/>
              </w:rPr>
            </w:pPr>
          </w:p>
        </w:tc>
        <w:tc>
          <w:tcPr>
            <w:tcW w:w="1960" w:type="dxa"/>
            <w:vAlign w:val="bottom"/>
            <w:tcBorders>
              <w:bottom w:val="single" w:sz="8" w:color="0071CE"/>
            </w:tcBorders>
          </w:tcPr>
          <w:p>
            <w:pPr>
              <w:jc w:val="center"/>
              <w:ind w:right="1120"/>
              <w:spacing w:after="0"/>
              <w:rPr>
                <w:sz w:val="20"/>
                <w:szCs w:val="20"/>
                <w:color w:val="auto"/>
              </w:rPr>
            </w:pPr>
            <w:r>
              <w:rPr>
                <w:rFonts w:ascii="Arial" w:cs="Arial" w:eastAsia="Arial" w:hAnsi="Arial"/>
                <w:sz w:val="16"/>
                <w:szCs w:val="16"/>
                <w:color w:val="auto"/>
                <w:w w:val="89"/>
              </w:rPr>
              <w:t>0</w:t>
            </w:r>
          </w:p>
        </w:tc>
        <w:tc>
          <w:tcPr>
            <w:tcW w:w="1700" w:type="dxa"/>
            <w:vAlign w:val="bottom"/>
            <w:tcBorders>
              <w:bottom w:val="single" w:sz="8" w:color="0071C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711835</wp:posOffset>
            </wp:positionV>
            <wp:extent cx="9861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13</w:t>
      </w:r>
    </w:p>
    <w:p>
      <w:pPr>
        <w:sectPr>
          <w:pgSz w:w="11900" w:h="16838" w:orient="portrait"/>
          <w:cols w:equalWidth="0" w:num="1">
            <w:col w:w="11240"/>
          </w:cols>
          <w:pgMar w:left="320" w:top="1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Corporate Governance, Environmental and Social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corporate governance, environmental, and social commitment policies and practices:</w:t>
      </w:r>
    </w:p>
    <w:p>
      <w:pPr>
        <w:spacing w:after="0" w:line="140" w:lineRule="exact"/>
        <w:rPr>
          <w:sz w:val="20"/>
          <w:szCs w:val="20"/>
          <w:color w:val="auto"/>
        </w:rPr>
      </w:pPr>
    </w:p>
    <w:p>
      <w:pPr>
        <w:jc w:val="both"/>
        <w:ind w:left="340" w:hanging="251"/>
        <w:spacing w:after="0" w:line="260"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Separate Chair and CEO: </w:t>
      </w:r>
      <w:r>
        <w:rPr>
          <w:rFonts w:ascii="Arial" w:cs="Arial" w:eastAsia="Arial" w:hAnsi="Arial"/>
          <w:sz w:val="16"/>
          <w:szCs w:val="16"/>
          <w:color w:val="auto"/>
        </w:rPr>
        <w:t>The positions of Board Chair and Chief Executive Officer are separated, which allows our Chief Executive Officer to focus on</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planning and execution as well as our day-to-day business operations, while allowing the Board Chair to lead the Board in its fundamental role of providing advice to and oversight of management. While our Bylaws do not require that our Board Chair and Chief Executive Officer positions be separate, our Board believes that having separate positions is the appropriate leadership structure for us at this time and demonstrates our commitment to good corporate governance.</w:t>
      </w:r>
    </w:p>
    <w:p>
      <w:pPr>
        <w:spacing w:after="0" w:line="83"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Majority Independent Board: </w:t>
      </w:r>
      <w:r>
        <w:rPr>
          <w:rFonts w:ascii="Arial" w:cs="Arial" w:eastAsia="Arial" w:hAnsi="Arial"/>
          <w:sz w:val="16"/>
          <w:szCs w:val="16"/>
          <w:color w:val="auto"/>
        </w:rPr>
        <w:t>A majority of the members of the Board are independent directors, as defined by Nasdaq Marketplace Rules.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has determined that all of the Company’s directors are independent, except Dr. Anzalone, due to his employment relationship with the Company, and Dr. Given, who is the brother of Bruce Given, the Company’s former Chief Operating Officer, who retired in May 2020. Non-employee directors do not receive consulting or other fees from the Company, other than Board and Committee compensation.</w:t>
      </w:r>
    </w:p>
    <w:p>
      <w:pPr>
        <w:spacing w:after="0" w:line="64" w:lineRule="exact"/>
        <w:rPr>
          <w:rFonts w:ascii="Arial" w:cs="Arial" w:eastAsia="Arial" w:hAnsi="Arial"/>
          <w:sz w:val="16"/>
          <w:szCs w:val="16"/>
          <w:color w:val="0071CE"/>
        </w:rPr>
      </w:pPr>
    </w:p>
    <w:p>
      <w:pPr>
        <w:ind w:left="340" w:hanging="251"/>
        <w:spacing w:after="0" w:line="304"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Lead Director: </w:t>
      </w:r>
      <w:r>
        <w:rPr>
          <w:rFonts w:ascii="Arial" w:cs="Arial" w:eastAsia="Arial" w:hAnsi="Arial"/>
          <w:sz w:val="16"/>
          <w:szCs w:val="16"/>
          <w:color w:val="auto"/>
        </w:rPr>
        <w:t>The Board has appointed an independent Lead Director. The Lead Director is tasked with assuring that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and other relevant issues have independent leadership.</w:t>
      </w:r>
    </w:p>
    <w:p>
      <w:pPr>
        <w:spacing w:after="0" w:line="33" w:lineRule="exact"/>
        <w:rPr>
          <w:rFonts w:ascii="Arial" w:cs="Arial" w:eastAsia="Arial" w:hAnsi="Arial"/>
          <w:sz w:val="16"/>
          <w:szCs w:val="16"/>
          <w:color w:val="0071CE"/>
        </w:rPr>
      </w:pPr>
    </w:p>
    <w:p>
      <w:pPr>
        <w:jc w:val="both"/>
        <w:ind w:left="340" w:hanging="251"/>
        <w:spacing w:after="0" w:line="261"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Risk: </w:t>
      </w:r>
      <w:r>
        <w:rPr>
          <w:rFonts w:ascii="Arial" w:cs="Arial" w:eastAsia="Arial" w:hAnsi="Arial"/>
          <w:sz w:val="16"/>
          <w:szCs w:val="16"/>
          <w:color w:val="auto"/>
        </w:rPr>
        <w:t>The Board has overall responsibility for the oversight of the Company’s risk management process,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81" w:lineRule="exact"/>
        <w:rPr>
          <w:rFonts w:ascii="Arial" w:cs="Arial" w:eastAsia="Arial" w:hAnsi="Arial"/>
          <w:sz w:val="16"/>
          <w:szCs w:val="16"/>
          <w:color w:val="0071CE"/>
        </w:rPr>
      </w:pPr>
    </w:p>
    <w:p>
      <w:pPr>
        <w:jc w:val="both"/>
        <w:ind w:left="340" w:hanging="251"/>
        <w:spacing w:after="0" w:line="266"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Code of Conduct: </w:t>
      </w:r>
      <w:r>
        <w:rPr>
          <w:rFonts w:ascii="Arial" w:cs="Arial" w:eastAsia="Arial" w:hAnsi="Arial"/>
          <w:sz w:val="16"/>
          <w:szCs w:val="16"/>
          <w:color w:val="auto"/>
        </w:rPr>
        <w:t>All of the Company’s employees, officers, and directors are subject to the Company’s Code of Business Conduct and Ethics Policy,</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available on the Company’s website at www.arrowheadpharma.com. The ethics policy meets the requirements of Nasdaq Marketplace Rules, as well as the code of ethics requirements of the SEC.</w:t>
      </w:r>
    </w:p>
    <w:p>
      <w:pPr>
        <w:spacing w:after="0" w:line="63" w:lineRule="exact"/>
        <w:rPr>
          <w:rFonts w:ascii="Arial" w:cs="Arial" w:eastAsia="Arial" w:hAnsi="Arial"/>
          <w:sz w:val="16"/>
          <w:szCs w:val="16"/>
          <w:color w:val="0071CE"/>
        </w:rPr>
      </w:pPr>
    </w:p>
    <w:p>
      <w:pPr>
        <w:ind w:left="320" w:hanging="231"/>
        <w:spacing w:after="0"/>
        <w:tabs>
          <w:tab w:leader="none" w:pos="320"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Committees: </w:t>
      </w:r>
      <w:r>
        <w:rPr>
          <w:rFonts w:ascii="Arial" w:cs="Arial" w:eastAsia="Arial" w:hAnsi="Arial"/>
          <w:sz w:val="16"/>
          <w:szCs w:val="16"/>
          <w:color w:val="auto"/>
        </w:rPr>
        <w:t>The Audit, Compensation, and Nomination Committees consist entirely of independent directors.</w:t>
      </w:r>
    </w:p>
    <w:p>
      <w:pPr>
        <w:spacing w:after="0" w:line="113" w:lineRule="exact"/>
        <w:rPr>
          <w:rFonts w:ascii="Arial" w:cs="Arial" w:eastAsia="Arial" w:hAnsi="Arial"/>
          <w:sz w:val="16"/>
          <w:szCs w:val="16"/>
          <w:color w:val="0071CE"/>
        </w:rPr>
      </w:pPr>
    </w:p>
    <w:p>
      <w:pPr>
        <w:ind w:left="340" w:hanging="251"/>
        <w:spacing w:after="0" w:line="304"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b w:val="1"/>
          <w:bCs w:val="1"/>
          <w:color w:val="auto"/>
        </w:rPr>
        <w:t xml:space="preserve">Regularly Held Executive Sessions: </w:t>
      </w:r>
      <w:r>
        <w:rPr>
          <w:rFonts w:ascii="Arial" w:cs="Arial" w:eastAsia="Arial" w:hAnsi="Arial"/>
          <w:sz w:val="16"/>
          <w:szCs w:val="16"/>
          <w:color w:val="auto"/>
        </w:rPr>
        <w:t>The independent directors meet separately in executive session on a regular basis to discuss matters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Board, without members of the management team present.</w:t>
      </w:r>
    </w:p>
    <w:p>
      <w:pPr>
        <w:spacing w:after="0" w:line="33" w:lineRule="exact"/>
        <w:rPr>
          <w:rFonts w:ascii="Arial" w:cs="Arial" w:eastAsia="Arial" w:hAnsi="Arial"/>
          <w:sz w:val="16"/>
          <w:szCs w:val="16"/>
          <w:color w:val="0071CE"/>
        </w:rPr>
      </w:pPr>
    </w:p>
    <w:p>
      <w:pPr>
        <w:ind w:left="320" w:hanging="231"/>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Stockholders have a proxy access right with market-standard terms (3% for 3 years, up to 20% of the Board).</w:t>
      </w:r>
    </w:p>
    <w:p>
      <w:pPr>
        <w:spacing w:after="0" w:line="113" w:lineRule="exact"/>
        <w:rPr>
          <w:rFonts w:ascii="Arial" w:cs="Arial" w:eastAsia="Arial" w:hAnsi="Arial"/>
          <w:sz w:val="16"/>
          <w:szCs w:val="16"/>
          <w:color w:val="auto"/>
        </w:rPr>
      </w:pPr>
    </w:p>
    <w:p>
      <w:pPr>
        <w:ind w:left="320" w:hanging="231"/>
        <w:spacing w:after="0"/>
        <w:tabs>
          <w:tab w:leader="none" w:pos="32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Board Oversight of Strategy: </w:t>
      </w: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b w:val="1"/>
          <w:bCs w:val="1"/>
          <w:color w:val="auto"/>
        </w:rPr>
      </w:pPr>
    </w:p>
    <w:p>
      <w:pPr>
        <w:ind w:left="340" w:right="20" w:hanging="251"/>
        <w:spacing w:after="0" w:line="286"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and Social Responsibility Oversight: </w:t>
      </w:r>
      <w:r>
        <w:rPr>
          <w:rFonts w:ascii="Arial" w:cs="Arial" w:eastAsia="Arial" w:hAnsi="Arial"/>
          <w:sz w:val="16"/>
          <w:szCs w:val="16"/>
          <w:color w:val="auto"/>
        </w:rPr>
        <w:t>The Board has designated one if its members, Adeoye Olukotun, with responsibility of ensuring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environmental and social programs align with the Board’s expectations in these matters.</w:t>
      </w:r>
    </w:p>
    <w:p>
      <w:pPr>
        <w:spacing w:after="0" w:line="47" w:lineRule="exact"/>
        <w:rPr>
          <w:rFonts w:ascii="Arial" w:cs="Arial" w:eastAsia="Arial" w:hAnsi="Arial"/>
          <w:sz w:val="16"/>
          <w:szCs w:val="16"/>
          <w:color w:val="auto"/>
        </w:rPr>
      </w:pPr>
    </w:p>
    <w:p>
      <w:pPr>
        <w:ind w:left="340" w:right="20" w:hanging="251"/>
        <w:spacing w:after="0" w:line="304"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Related Party Transaction Oversight: </w:t>
      </w:r>
      <w:r>
        <w:rPr>
          <w:rFonts w:ascii="Arial" w:cs="Arial" w:eastAsia="Arial" w:hAnsi="Arial"/>
          <w:sz w:val="16"/>
          <w:szCs w:val="16"/>
          <w:color w:val="auto"/>
        </w:rPr>
        <w:t>The Audit Committee reviews and approves all disclosable related-party transactions or, if the size and nature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transaction warrants, a special committee of non-related Board members is formed to negotiate and approve the transaction.</w:t>
      </w:r>
    </w:p>
    <w:p>
      <w:pPr>
        <w:spacing w:after="0" w:line="33" w:lineRule="exact"/>
        <w:rPr>
          <w:rFonts w:ascii="Arial" w:cs="Arial" w:eastAsia="Arial" w:hAnsi="Arial"/>
          <w:sz w:val="16"/>
          <w:szCs w:val="16"/>
          <w:color w:val="auto"/>
        </w:rPr>
      </w:pPr>
    </w:p>
    <w:p>
      <w:pPr>
        <w:jc w:val="both"/>
        <w:ind w:left="340" w:hanging="251"/>
        <w:spacing w:after="0" w:line="261"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The Company continues to assess its environmental impact and ways in which it can operate more responsibly and sustainably.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in the process of building out two research and development facilities, one in Verona, Wisconsin and the other in San Diego, California. Both research &amp; development facilities are being built to meet LEED certification standards. The Company has contracted with a third party to build a solar power generation plant at our San Diego facility with an expected generating capacity of approximately 1,406kW, which will be comprised of a rooftop system, parking lot solar canopies, and a 1,200 kW battery storage system to supply power to the building. Additionally, the Company is exploring the feasibility of solar or other clean energy for our Verona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558165</wp:posOffset>
            </wp:positionV>
            <wp:extent cx="986155"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14</w:t>
      </w:r>
    </w:p>
    <w:p>
      <w:pPr>
        <w:sectPr>
          <w:pgSz w:w="11900" w:h="16838" w:orient="portrait"/>
          <w:cols w:equalWidth="0" w:num="1">
            <w:col w:w="11240"/>
          </w:cols>
          <w:pgMar w:left="320" w:top="19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hanging="251"/>
        <w:spacing w:after="0" w:line="286" w:lineRule="auto"/>
        <w:tabs>
          <w:tab w:leader="none" w:pos="3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been methodically minimizing its use of paper records in favor of electronic records and has a robust recycling program for paper, batteries, and electronic equipment.</w:t>
      </w:r>
    </w:p>
    <w:p>
      <w:pPr>
        <w:spacing w:after="0" w:line="47" w:lineRule="exact"/>
        <w:rPr>
          <w:rFonts w:ascii="Arial" w:cs="Arial" w:eastAsia="Arial" w:hAnsi="Arial"/>
          <w:sz w:val="16"/>
          <w:szCs w:val="16"/>
          <w:color w:val="auto"/>
        </w:rPr>
      </w:pPr>
    </w:p>
    <w:p>
      <w:pPr>
        <w:jc w:val="both"/>
        <w:ind w:left="340" w:hanging="251"/>
        <w:spacing w:after="0" w:line="248" w:lineRule="auto"/>
        <w:tabs>
          <w:tab w:leader="none" w:pos="329" w:val="left"/>
        </w:tabs>
        <w:numPr>
          <w:ilvl w:val="0"/>
          <w:numId w:val="16"/>
        </w:numPr>
        <w:rPr>
          <w:rFonts w:ascii="Arial" w:cs="Arial" w:eastAsia="Arial" w:hAnsi="Arial"/>
          <w:sz w:val="16"/>
          <w:szCs w:val="16"/>
          <w:color w:val="0071CE"/>
        </w:rPr>
      </w:pPr>
      <w:r>
        <w:rPr>
          <w:rFonts w:ascii="Arial" w:cs="Arial" w:eastAsia="Arial" w:hAnsi="Arial"/>
          <w:sz w:val="16"/>
          <w:szCs w:val="16"/>
          <w:b w:val="1"/>
          <w:bCs w:val="1"/>
          <w:color w:val="auto"/>
        </w:rPr>
        <w:t xml:space="preserve">Human Capital Management: </w:t>
      </w:r>
      <w:r>
        <w:rPr>
          <w:rFonts w:ascii="Arial" w:cs="Arial" w:eastAsia="Arial" w:hAnsi="Arial"/>
          <w:sz w:val="16"/>
          <w:szCs w:val="16"/>
          <w:color w:val="auto"/>
        </w:rPr>
        <w:t>Arrowhead has a vibrant and growing culture and we are committed to the health and welfare of our employees. Our</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work developing advanced drugs for patients requires a specialized and dedicated workforce. Arrowhead supports the development of our employees with a generous compensation and benefits package, internal advancement, and individualized development opportunities. We are committed to training young scientists and businesspeople and offer multiple internships and entry level positions each year.</w:t>
      </w:r>
    </w:p>
    <w:p>
      <w:pPr>
        <w:spacing w:after="0" w:line="63" w:lineRule="exact"/>
        <w:rPr>
          <w:rFonts w:ascii="Arial" w:cs="Arial" w:eastAsia="Arial" w:hAnsi="Arial"/>
          <w:sz w:val="16"/>
          <w:szCs w:val="16"/>
          <w:color w:val="0071CE"/>
        </w:rPr>
      </w:pPr>
    </w:p>
    <w:p>
      <w:pPr>
        <w:jc w:val="both"/>
        <w:ind w:left="340" w:hanging="251"/>
        <w:spacing w:after="0" w:line="257" w:lineRule="auto"/>
        <w:tabs>
          <w:tab w:leader="none" w:pos="329"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Workforce Diversity: </w:t>
      </w:r>
      <w:r>
        <w:rPr>
          <w:rFonts w:ascii="Arial" w:cs="Arial" w:eastAsia="Arial" w:hAnsi="Arial"/>
          <w:sz w:val="16"/>
          <w:szCs w:val="16"/>
          <w:color w:val="auto"/>
        </w:rPr>
        <w:t>As of December 31, 2022, women comprise 49% of our employee workforce and 39% of our employee leaders at the level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or above. People self-identifying as racial and ethnic minorities comprise 30% of our employee workforce and 43% of our employee leaders at the level of director or above. One of our executive officers is a member of the LGBTQ+ community.</w:t>
      </w:r>
    </w:p>
    <w:p>
      <w:pPr>
        <w:spacing w:after="0" w:line="83" w:lineRule="exact"/>
        <w:rPr>
          <w:rFonts w:ascii="Arial" w:cs="Arial" w:eastAsia="Arial" w:hAnsi="Arial"/>
          <w:sz w:val="16"/>
          <w:szCs w:val="16"/>
          <w:color w:val="auto"/>
        </w:rPr>
      </w:pPr>
    </w:p>
    <w:p>
      <w:pPr>
        <w:jc w:val="both"/>
        <w:ind w:left="340" w:hanging="251"/>
        <w:spacing w:after="0" w:line="266" w:lineRule="auto"/>
        <w:tabs>
          <w:tab w:leader="none" w:pos="329" w:val="left"/>
        </w:tabs>
        <w:numPr>
          <w:ilvl w:val="0"/>
          <w:numId w:val="16"/>
        </w:numPr>
        <w:rPr>
          <w:rFonts w:ascii="Arial" w:cs="Arial" w:eastAsia="Arial" w:hAnsi="Arial"/>
          <w:sz w:val="16"/>
          <w:szCs w:val="16"/>
          <w:color w:val="0071CE"/>
        </w:rPr>
      </w:pPr>
      <w:r>
        <w:rPr>
          <w:rFonts w:ascii="Arial" w:cs="Arial" w:eastAsia="Arial" w:hAnsi="Arial"/>
          <w:sz w:val="16"/>
          <w:szCs w:val="16"/>
          <w:b w:val="1"/>
          <w:bCs w:val="1"/>
          <w:color w:val="auto"/>
        </w:rPr>
        <w:t xml:space="preserve">Corporate Responsibility: </w:t>
      </w:r>
      <w:r>
        <w:rPr>
          <w:rFonts w:ascii="Arial" w:cs="Arial" w:eastAsia="Arial" w:hAnsi="Arial"/>
          <w:sz w:val="16"/>
          <w:szCs w:val="16"/>
          <w:color w:val="auto"/>
        </w:rPr>
        <w:t>Arrowhead is also committed to the communities in which we operate. The Company and our employees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charitable outreach events each year, and in 2023 expect to establish a scholarship fund intended to foster scientific education for minority students.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Stockholders who wish to communicate with the Board or any individual director can write to: Patrick O’Brien, Corporate Secretary, Arrowhead Pharmaceuticals, Inc., 177 E. Colorado, Suite 700, Pasadena, CA 91105. Your letter should indicate that you are an Arrowhead stockholder. Depending on the subject matter, management will:</w:t>
      </w:r>
    </w:p>
    <w:p>
      <w:pPr>
        <w:spacing w:after="0" w:line="83" w:lineRule="exact"/>
        <w:rPr>
          <w:sz w:val="20"/>
          <w:szCs w:val="20"/>
          <w:color w:val="auto"/>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Forward the communication to the Board Chair, if addressed to the board of directors; or</w:t>
      </w:r>
    </w:p>
    <w:p>
      <w:pPr>
        <w:spacing w:after="0" w:line="126" w:lineRule="exact"/>
        <w:rPr>
          <w:rFonts w:ascii="Arial" w:cs="Arial" w:eastAsia="Arial" w:hAnsi="Arial"/>
          <w:sz w:val="16"/>
          <w:szCs w:val="16"/>
          <w:color w:val="0071CE"/>
        </w:rPr>
      </w:pPr>
    </w:p>
    <w:p>
      <w:pPr>
        <w:ind w:left="340" w:right="20" w:hanging="251"/>
        <w:spacing w:after="0" w:line="286"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If not addressed to, or otherwise appropriate for, any director or directors, attempt to handle the inquiry directly (for example, requests for information or stock-related matters).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Board held a total of six meetings during the fiscal year ended September 30, 2022. The Board has three standing committees: Audit Committee, Compensation Committee, and Nomination Committee. The functions of the Audit Committee are to select and oversee the independent registered public accounting firm, to review the scope and results of the year-end audit with management and the independent auditors, to review the Company’s accounting principles and its system of internal accounting controls, to review the Company’s annual and quarterly reports before filing with the SEC and to review any related-party transactions. The Audit Committee met five times during fiscal 2022. The members of the Audit Committee for fiscal 2022 were William Waddill (Committee Chair), Marianne De Backer, Adeoye Olukotun, and Michael Perry. The current members of the Audit Committee for fiscal 2023 are William Waddill (Committee Chair), Marianne De Backer, Mauro Ferrari, and Victoria Vakiener. The Board has determined that all members of the Audit Committee who served during 2022 were independent directors under the rules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15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 administer the Company’s equity incentive compensation plans.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2022, the Compensation Committee engaged Compensia, Inc. (“</w:t>
      </w:r>
      <w:r>
        <w:rPr>
          <w:rFonts w:ascii="Arial" w:cs="Arial" w:eastAsia="Arial" w:hAnsi="Arial"/>
          <w:sz w:val="16"/>
          <w:szCs w:val="16"/>
          <w:b w:val="1"/>
          <w:bCs w:val="1"/>
          <w:color w:val="auto"/>
        </w:rPr>
        <w:t>Compensia</w:t>
      </w:r>
      <w:r>
        <w:rPr>
          <w:rFonts w:ascii="Arial" w:cs="Arial" w:eastAsia="Arial" w:hAnsi="Arial"/>
          <w:sz w:val="16"/>
          <w:szCs w:val="16"/>
          <w:color w:val="auto"/>
        </w:rPr>
        <w:t>”), a national compensation consulting firm, to provide advice and guidance with regard to compensation for our NEOs. The decision to engage the consultant was not made or recommended by management and the Compensation Committee has the sole discretion to engage or change the consultant. The Compensation Committee met four times during fiscal 2022. The members of the Compensation Committee for fiscal 2022 were William Waddill (Committee Chair), Marianne De Backer, Mauro Ferrari, Adeoye Olukotun, and Michael Perry. The current members of the Compensation Committee for fiscal 2023 are William Waddill (Committee Chair), Marianne De Backer, and Michael Perry. The Board has determined that all members of the Compensation Committee are independent directors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501650</wp:posOffset>
            </wp:positionV>
            <wp:extent cx="98615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15</w:t>
      </w:r>
    </w:p>
    <w:p>
      <w:pPr>
        <w:sectPr>
          <w:pgSz w:w="11900" w:h="16838" w:orient="portrait"/>
          <w:cols w:equalWidth="0" w:num="1">
            <w:col w:w="11240"/>
          </w:cols>
          <w:pgMar w:left="320" w:top="19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940"/>
        <w:spacing w:after="0" w:line="268" w:lineRule="auto"/>
        <w:rPr>
          <w:sz w:val="20"/>
          <w:szCs w:val="20"/>
          <w:color w:val="auto"/>
        </w:rPr>
      </w:pPr>
      <w:r>
        <w:rPr>
          <w:rFonts w:ascii="Arial" w:cs="Arial" w:eastAsia="Arial" w:hAnsi="Arial"/>
          <w:sz w:val="16"/>
          <w:szCs w:val="16"/>
          <w:color w:val="auto"/>
        </w:rPr>
        <w:t>the listing rules of Nasdaq Marketplace Rules. The Compensation Committee’s charter is available on the Company’s website at www.arrowheadpharma.com. The Compensation Committee has not delegated any of its responsibilities or authorities granted under its charter.</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Nomination Committee is responsible for proposing a slate of directors for election by the stockholders at each annual meeting and for proposing candidates to fill any vacancies. The Nomination Committee met three times during fiscal 2022.The members of the Nomination Committee for fiscal 2022 were Marianne De Backer (Committee Chair), Mauro Ferrari, Adeoye Olukotun, and Michael Perry, The current members of the Nomination Committee for fiscal 2023 are Marianne De Backer (Committee Chair), Mauro Ferrari, Adeoye Olukotun, Michael Perry, Victoria Vakiener, and William Waddill. The Nomination Committee’s charter is available on the Company’s website at www.arrowheadpharma.com.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the Committee Chair) screens the available information about the potential candidate(s). Based on the results of the initial screening, interviews with candidates are scheduled with Nomination Committee members, other members of the Board and senior members of management. Upon completion of these interviews and other due diligence, the Nomination Committee may recommend a candidate to the Board for appointment.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 third-party search firm.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as applicable, the SEC. In any given search, the Nomination Committee may also define particular characteristics for candidates to balance the overall mix of skills, backgrounds and characteristics of the Board and the needs of the Company. During any search, the Nomination Committee reserves the right to modify its stated search criteria for exceptional candidates.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Nomination Committee assesses its effectiveness in achieving its goal of building a diverse board as part of its annual assessment of the composition of the Board.</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2018, the Board established a Science Committee to review and advise on science topics of interest to the Company. The members of the Science Committee for fiscal 2022 were Mauro Ferrari (Committee Co-Chair), Adeoye Olukotun (Committee Co-Chair), Marianne De Backer, and Douglass Given.The current members of the Science Committee for fiscal 2023 are Mauro Ferrari (Committee Co-Chair), Adeoye Olukotun (Committee Co-Chair), Douglass Given, and Michael Perry.</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of our incumbent directors attended at least 75% of the aggregate of (i) the total number of meetings of the Board held during fiscal 2022, and (ii) the total number of meetings held by all committees of the Board during fiscal 2022 on which such person served, in each case during the period in which such person served on the Board or committee.</w:t>
      </w:r>
    </w:p>
    <w:p>
      <w:pPr>
        <w:spacing w:after="0" w:line="1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all of the directors then serving on the Board attended the virtual 2022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570230</wp:posOffset>
            </wp:positionV>
            <wp:extent cx="9861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16</w:t>
      </w:r>
    </w:p>
    <w:p>
      <w:pPr>
        <w:sectPr>
          <w:pgSz w:w="11900" w:h="16838" w:orient="portrait"/>
          <w:cols w:equalWidth="0" w:num="1">
            <w:col w:w="11240"/>
          </w:cols>
          <w:pgMar w:left="320" w:top="1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Director Compensation</w:t>
      </w:r>
    </w:p>
    <w:p>
      <w:pPr>
        <w:spacing w:after="0" w:line="42"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2022, the Company maintained the structure of director compensation it adopted in 2019 to provide a base retainer for each director with higher base retainers for service by the Board Chair and the Lead Independent Director. The Company provides an additional retainer for committee service with higher retainers for committee leadership. The average total compensation paid to the Company's non-executive directors for service in 2022 is at or below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total compensation paid to non-executive directors of its peer group as described later in this proxy statement. The Compensation Committee believes the structure aligns compensation according to the level of service contributions by each director.</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2022. Dr. Anzalone’s compensation is set forth in the discussion of Executive Compensation and in the Summary Compensation Table.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shd w:val="clear" w:color="auto" w:fill="0071CE"/>
          </w:tcPr>
          <w:p>
            <w:pPr>
              <w:spacing w:after="0"/>
              <w:rPr>
                <w:sz w:val="14"/>
                <w:szCs w:val="14"/>
                <w:color w:val="auto"/>
              </w:rPr>
            </w:pPr>
          </w:p>
        </w:tc>
        <w:tc>
          <w:tcPr>
            <w:tcW w:w="1920" w:type="dxa"/>
            <w:vAlign w:val="bottom"/>
            <w:shd w:val="clear" w:color="auto" w:fill="0071CE"/>
          </w:tcPr>
          <w:p>
            <w:pPr>
              <w:jc w:val="center"/>
              <w:ind w:right="257"/>
              <w:spacing w:after="0"/>
              <w:rPr>
                <w:sz w:val="20"/>
                <w:szCs w:val="20"/>
                <w:color w:val="auto"/>
              </w:rPr>
            </w:pPr>
            <w:r>
              <w:rPr>
                <w:rFonts w:ascii="Arial" w:cs="Arial" w:eastAsia="Arial" w:hAnsi="Arial"/>
                <w:sz w:val="14"/>
                <w:szCs w:val="14"/>
                <w:b w:val="1"/>
                <w:bCs w:val="1"/>
                <w:color w:val="FFFFFF"/>
              </w:rPr>
              <w:t>Fee Earned</w:t>
            </w:r>
          </w:p>
        </w:tc>
        <w:tc>
          <w:tcPr>
            <w:tcW w:w="15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360" w:type="dxa"/>
            <w:vAlign w:val="bottom"/>
            <w:shd w:val="clear" w:color="auto" w:fill="0071CE"/>
          </w:tcPr>
          <w:p>
            <w:pPr>
              <w:spacing w:after="0"/>
              <w:rPr>
                <w:sz w:val="14"/>
                <w:szCs w:val="14"/>
                <w:color w:val="auto"/>
              </w:rPr>
            </w:pPr>
          </w:p>
        </w:tc>
        <w:tc>
          <w:tcPr>
            <w:tcW w:w="156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820" w:type="dxa"/>
            <w:vAlign w:val="bottom"/>
            <w:shd w:val="clear" w:color="auto" w:fill="0071CE"/>
          </w:tcPr>
          <w:p>
            <w:pPr>
              <w:spacing w:after="0"/>
              <w:rPr>
                <w:sz w:val="12"/>
                <w:szCs w:val="12"/>
                <w:color w:val="auto"/>
              </w:rPr>
            </w:pPr>
          </w:p>
        </w:tc>
        <w:tc>
          <w:tcPr>
            <w:tcW w:w="1920" w:type="dxa"/>
            <w:vAlign w:val="bottom"/>
            <w:shd w:val="clear" w:color="auto" w:fill="0071CE"/>
          </w:tcPr>
          <w:p>
            <w:pPr>
              <w:jc w:val="center"/>
              <w:ind w:right="257"/>
              <w:spacing w:after="0" w:line="145" w:lineRule="exact"/>
              <w:rPr>
                <w:sz w:val="20"/>
                <w:szCs w:val="20"/>
                <w:color w:val="auto"/>
              </w:rPr>
            </w:pPr>
            <w:r>
              <w:rPr>
                <w:rFonts w:ascii="Arial" w:cs="Arial" w:eastAsia="Arial" w:hAnsi="Arial"/>
                <w:sz w:val="14"/>
                <w:szCs w:val="14"/>
                <w:b w:val="1"/>
                <w:bCs w:val="1"/>
                <w:color w:val="FFFFFF"/>
                <w:w w:val="99"/>
              </w:rPr>
              <w:t>or</w:t>
            </w:r>
          </w:p>
        </w:tc>
        <w:tc>
          <w:tcPr>
            <w:tcW w:w="1560" w:type="dxa"/>
            <w:vAlign w:val="bottom"/>
            <w:vMerge w:val="continue"/>
            <w:shd w:val="clear" w:color="auto" w:fill="0071CE"/>
          </w:tcPr>
          <w:p>
            <w:pPr>
              <w:spacing w:after="0"/>
              <w:rPr>
                <w:sz w:val="12"/>
                <w:szCs w:val="12"/>
                <w:color w:val="auto"/>
              </w:rPr>
            </w:pPr>
          </w:p>
        </w:tc>
        <w:tc>
          <w:tcPr>
            <w:tcW w:w="360" w:type="dxa"/>
            <w:vAlign w:val="bottom"/>
            <w:shd w:val="clear" w:color="auto" w:fill="0071CE"/>
          </w:tcPr>
          <w:p>
            <w:pPr>
              <w:spacing w:after="0"/>
              <w:rPr>
                <w:sz w:val="12"/>
                <w:szCs w:val="12"/>
                <w:color w:val="auto"/>
              </w:rPr>
            </w:pPr>
          </w:p>
        </w:tc>
        <w:tc>
          <w:tcPr>
            <w:tcW w:w="156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920" w:type="dxa"/>
            <w:vAlign w:val="bottom"/>
            <w:shd w:val="clear" w:color="auto" w:fill="0071CE"/>
          </w:tcPr>
          <w:p>
            <w:pPr>
              <w:jc w:val="center"/>
              <w:ind w:right="257"/>
              <w:spacing w:after="0" w:line="149" w:lineRule="exact"/>
              <w:rPr>
                <w:sz w:val="20"/>
                <w:szCs w:val="20"/>
                <w:color w:val="auto"/>
              </w:rPr>
            </w:pPr>
            <w:r>
              <w:rPr>
                <w:rFonts w:ascii="Arial" w:cs="Arial" w:eastAsia="Arial" w:hAnsi="Arial"/>
                <w:sz w:val="14"/>
                <w:szCs w:val="14"/>
                <w:b w:val="1"/>
                <w:bCs w:val="1"/>
                <w:color w:val="FFFFFF"/>
              </w:rPr>
              <w:t>Paid in Cash</w:t>
            </w:r>
          </w:p>
        </w:tc>
        <w:tc>
          <w:tcPr>
            <w:tcW w:w="15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Awards ($)</w:t>
            </w:r>
          </w:p>
        </w:tc>
        <w:tc>
          <w:tcPr>
            <w:tcW w:w="360" w:type="dxa"/>
            <w:vAlign w:val="bottom"/>
            <w:shd w:val="clear" w:color="auto" w:fill="0071CE"/>
          </w:tcPr>
          <w:p>
            <w:pPr>
              <w:spacing w:after="0"/>
              <w:rPr>
                <w:sz w:val="12"/>
                <w:szCs w:val="12"/>
                <w:color w:val="auto"/>
              </w:rPr>
            </w:pPr>
          </w:p>
        </w:tc>
        <w:tc>
          <w:tcPr>
            <w:tcW w:w="1560" w:type="dxa"/>
            <w:vAlign w:val="bottom"/>
            <w:vMerge w:val="restart"/>
            <w:shd w:val="clear" w:color="auto" w:fill="0071CE"/>
          </w:tcPr>
          <w:p>
            <w:pPr>
              <w:jc w:val="right"/>
              <w:ind w:right="456"/>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0071CE"/>
            </w:tcBorders>
            <w:vMerge w:val="continue"/>
            <w:shd w:val="clear" w:color="auto" w:fill="0071CE"/>
          </w:tcPr>
          <w:p>
            <w:pPr>
              <w:spacing w:after="0"/>
              <w:rPr>
                <w:sz w:val="18"/>
                <w:szCs w:val="18"/>
                <w:color w:val="auto"/>
              </w:rPr>
            </w:pPr>
          </w:p>
        </w:tc>
        <w:tc>
          <w:tcPr>
            <w:tcW w:w="1920" w:type="dxa"/>
            <w:vAlign w:val="bottom"/>
            <w:tcBorders>
              <w:bottom w:val="single" w:sz="8" w:color="0071CE"/>
            </w:tcBorders>
            <w:shd w:val="clear" w:color="auto" w:fill="0071CE"/>
          </w:tcPr>
          <w:p>
            <w:pPr>
              <w:jc w:val="center"/>
              <w:ind w:right="257"/>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 (2)</w:t>
            </w:r>
          </w:p>
        </w:tc>
        <w:tc>
          <w:tcPr>
            <w:tcW w:w="360" w:type="dxa"/>
            <w:vAlign w:val="bottom"/>
            <w:tcBorders>
              <w:bottom w:val="single" w:sz="8" w:color="0071CE"/>
            </w:tcBorders>
            <w:shd w:val="clear" w:color="auto" w:fill="0071CE"/>
          </w:tcPr>
          <w:p>
            <w:pPr>
              <w:spacing w:after="0"/>
              <w:rPr>
                <w:sz w:val="18"/>
                <w:szCs w:val="18"/>
                <w:color w:val="auto"/>
              </w:rPr>
            </w:pPr>
          </w:p>
        </w:tc>
        <w:tc>
          <w:tcPr>
            <w:tcW w:w="1560" w:type="dxa"/>
            <w:vAlign w:val="bottom"/>
            <w:tcBorders>
              <w:bottom w:val="single" w:sz="8" w:color="0071CE"/>
            </w:tcBorders>
            <w:vMerge w:val="continue"/>
            <w:shd w:val="clear" w:color="auto" w:fill="0071C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Douglass Given</w:t>
            </w:r>
          </w:p>
        </w:tc>
        <w:tc>
          <w:tcPr>
            <w:tcW w:w="1920" w:type="dxa"/>
            <w:vAlign w:val="bottom"/>
            <w:shd w:val="clear" w:color="auto" w:fill="E5E5E5"/>
          </w:tcPr>
          <w:p>
            <w:pPr>
              <w:jc w:val="center"/>
              <w:ind w:right="257"/>
              <w:spacing w:after="0"/>
              <w:rPr>
                <w:sz w:val="20"/>
                <w:szCs w:val="20"/>
                <w:color w:val="auto"/>
              </w:rPr>
            </w:pPr>
            <w:r>
              <w:rPr>
                <w:rFonts w:ascii="Arial" w:cs="Arial" w:eastAsia="Arial" w:hAnsi="Arial"/>
                <w:sz w:val="18"/>
                <w:szCs w:val="18"/>
                <w:color w:val="auto"/>
              </w:rPr>
              <w:t>$95,000</w:t>
            </w:r>
          </w:p>
        </w:tc>
        <w:tc>
          <w:tcPr>
            <w:tcW w:w="15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$377,280</w:t>
            </w:r>
          </w:p>
        </w:tc>
        <w:tc>
          <w:tcPr>
            <w:tcW w:w="1920" w:type="dxa"/>
            <w:vAlign w:val="bottom"/>
            <w:gridSpan w:val="2"/>
            <w:shd w:val="clear" w:color="auto" w:fill="E5E5E5"/>
          </w:tcPr>
          <w:p>
            <w:pPr>
              <w:jc w:val="right"/>
              <w:ind w:right="316"/>
              <w:spacing w:after="0"/>
              <w:rPr>
                <w:sz w:val="20"/>
                <w:szCs w:val="20"/>
                <w:color w:val="auto"/>
              </w:rPr>
            </w:pPr>
            <w:r>
              <w:rPr>
                <w:rFonts w:ascii="Arial" w:cs="Arial" w:eastAsia="Arial" w:hAnsi="Arial"/>
                <w:sz w:val="18"/>
                <w:szCs w:val="18"/>
                <w:color w:val="auto"/>
              </w:rPr>
              <w:t>$472,280</w:t>
            </w:r>
          </w:p>
        </w:tc>
        <w:tc>
          <w:tcPr>
            <w:tcW w:w="0" w:type="dxa"/>
            <w:vAlign w:val="bottom"/>
          </w:tcPr>
          <w:p>
            <w:pPr>
              <w:spacing w:after="0"/>
              <w:rPr>
                <w:sz w:val="1"/>
                <w:szCs w:val="1"/>
                <w:color w:val="auto"/>
              </w:rPr>
            </w:pPr>
          </w:p>
        </w:tc>
      </w:tr>
      <w:tr>
        <w:trPr>
          <w:trHeight w:val="230"/>
        </w:trPr>
        <w:tc>
          <w:tcPr>
            <w:tcW w:w="5820" w:type="dxa"/>
            <w:vAlign w:val="bottom"/>
          </w:tcPr>
          <w:p>
            <w:pPr>
              <w:ind w:left="120"/>
              <w:spacing w:after="0"/>
              <w:rPr>
                <w:sz w:val="20"/>
                <w:szCs w:val="20"/>
                <w:color w:val="auto"/>
              </w:rPr>
            </w:pPr>
            <w:r>
              <w:rPr>
                <w:rFonts w:ascii="Arial" w:cs="Arial" w:eastAsia="Arial" w:hAnsi="Arial"/>
                <w:sz w:val="16"/>
                <w:szCs w:val="16"/>
                <w:color w:val="auto"/>
              </w:rPr>
              <w:t>Michael S. Perry</w:t>
            </w:r>
          </w:p>
        </w:tc>
        <w:tc>
          <w:tcPr>
            <w:tcW w:w="1920" w:type="dxa"/>
            <w:vAlign w:val="bottom"/>
          </w:tcPr>
          <w:p>
            <w:pPr>
              <w:jc w:val="center"/>
              <w:ind w:right="257"/>
              <w:spacing w:after="0"/>
              <w:rPr>
                <w:sz w:val="20"/>
                <w:szCs w:val="20"/>
                <w:color w:val="auto"/>
              </w:rPr>
            </w:pPr>
            <w:r>
              <w:rPr>
                <w:rFonts w:ascii="Arial" w:cs="Arial" w:eastAsia="Arial" w:hAnsi="Arial"/>
                <w:sz w:val="18"/>
                <w:szCs w:val="18"/>
                <w:color w:val="auto"/>
              </w:rPr>
              <w:t>$80,000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$377,280</w:t>
            </w:r>
          </w:p>
        </w:tc>
        <w:tc>
          <w:tcPr>
            <w:tcW w:w="1920" w:type="dxa"/>
            <w:vAlign w:val="bottom"/>
            <w:gridSpan w:val="2"/>
          </w:tcPr>
          <w:p>
            <w:pPr>
              <w:jc w:val="right"/>
              <w:ind w:right="316"/>
              <w:spacing w:after="0"/>
              <w:rPr>
                <w:sz w:val="20"/>
                <w:szCs w:val="20"/>
                <w:color w:val="auto"/>
              </w:rPr>
            </w:pPr>
            <w:r>
              <w:rPr>
                <w:rFonts w:ascii="Arial" w:cs="Arial" w:eastAsia="Arial" w:hAnsi="Arial"/>
                <w:sz w:val="18"/>
                <w:szCs w:val="18"/>
                <w:color w:val="auto"/>
              </w:rPr>
              <w:t>$457,280</w:t>
            </w:r>
          </w:p>
        </w:tc>
        <w:tc>
          <w:tcPr>
            <w:tcW w:w="0" w:type="dxa"/>
            <w:vAlign w:val="bottom"/>
          </w:tcPr>
          <w:p>
            <w:pPr>
              <w:spacing w:after="0"/>
              <w:rPr>
                <w:sz w:val="1"/>
                <w:szCs w:val="1"/>
                <w:color w:val="auto"/>
              </w:rPr>
            </w:pPr>
          </w:p>
        </w:tc>
      </w:tr>
      <w:tr>
        <w:trPr>
          <w:trHeight w:val="229"/>
        </w:trPr>
        <w:tc>
          <w:tcPr>
            <w:tcW w:w="58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Mauro Ferrari</w:t>
            </w:r>
          </w:p>
        </w:tc>
        <w:tc>
          <w:tcPr>
            <w:tcW w:w="1920" w:type="dxa"/>
            <w:vAlign w:val="bottom"/>
            <w:shd w:val="clear" w:color="auto" w:fill="E5E5E5"/>
          </w:tcPr>
          <w:p>
            <w:pPr>
              <w:jc w:val="center"/>
              <w:ind w:right="257"/>
              <w:spacing w:after="0"/>
              <w:rPr>
                <w:sz w:val="20"/>
                <w:szCs w:val="20"/>
                <w:color w:val="auto"/>
              </w:rPr>
            </w:pPr>
            <w:r>
              <w:rPr>
                <w:rFonts w:ascii="Arial" w:cs="Arial" w:eastAsia="Arial" w:hAnsi="Arial"/>
                <w:sz w:val="18"/>
                <w:szCs w:val="18"/>
                <w:color w:val="auto"/>
              </w:rPr>
              <w:t>$80,000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$377,280</w:t>
            </w:r>
          </w:p>
        </w:tc>
        <w:tc>
          <w:tcPr>
            <w:tcW w:w="1920" w:type="dxa"/>
            <w:vAlign w:val="bottom"/>
            <w:gridSpan w:val="2"/>
            <w:shd w:val="clear" w:color="auto" w:fill="E5E5E5"/>
          </w:tcPr>
          <w:p>
            <w:pPr>
              <w:jc w:val="right"/>
              <w:ind w:right="316"/>
              <w:spacing w:after="0"/>
              <w:rPr>
                <w:sz w:val="20"/>
                <w:szCs w:val="20"/>
                <w:color w:val="auto"/>
              </w:rPr>
            </w:pPr>
            <w:r>
              <w:rPr>
                <w:rFonts w:ascii="Arial" w:cs="Arial" w:eastAsia="Arial" w:hAnsi="Arial"/>
                <w:sz w:val="18"/>
                <w:szCs w:val="18"/>
                <w:color w:val="auto"/>
              </w:rPr>
              <w:t>$457,280</w:t>
            </w:r>
          </w:p>
        </w:tc>
        <w:tc>
          <w:tcPr>
            <w:tcW w:w="0" w:type="dxa"/>
            <w:vAlign w:val="bottom"/>
          </w:tcPr>
          <w:p>
            <w:pPr>
              <w:spacing w:after="0"/>
              <w:rPr>
                <w:sz w:val="1"/>
                <w:szCs w:val="1"/>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6"/>
                <w:szCs w:val="16"/>
                <w:color w:val="auto"/>
              </w:rPr>
              <w:t>William Waddill</w:t>
            </w:r>
          </w:p>
        </w:tc>
        <w:tc>
          <w:tcPr>
            <w:tcW w:w="1920" w:type="dxa"/>
            <w:vAlign w:val="bottom"/>
          </w:tcPr>
          <w:p>
            <w:pPr>
              <w:jc w:val="center"/>
              <w:ind w:right="257"/>
              <w:spacing w:after="0"/>
              <w:rPr>
                <w:sz w:val="20"/>
                <w:szCs w:val="20"/>
                <w:color w:val="auto"/>
              </w:rPr>
            </w:pPr>
            <w:r>
              <w:rPr>
                <w:rFonts w:ascii="Arial" w:cs="Arial" w:eastAsia="Arial" w:hAnsi="Arial"/>
                <w:sz w:val="18"/>
                <w:szCs w:val="18"/>
                <w:color w:val="auto"/>
              </w:rPr>
              <w:t>$90,000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$377,280</w:t>
            </w:r>
          </w:p>
        </w:tc>
        <w:tc>
          <w:tcPr>
            <w:tcW w:w="1920" w:type="dxa"/>
            <w:vAlign w:val="bottom"/>
            <w:gridSpan w:val="2"/>
          </w:tcPr>
          <w:p>
            <w:pPr>
              <w:jc w:val="right"/>
              <w:ind w:right="316"/>
              <w:spacing w:after="0"/>
              <w:rPr>
                <w:sz w:val="20"/>
                <w:szCs w:val="20"/>
                <w:color w:val="auto"/>
              </w:rPr>
            </w:pPr>
            <w:r>
              <w:rPr>
                <w:rFonts w:ascii="Arial" w:cs="Arial" w:eastAsia="Arial" w:hAnsi="Arial"/>
                <w:sz w:val="18"/>
                <w:szCs w:val="18"/>
                <w:color w:val="auto"/>
              </w:rPr>
              <w:t>$467,280</w:t>
            </w:r>
          </w:p>
        </w:tc>
        <w:tc>
          <w:tcPr>
            <w:tcW w:w="0" w:type="dxa"/>
            <w:vAlign w:val="bottom"/>
          </w:tcPr>
          <w:p>
            <w:pPr>
              <w:spacing w:after="0"/>
              <w:rPr>
                <w:sz w:val="1"/>
                <w:szCs w:val="1"/>
                <w:color w:val="auto"/>
              </w:rPr>
            </w:pPr>
          </w:p>
        </w:tc>
      </w:tr>
      <w:tr>
        <w:trPr>
          <w:trHeight w:val="230"/>
        </w:trPr>
        <w:tc>
          <w:tcPr>
            <w:tcW w:w="58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Marianne De Backer</w:t>
            </w:r>
          </w:p>
        </w:tc>
        <w:tc>
          <w:tcPr>
            <w:tcW w:w="1920" w:type="dxa"/>
            <w:vAlign w:val="bottom"/>
            <w:shd w:val="clear" w:color="auto" w:fill="E5E5E5"/>
          </w:tcPr>
          <w:p>
            <w:pPr>
              <w:jc w:val="center"/>
              <w:ind w:right="257"/>
              <w:spacing w:after="0"/>
              <w:rPr>
                <w:sz w:val="20"/>
                <w:szCs w:val="20"/>
                <w:color w:val="auto"/>
              </w:rPr>
            </w:pPr>
            <w:r>
              <w:rPr>
                <w:rFonts w:ascii="Arial" w:cs="Arial" w:eastAsia="Arial" w:hAnsi="Arial"/>
                <w:sz w:val="18"/>
                <w:szCs w:val="18"/>
                <w:color w:val="auto"/>
              </w:rPr>
              <w:t>$80,000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$377,280</w:t>
            </w:r>
          </w:p>
        </w:tc>
        <w:tc>
          <w:tcPr>
            <w:tcW w:w="1920" w:type="dxa"/>
            <w:vAlign w:val="bottom"/>
            <w:gridSpan w:val="2"/>
            <w:shd w:val="clear" w:color="auto" w:fill="E5E5E5"/>
          </w:tcPr>
          <w:p>
            <w:pPr>
              <w:jc w:val="right"/>
              <w:ind w:right="316"/>
              <w:spacing w:after="0"/>
              <w:rPr>
                <w:sz w:val="20"/>
                <w:szCs w:val="20"/>
                <w:color w:val="auto"/>
              </w:rPr>
            </w:pPr>
            <w:r>
              <w:rPr>
                <w:rFonts w:ascii="Arial" w:cs="Arial" w:eastAsia="Arial" w:hAnsi="Arial"/>
                <w:sz w:val="18"/>
                <w:szCs w:val="18"/>
                <w:color w:val="auto"/>
              </w:rPr>
              <w:t>$457,280</w:t>
            </w:r>
          </w:p>
        </w:tc>
        <w:tc>
          <w:tcPr>
            <w:tcW w:w="0" w:type="dxa"/>
            <w:vAlign w:val="bottom"/>
          </w:tcPr>
          <w:p>
            <w:pPr>
              <w:spacing w:after="0"/>
              <w:rPr>
                <w:sz w:val="1"/>
                <w:szCs w:val="1"/>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6"/>
                <w:szCs w:val="16"/>
                <w:color w:val="auto"/>
              </w:rPr>
              <w:t>Adeoye Olukotun</w:t>
            </w:r>
          </w:p>
        </w:tc>
        <w:tc>
          <w:tcPr>
            <w:tcW w:w="1920" w:type="dxa"/>
            <w:vAlign w:val="bottom"/>
          </w:tcPr>
          <w:p>
            <w:pPr>
              <w:jc w:val="center"/>
              <w:ind w:right="257"/>
              <w:spacing w:after="0"/>
              <w:rPr>
                <w:sz w:val="20"/>
                <w:szCs w:val="20"/>
                <w:color w:val="auto"/>
              </w:rPr>
            </w:pPr>
            <w:r>
              <w:rPr>
                <w:rFonts w:ascii="Arial" w:cs="Arial" w:eastAsia="Arial" w:hAnsi="Arial"/>
                <w:sz w:val="18"/>
                <w:szCs w:val="18"/>
                <w:color w:val="auto"/>
              </w:rPr>
              <w:t>$80,000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$377,280</w:t>
            </w:r>
          </w:p>
        </w:tc>
        <w:tc>
          <w:tcPr>
            <w:tcW w:w="360" w:type="dxa"/>
            <w:vAlign w:val="bottom"/>
          </w:tcPr>
          <w:p>
            <w:pPr>
              <w:spacing w:after="0"/>
              <w:rPr>
                <w:sz w:val="19"/>
                <w:szCs w:val="19"/>
                <w:color w:val="auto"/>
              </w:rPr>
            </w:pPr>
          </w:p>
        </w:tc>
        <w:tc>
          <w:tcPr>
            <w:tcW w:w="156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$457,280</w:t>
            </w:r>
          </w:p>
        </w:tc>
        <w:tc>
          <w:tcPr>
            <w:tcW w:w="0" w:type="dxa"/>
            <w:vAlign w:val="bottom"/>
          </w:tcPr>
          <w:p>
            <w:pPr>
              <w:spacing w:after="0"/>
              <w:rPr>
                <w:sz w:val="1"/>
                <w:szCs w:val="1"/>
                <w:color w:val="auto"/>
              </w:rPr>
            </w:pPr>
          </w:p>
        </w:tc>
      </w:tr>
      <w:tr>
        <w:trPr>
          <w:trHeight w:val="230"/>
        </w:trPr>
        <w:tc>
          <w:tcPr>
            <w:tcW w:w="58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Victoria Vakiener</w:t>
            </w:r>
          </w:p>
        </w:tc>
        <w:tc>
          <w:tcPr>
            <w:tcW w:w="1920" w:type="dxa"/>
            <w:vAlign w:val="bottom"/>
            <w:shd w:val="clear" w:color="auto" w:fill="E5E5E5"/>
          </w:tcPr>
          <w:p>
            <w:pPr>
              <w:jc w:val="center"/>
              <w:ind w:right="257"/>
              <w:spacing w:after="0"/>
              <w:rPr>
                <w:sz w:val="20"/>
                <w:szCs w:val="20"/>
                <w:color w:val="auto"/>
              </w:rPr>
            </w:pPr>
            <w:r>
              <w:rPr>
                <w:rFonts w:ascii="Arial" w:cs="Arial" w:eastAsia="Arial" w:hAnsi="Arial"/>
                <w:sz w:val="18"/>
                <w:szCs w:val="18"/>
                <w:color w:val="auto"/>
              </w:rPr>
              <w:t>$25,000</w:t>
            </w:r>
          </w:p>
        </w:tc>
        <w:tc>
          <w:tcPr>
            <w:tcW w:w="15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$633,793</w:t>
            </w:r>
          </w:p>
        </w:tc>
        <w:tc>
          <w:tcPr>
            <w:tcW w:w="36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$658,793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restricted stock units granted during fiscal year 2022 to each director.</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 subject to continued service through the vesting date.</w:t>
      </w:r>
    </w:p>
    <w:p>
      <w:pPr>
        <w:spacing w:after="0" w:line="2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the last day of fiscal year 2022, the directors held the following outstanding restricted stock unit grants in the aggregate: Douglass Given — 6,400; Michael S. Perry — 6,400; Mauro Ferrari — 6,400; William Waddill — 6,400; Marianne De Backer — 6,400; Adeoye Olukoton — 6,400; and Victoria Vakiener — 15,417 restricted stock units.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nominees listed above receiving more “FOR” votes than “AGAINST” votes, assuming a quorum is present, will be elected as directors to serve until their terms expire or until their successors have been duly elected and qualified. Because directors are elected by a majority of votes cast, abstentions from voting and broker non-votes, if any, will be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164465</wp:posOffset>
            </wp:positionV>
            <wp:extent cx="4663440" cy="368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63440" cy="368300"/>
                    </a:xfrm>
                    <a:prstGeom prst="rect">
                      <a:avLst/>
                    </a:prstGeom>
                    <a:noFill/>
                  </pic:spPr>
                </pic:pic>
              </a:graphicData>
            </a:graphic>
          </wp:anchor>
        </w:drawing>
      </w:r>
    </w:p>
    <w:p>
      <w:pPr>
        <w:spacing w:after="0" w:line="279"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26"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EACH OF THE NOMINEES FOR DIRECTOR IN 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606425</wp:posOffset>
            </wp:positionV>
            <wp:extent cx="98615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17</w:t>
      </w:r>
    </w:p>
    <w:p>
      <w:pPr>
        <w:sectPr>
          <w:pgSz w:w="11900" w:h="16838" w:orient="portrait"/>
          <w:cols w:equalWidth="0" w:num="1">
            <w:col w:w="11240"/>
          </w:cols>
          <w:pgMar w:left="320" w:top="19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2022. The Board is asking stockholders to cast a non-binding, advisory vote FOR the following resolution:</w:t>
      </w:r>
    </w:p>
    <w:p>
      <w:pPr>
        <w:spacing w:after="0" w:line="48" w:lineRule="exact"/>
        <w:rPr>
          <w:sz w:val="20"/>
          <w:szCs w:val="20"/>
          <w:color w:val="auto"/>
        </w:rPr>
      </w:pPr>
    </w:p>
    <w:p>
      <w:pPr>
        <w:ind w:left="440"/>
        <w:spacing w:after="0" w:line="304"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2024.</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142240</wp:posOffset>
            </wp:positionV>
            <wp:extent cx="4483100" cy="497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83100" cy="4972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589280</wp:posOffset>
            </wp:positionV>
            <wp:extent cx="98615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18</w:t>
      </w:r>
    </w:p>
    <w:p>
      <w:pPr>
        <w:sectPr>
          <w:pgSz w:w="11900" w:h="16838" w:orient="portrait"/>
          <w:cols w:equalWidth="0" w:num="1">
            <w:col w:w="11240"/>
          </w:cols>
          <w:pgMar w:left="320" w:top="21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Executive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executive compensation program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describes the compensation program for our NEOs. During fiscal 2022, these individuals were:</w:t>
      </w:r>
    </w:p>
    <w:p>
      <w:pPr>
        <w:spacing w:after="0" w:line="140" w:lineRule="exact"/>
        <w:rPr>
          <w:sz w:val="20"/>
          <w:szCs w:val="20"/>
          <w:color w:val="auto"/>
        </w:rPr>
      </w:pPr>
    </w:p>
    <w:p>
      <w:pPr>
        <w:ind w:left="320" w:hanging="231"/>
        <w:spacing w:after="0"/>
        <w:tabs>
          <w:tab w:leader="none" w:pos="3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w:t>
      </w:r>
      <w:r>
        <w:rPr>
          <w:rFonts w:ascii="Arial" w:cs="Arial" w:eastAsia="Arial" w:hAnsi="Arial"/>
          <w:sz w:val="16"/>
          <w:szCs w:val="16"/>
          <w:b w:val="1"/>
          <w:bCs w:val="1"/>
          <w:color w:val="auto"/>
        </w:rPr>
        <w:t>CEO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James Hamilton, our Chief of Discovery and Translational Medicine (our “</w:t>
      </w:r>
      <w:r>
        <w:rPr>
          <w:rFonts w:ascii="Arial" w:cs="Arial" w:eastAsia="Arial" w:hAnsi="Arial"/>
          <w:sz w:val="16"/>
          <w:szCs w:val="16"/>
          <w:b w:val="1"/>
          <w:bCs w:val="1"/>
          <w:color w:val="auto"/>
        </w:rPr>
        <w:t>CDTM</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Patrick O’Brien, our Chief Operating Officer and General Counsel (our “</w:t>
      </w:r>
      <w:r>
        <w:rPr>
          <w:rFonts w:ascii="Arial" w:cs="Arial" w:eastAsia="Arial" w:hAnsi="Arial"/>
          <w:sz w:val="16"/>
          <w:szCs w:val="16"/>
          <w:b w:val="1"/>
          <w:bCs w:val="1"/>
          <w:color w:val="auto"/>
        </w:rPr>
        <w:t>COO</w:t>
      </w:r>
      <w:r>
        <w:rPr>
          <w:rFonts w:ascii="Arial" w:cs="Arial" w:eastAsia="Arial" w:hAnsi="Arial"/>
          <w:sz w:val="16"/>
          <w:szCs w:val="16"/>
          <w:color w:val="auto"/>
        </w:rPr>
        <w:t>” and “</w:t>
      </w:r>
      <w:r>
        <w:rPr>
          <w:rFonts w:ascii="Arial" w:cs="Arial" w:eastAsia="Arial" w:hAnsi="Arial"/>
          <w:sz w:val="16"/>
          <w:szCs w:val="16"/>
          <w:b w:val="1"/>
          <w:bCs w:val="1"/>
          <w:color w:val="auto"/>
        </w:rPr>
        <w:t>GC</w:t>
      </w:r>
      <w:r>
        <w:rPr>
          <w:rFonts w:ascii="Arial" w:cs="Arial" w:eastAsia="Arial" w:hAnsi="Arial"/>
          <w:sz w:val="16"/>
          <w:szCs w:val="16"/>
          <w:color w:val="auto"/>
        </w:rPr>
        <w: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Tracie Oliver, our Chief Commercial Officer (our “</w:t>
      </w:r>
      <w:r>
        <w:rPr>
          <w:rFonts w:ascii="Arial" w:cs="Arial" w:eastAsia="Arial" w:hAnsi="Arial"/>
          <w:sz w:val="16"/>
          <w:szCs w:val="16"/>
          <w:b w:val="1"/>
          <w:bCs w:val="1"/>
          <w:color w:val="auto"/>
        </w:rPr>
        <w:t>CCO</w:t>
      </w:r>
      <w:r>
        <w:rPr>
          <w:rFonts w:ascii="Arial" w:cs="Arial" w:eastAsia="Arial" w:hAnsi="Arial"/>
          <w:sz w:val="16"/>
          <w:szCs w:val="16"/>
          <w:color w:val="auto"/>
        </w:rPr>
        <w:t>”).</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fiscal 2022. It also provides an overview of our executive compensation philosophy and objectives and summarizes our executive compensation policies and practices. Finally, it analyzes how and why the Compensation Committee of our Board arrived at the specific compensation decisions for our executive officers, including our NEOs, for fiscal 2022 including the key factors that the Compensation Committee considered in determining their compensation.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Our Company</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8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Business Highlights</w:t>
      </w:r>
    </w:p>
    <w:p>
      <w:pPr>
        <w:spacing w:after="0" w:line="135" w:lineRule="exact"/>
        <w:rPr>
          <w:sz w:val="20"/>
          <w:szCs w:val="20"/>
          <w:color w:val="auto"/>
        </w:rPr>
      </w:pPr>
    </w:p>
    <w:p>
      <w:pPr>
        <w:ind w:left="340" w:hanging="251"/>
        <w:spacing w:after="0" w:line="304" w:lineRule="auto"/>
        <w:tabs>
          <w:tab w:leader="none" w:pos="329"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Dosed the first patients in its PALISADE study, a Phase 3 clinical study to evaluate the safety and efficacy of ARO-APOC3 in adults with familial chylomicronemia syndrome (FCS);</w:t>
      </w:r>
    </w:p>
    <w:p>
      <w:pPr>
        <w:spacing w:after="0" w:line="33"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Filed for regulatory clearance to begin a Phase 1/2a study of ARO-C3 and subsequently dosed the first subjects in AROC3-1001, a Phase 1/2 clinical study of ARO-C3, the Company’s investigational RNA interference (RNAi) therapeutic designed to reduce production of complement component 3 (C3) as a potential therapy for various complement mediated diseases;</w:t>
      </w:r>
    </w:p>
    <w:p>
      <w:pPr>
        <w:spacing w:after="0" w:line="56" w:lineRule="exact"/>
        <w:rPr>
          <w:rFonts w:ascii="Arial" w:cs="Arial" w:eastAsia="Arial" w:hAnsi="Arial"/>
          <w:sz w:val="16"/>
          <w:szCs w:val="16"/>
          <w:color w:val="0071CE"/>
        </w:rPr>
      </w:pPr>
    </w:p>
    <w:p>
      <w:pPr>
        <w:ind w:left="320" w:hanging="231"/>
        <w:spacing w:after="0"/>
        <w:tabs>
          <w:tab w:leader="none" w:pos="3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Presented additional interim clinical data from AROHSD-1001, AROAAT-2002, and AROAPOC3-1001;</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Completed enrollment in Phase 2b ARCHES-2 study of investigational ARO-ANG3 for patients with mixed dyslipidemia;</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Filed for regulatory clearance to initiate Phase 1/2a study of ARO-RAGE and subsequently dosed first subjects for treatment of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19</w:t>
      </w:r>
    </w:p>
    <w:p>
      <w:pPr>
        <w:sectPr>
          <w:pgSz w:w="11900" w:h="16838" w:orient="portrait"/>
          <w:cols w:equalWidth="0" w:num="1">
            <w:col w:w="11240"/>
          </w:cols>
          <w:pgMar w:left="320" w:top="2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right="20" w:hanging="251"/>
        <w:spacing w:after="0" w:line="286"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Filed for regulatory clearance to initiate Phase 1/2a study of ARO-MUC5AC and subsequently dosed first subjects for treatment of muco-obstructive lung disease;</w:t>
      </w:r>
    </w:p>
    <w:p>
      <w:pPr>
        <w:spacing w:after="0" w:line="61" w:lineRule="exact"/>
        <w:rPr>
          <w:rFonts w:ascii="Arial" w:cs="Arial" w:eastAsia="Arial" w:hAnsi="Arial"/>
          <w:sz w:val="16"/>
          <w:szCs w:val="16"/>
          <w:color w:val="auto"/>
        </w:rPr>
      </w:pPr>
    </w:p>
    <w:p>
      <w:pPr>
        <w:ind w:left="320" w:hanging="231"/>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Filed for regulatory clearance to initiate Phase 1/2a study of ARO-MMP7 for treatment of idiopathic pulmonary fibrosis (IPF);</w:t>
      </w:r>
    </w:p>
    <w:p>
      <w:pPr>
        <w:spacing w:after="0" w:line="113" w:lineRule="exact"/>
        <w:rPr>
          <w:rFonts w:ascii="Arial" w:cs="Arial" w:eastAsia="Arial" w:hAnsi="Arial"/>
          <w:sz w:val="16"/>
          <w:szCs w:val="16"/>
          <w:color w:val="auto"/>
        </w:rPr>
      </w:pPr>
    </w:p>
    <w:p>
      <w:pPr>
        <w:ind w:left="340" w:right="20" w:hanging="251"/>
        <w:spacing w:after="0" w:line="286"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Initiated and dosed the first patients in the Phase 2 GATEWAY clinical study of investigational ARO-ANG3 for the treatment of patients with homozygous familial hypercholersterolemia;</w:t>
      </w:r>
    </w:p>
    <w:p>
      <w:pPr>
        <w:spacing w:after="0" w:line="61" w:lineRule="exact"/>
        <w:rPr>
          <w:rFonts w:ascii="Arial" w:cs="Arial" w:eastAsia="Arial" w:hAnsi="Arial"/>
          <w:sz w:val="16"/>
          <w:szCs w:val="16"/>
          <w:color w:val="auto"/>
        </w:rPr>
      </w:pPr>
    </w:p>
    <w:p>
      <w:pPr>
        <w:ind w:left="340" w:hanging="251"/>
        <w:spacing w:after="0" w:line="286"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Entered into definitive agreements to form a joint venture, Visirna Therapeutics, Inc., with Vivo Capital through which the Company and Vivo Capital intend to expand the reach of innovative medicines in Greater China;</w:t>
      </w:r>
    </w:p>
    <w:p>
      <w:pPr>
        <w:spacing w:after="0" w:line="47" w:lineRule="exact"/>
        <w:rPr>
          <w:rFonts w:ascii="Arial" w:cs="Arial" w:eastAsia="Arial" w:hAnsi="Arial"/>
          <w:sz w:val="16"/>
          <w:szCs w:val="16"/>
          <w:color w:val="auto"/>
        </w:rPr>
      </w:pPr>
    </w:p>
    <w:p>
      <w:pPr>
        <w:jc w:val="both"/>
        <w:ind w:left="340" w:hanging="251"/>
        <w:spacing w:after="0" w:line="238"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Hosted a pulmonary research &amp; development (R&amp;D) day to discuss the Company’s emerging pipeline of pulmonary targeted RNA interference (RNAi) therapeutic candidates that leverage its proprietary Targeted RNAi Molecule (TRiM</w:t>
      </w:r>
      <w:r>
        <w:rPr>
          <w:rFonts w:ascii="Arial" w:cs="Arial" w:eastAsia="Arial" w:hAnsi="Arial"/>
          <w:sz w:val="21"/>
          <w:szCs w:val="21"/>
          <w:color w:val="auto"/>
          <w:vertAlign w:val="superscript"/>
        </w:rPr>
        <w:t>TM</w:t>
      </w:r>
      <w:r>
        <w:rPr>
          <w:rFonts w:ascii="Arial" w:cs="Arial" w:eastAsia="Arial" w:hAnsi="Arial"/>
          <w:sz w:val="16"/>
          <w:szCs w:val="16"/>
          <w:color w:val="auto"/>
        </w:rPr>
        <w:t>) platform, including an announcement of its previously undisclosed candidate designed to reduce expression of matrix metalloproteinase 7 (MMP7) as a potential treatment for idiopathic pulmonary fibrosis (IPF);</w:t>
      </w:r>
    </w:p>
    <w:p>
      <w:pPr>
        <w:spacing w:after="0" w:line="97" w:lineRule="exact"/>
        <w:rPr>
          <w:rFonts w:ascii="Arial" w:cs="Arial" w:eastAsia="Arial" w:hAnsi="Arial"/>
          <w:sz w:val="16"/>
          <w:szCs w:val="16"/>
          <w:color w:val="auto"/>
        </w:rPr>
      </w:pPr>
    </w:p>
    <w:p>
      <w:pPr>
        <w:ind w:left="320" w:hanging="231"/>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Entered into an exclusive license agreement with GSK for ARO-HSD;</w:t>
      </w:r>
    </w:p>
    <w:p>
      <w:pPr>
        <w:spacing w:after="0" w:line="113" w:lineRule="exact"/>
        <w:rPr>
          <w:rFonts w:ascii="Arial" w:cs="Arial" w:eastAsia="Arial" w:hAnsi="Arial"/>
          <w:sz w:val="16"/>
          <w:szCs w:val="16"/>
          <w:color w:val="auto"/>
        </w:rPr>
      </w:pPr>
    </w:p>
    <w:p>
      <w:pPr>
        <w:ind w:left="340" w:hanging="251"/>
        <w:spacing w:after="0" w:line="286" w:lineRule="auto"/>
        <w:tabs>
          <w:tab w:leader="none" w:pos="329"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61"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conjunction with Takeda, announced results from a Phase 2 clinical study (AROAAT-2002) of investigational fazirsiran (TAK-999/ARO-AAT) for the treatment of liver disease associated with alpha-1 antitrypsin deficiency (AATD), and was recently published in the New England Journal of Medicine (NEJM) and presented in an oral presentation at The International Liver Congress™ 2022 - The Annual Meeting of the European Association for the Study of the Liver (EASL); and</w:t>
      </w:r>
    </w:p>
    <w:p>
      <w:pPr>
        <w:spacing w:after="0" w:line="51" w:lineRule="exact"/>
        <w:rPr>
          <w:rFonts w:ascii="Arial" w:cs="Arial" w:eastAsia="Arial" w:hAnsi="Arial"/>
          <w:sz w:val="16"/>
          <w:szCs w:val="16"/>
          <w:color w:val="auto"/>
        </w:rPr>
      </w:pPr>
    </w:p>
    <w:p>
      <w:pPr>
        <w:jc w:val="both"/>
        <w:ind w:left="340" w:hanging="251"/>
        <w:spacing w:after="0" w:line="233"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Completed the purchase of 13 acres of land in the Verona Technology Park in Verona, Wisconsin and held a groundbreaking ceremony on the site. As part of this acquisition, the Company entered into a development agreement with the City of Verona to construct certain infrastructure improvements within the tax incremental district and expects to be reimbursed up to $16.0 million by the City of Verona by future tax increment revenue generated from the developed property. The site is being developed into an approximately 160,000 square foot drug manufacturing facility and an approximately 140,000 square foot laboratory and office facility which will support the Company’s process development and analytical activities and is expected to be complete in late 2023 or early 2024. Additionally, the Company entered into a lease agreement for a new 144,000 square foot laboratory and office facility in San Diego, California to support discovery activities, which it currently anticipates to be available in April 2023.</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 (“GSK”)</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November 2021, the Company entered into an exclusive license agreement with GSK to develop and commercialize ARO-HSD, a Phase 2 investigational therapy in development to treat NASH. The exclusive license is worldwide with the exception of greater China, for which the Company retained rights to develop and commercialize ARO-HSD.</w:t>
      </w:r>
    </w:p>
    <w:p>
      <w:pPr>
        <w:spacing w:after="0" w:line="15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The Company has completed its Phase 1/2 study of ARO-HSD, and GSK is now wholly responsible for all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Visirna Therapeutics, Inc. (“Visirna”)</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April 25, 2022, Visirna and the Company entered into a License Agreement (the “</w:t>
      </w:r>
      <w:r>
        <w:rPr>
          <w:rFonts w:ascii="Arial" w:cs="Arial" w:eastAsia="Arial" w:hAnsi="Arial"/>
          <w:sz w:val="16"/>
          <w:szCs w:val="16"/>
          <w:b w:val="1"/>
          <w:bCs w:val="1"/>
          <w:color w:val="auto"/>
        </w:rPr>
        <w:t>Visirna License Agreement</w:t>
      </w:r>
      <w:r>
        <w:rPr>
          <w:rFonts w:ascii="Arial" w:cs="Arial" w:eastAsia="Arial" w:hAnsi="Arial"/>
          <w:sz w:val="16"/>
          <w:szCs w:val="16"/>
          <w:color w:val="auto"/>
        </w:rPr>
        <w:t>”), pursuant to which Visirna received an exclusive license to develop, manufacture and commercialize four of the Company’s RNAi-based investigational cardiometabolic medicines in Greater China (including the People’s Republic of China, Hong Kong, Macau and Taiwan). Pursuant to a Share Purchase Agreement entered into simultaneously with the Visirna License Agreement (the “</w:t>
      </w:r>
      <w:r>
        <w:rPr>
          <w:rFonts w:ascii="Arial" w:cs="Arial" w:eastAsia="Arial" w:hAnsi="Arial"/>
          <w:sz w:val="16"/>
          <w:szCs w:val="16"/>
          <w:b w:val="1"/>
          <w:bCs w:val="1"/>
          <w:color w:val="auto"/>
        </w:rPr>
        <w:t>Visirna SPA</w:t>
      </w:r>
      <w:r>
        <w:rPr>
          <w:rFonts w:ascii="Arial" w:cs="Arial" w:eastAsia="Arial" w:hAnsi="Arial"/>
          <w:sz w:val="16"/>
          <w:szCs w:val="16"/>
          <w:color w:val="auto"/>
        </w:rPr>
        <w:t>”), the Company acquired a majority stake in Visirna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492125</wp:posOffset>
            </wp:positionV>
            <wp:extent cx="98615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20</w:t>
      </w:r>
    </w:p>
    <w:p>
      <w:pPr>
        <w:sectPr>
          <w:pgSz w:w="11900" w:h="16838" w:orient="portrait"/>
          <w:cols w:equalWidth="0" w:num="1">
            <w:col w:w="11240"/>
          </w:cols>
          <w:pgMar w:left="320" w:top="2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accounting for shares reserved for Visirna’s employee stock ownership plan) as partial consideration for the Visirna License Agreement. Under the Visirna SPA, entities affiliated with Vivo Capital also acquired a minority stake in Visirna in exchange for $60 million in cash to support the operations of Visirna. As further consideration under the Visirna License Agreement, the Company is also eligible to receive potential royalties on commercial sales.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Royalty Pharma Investments 2019 ICAV </w:t>
      </w:r>
      <w:r>
        <w:rPr>
          <w:rFonts w:ascii="Arial" w:cs="Arial" w:eastAsia="Arial" w:hAnsi="Arial"/>
          <w:sz w:val="16"/>
          <w:szCs w:val="16"/>
          <w:color w:val="auto"/>
        </w:rPr>
        <w:t>(“Royalty Pharma”)</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On November 9, 2022, the Company and Royalty Pharma entered into an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 Pursuant to the Royalty Pharma Agreement, Royalty Pharma paid $250 million upfront on November 9, 2022. The Company will retain rights to the $400 million in development, regulatory, and sales milestone payments potentially due from Amgen.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Platform</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fiscal 2022, the Company continued to develop and deploy our Targeted RNAi Molecule platform (“</w:t>
      </w:r>
      <w:r>
        <w:rPr>
          <w:rFonts w:ascii="Arial" w:cs="Arial" w:eastAsia="Arial" w:hAnsi="Arial"/>
          <w:sz w:val="16"/>
          <w:szCs w:val="16"/>
          <w:b w:val="1"/>
          <w:bCs w:val="1"/>
          <w:color w:val="auto"/>
        </w:rPr>
        <w:t>TRiM</w:t>
      </w:r>
      <w:r>
        <w:rPr>
          <w:rFonts w:ascii="Arial" w:cs="Arial" w:eastAsia="Arial" w:hAnsi="Arial"/>
          <w:sz w:val="8"/>
          <w:szCs w:val="8"/>
          <w:color w:val="auto"/>
        </w:rPr>
        <w:t>™</w:t>
      </w:r>
      <w:r>
        <w:rPr>
          <w:rFonts w:ascii="Arial" w:cs="Arial" w:eastAsia="Arial" w:hAnsi="Arial"/>
          <w:sz w:val="16"/>
          <w:szCs w:val="16"/>
          <w:color w:val="auto"/>
        </w:rPr>
        <w:t>) to identify and develop new therapeutics. TRiM</w:t>
      </w:r>
      <w:r>
        <w:rPr>
          <w:rFonts w:ascii="Arial" w:cs="Arial" w:eastAsia="Arial" w:hAnsi="Arial"/>
          <w:sz w:val="8"/>
          <w:szCs w:val="8"/>
          <w:color w:val="auto"/>
        </w:rPr>
        <w:t>™</w:t>
      </w:r>
      <w:r>
        <w:rPr>
          <w:rFonts w:ascii="Arial" w:cs="Arial" w:eastAsia="Arial" w:hAnsi="Arial"/>
          <w:sz w:val="16"/>
          <w:szCs w:val="16"/>
          <w:color w:val="auto"/>
        </w:rPr>
        <w:t xml:space="preserve"> utilizes ligand-mediated delivery and is designed to enable tissue-specific targeting, while being structurally simple. The TRiM</w:t>
      </w:r>
      <w:r>
        <w:rPr>
          <w:rFonts w:ascii="Arial" w:cs="Arial" w:eastAsia="Arial" w:hAnsi="Arial"/>
          <w:sz w:val="8"/>
          <w:szCs w:val="8"/>
          <w:color w:val="auto"/>
        </w:rPr>
        <w:t>™</w:t>
      </w:r>
      <w:r>
        <w:rPr>
          <w:rFonts w:ascii="Arial" w:cs="Arial" w:eastAsia="Arial" w:hAnsi="Arial"/>
          <w:sz w:val="16"/>
          <w:szCs w:val="16"/>
          <w:color w:val="auto"/>
        </w:rPr>
        <w:t xml:space="preserve"> platform is designed to offer several potential competitive advantages including:</w:t>
      </w:r>
    </w:p>
    <w:p>
      <w:pPr>
        <w:spacing w:after="0" w:line="83" w:lineRule="exact"/>
        <w:rPr>
          <w:sz w:val="20"/>
          <w:szCs w:val="20"/>
          <w:color w:val="auto"/>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Simplified manufacturing at reduced cost;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The ability to take RNAi to tissues beyond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21</w:t>
      </w:r>
    </w:p>
    <w:p>
      <w:pPr>
        <w:sectPr>
          <w:pgSz w:w="11900" w:h="16838" w:orient="portrait"/>
          <w:cols w:equalWidth="0" w:num="1">
            <w:col w:w="11240"/>
          </w:cols>
          <w:pgMar w:left="320" w:top="21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Pipeline</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that are involved with disease. The depth and versatility of Arrowhead's RNAi technologies enables Arrowhead to potentially address conditions in virtually any therapeutic area and pursue disease targets that are not otherwise addressable by small molecules and biologics. Arrowhead is focused on bringing the promise of RNAi to address diseases outside of the liver, and its pipeline now includes disease targets in the liver, lung, muscle and other undisclosed tissue types.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timing of our planned and already filed clinical trial applications (“</w:t>
      </w:r>
      <w:r>
        <w:rPr>
          <w:rFonts w:ascii="Arial" w:cs="Arial" w:eastAsia="Arial" w:hAnsi="Arial"/>
          <w:sz w:val="16"/>
          <w:szCs w:val="16"/>
          <w:b w:val="1"/>
          <w:bCs w:val="1"/>
          <w:i w:val="1"/>
          <w:iCs w:val="1"/>
          <w:color w:val="auto"/>
        </w:rPr>
        <w:t>CTA</w:t>
      </w:r>
      <w:r>
        <w:rPr>
          <w:rFonts w:ascii="Arial" w:cs="Arial" w:eastAsia="Arial" w:hAnsi="Arial"/>
          <w:sz w:val="16"/>
          <w:szCs w:val="16"/>
          <w:i w:val="1"/>
          <w:iCs w:val="1"/>
          <w:color w:val="auto"/>
        </w:rPr>
        <w:t>”) discussed below are based on calendar years, not fiscal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Arrowhead Proprietary Clinical Stage Candidates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ARO-ANG3 </w:t>
      </w:r>
      <w:r>
        <w:rPr>
          <w:rFonts w:ascii="Arial" w:cs="Arial" w:eastAsia="Arial" w:hAnsi="Arial"/>
          <w:sz w:val="16"/>
          <w:szCs w:val="16"/>
          <w:color w:val="auto"/>
        </w:rPr>
        <w:t>is designed to reduce production of angiopoietin-like protein 3 (“</w:t>
      </w:r>
      <w:r>
        <w:rPr>
          <w:rFonts w:ascii="Arial" w:cs="Arial" w:eastAsia="Arial" w:hAnsi="Arial"/>
          <w:sz w:val="16"/>
          <w:szCs w:val="16"/>
          <w:b w:val="1"/>
          <w:bCs w:val="1"/>
          <w:color w:val="auto"/>
        </w:rPr>
        <w:t>ANGPTL3</w:t>
      </w:r>
      <w:r>
        <w:rPr>
          <w:rFonts w:ascii="Arial" w:cs="Arial" w:eastAsia="Arial" w:hAnsi="Arial"/>
          <w:sz w:val="16"/>
          <w:szCs w:val="16"/>
          <w:color w:val="auto"/>
        </w:rPr>
        <w:t>”), a liver synthesized inhibitor of lipoprotein lipase and endothelial</w:t>
      </w:r>
      <w:r>
        <w:rPr>
          <w:rFonts w:ascii="Arial" w:cs="Arial" w:eastAsia="Arial" w:hAnsi="Arial"/>
          <w:sz w:val="16"/>
          <w:szCs w:val="16"/>
          <w:b w:val="1"/>
          <w:bCs w:val="1"/>
          <w:color w:val="auto"/>
        </w:rPr>
        <w:t xml:space="preserve"> </w:t>
      </w:r>
      <w:r>
        <w:rPr>
          <w:rFonts w:ascii="Arial" w:cs="Arial" w:eastAsia="Arial" w:hAnsi="Arial"/>
          <w:sz w:val="16"/>
          <w:szCs w:val="16"/>
          <w:color w:val="auto"/>
        </w:rPr>
        <w:t>lipase. ANGPTL3 inhibition has been shown to lower serum LDL, serum and liver triglyceride and has genetic validation as a novel target for cardiovascular disease. Arrowhead is currently investigating ARO-ANG3 in two Phase 2b clinical trials.</w:t>
      </w:r>
    </w:p>
    <w:p>
      <w:pPr>
        <w:spacing w:after="0" w:line="232" w:lineRule="exact"/>
        <w:rPr>
          <w:sz w:val="20"/>
          <w:szCs w:val="20"/>
          <w:color w:val="auto"/>
        </w:rPr>
      </w:pPr>
    </w:p>
    <w:p>
      <w:pPr>
        <w:ind w:left="340" w:right="20" w:hanging="251"/>
        <w:spacing w:after="0" w:line="214" w:lineRule="auto"/>
        <w:tabs>
          <w:tab w:leader="none" w:pos="335"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6"/>
          <w:szCs w:val="16"/>
          <w:b w:val="1"/>
          <w:bCs w:val="1"/>
          <w:color w:val="auto"/>
        </w:rPr>
        <w:t>Dyslipidemia and Hypertriglyceridemia</w:t>
      </w:r>
      <w:r>
        <w:rPr>
          <w:rFonts w:ascii="Arial" w:cs="Arial" w:eastAsia="Arial" w:hAnsi="Arial"/>
          <w:sz w:val="16"/>
          <w:szCs w:val="16"/>
          <w:color w:val="auto"/>
        </w:rPr>
        <w:t>: Dyslipidemia and hypertriglyceridemia are risk factors for atherosclerotic coronary heart disease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cardiovascular events.</w:t>
      </w:r>
    </w:p>
    <w:p>
      <w:pPr>
        <w:spacing w:after="0" w:line="82" w:lineRule="exact"/>
        <w:rPr>
          <w:rFonts w:ascii="Times New Roman" w:cs="Times New Roman" w:eastAsia="Times New Roman" w:hAnsi="Times New Roman"/>
          <w:sz w:val="22"/>
          <w:szCs w:val="22"/>
          <w:color w:val="auto"/>
        </w:rPr>
      </w:pPr>
    </w:p>
    <w:p>
      <w:pPr>
        <w:ind w:left="320" w:hanging="231"/>
        <w:spacing w:after="0"/>
        <w:tabs>
          <w:tab w:leader="none" w:pos="320" w:val="left"/>
        </w:tabs>
        <w:numPr>
          <w:ilvl w:val="0"/>
          <w:numId w:val="23"/>
        </w:numPr>
        <w:rPr>
          <w:rFonts w:ascii="Arial" w:cs="Arial" w:eastAsia="Arial" w:hAnsi="Arial"/>
          <w:sz w:val="16"/>
          <w:szCs w:val="16"/>
          <w:color w:val="0071CE"/>
        </w:rPr>
      </w:pPr>
      <w:r>
        <w:rPr>
          <w:rFonts w:ascii="Arial" w:cs="Arial" w:eastAsia="Arial" w:hAnsi="Arial"/>
          <w:sz w:val="16"/>
          <w:szCs w:val="16"/>
          <w:b w:val="1"/>
          <w:bCs w:val="1"/>
          <w:color w:val="auto"/>
        </w:rPr>
        <w:t>Study Name: Study of ARO-ANG3 in Adults With Mixed Dyslipidemia (ARCHES-2)</w:t>
      </w:r>
    </w:p>
    <w:p>
      <w:pPr>
        <w:spacing w:after="0" w:line="34" w:lineRule="exact"/>
        <w:rPr>
          <w:rFonts w:ascii="Arial" w:cs="Arial" w:eastAsia="Arial" w:hAnsi="Arial"/>
          <w:sz w:val="16"/>
          <w:szCs w:val="16"/>
          <w:color w:val="0071CE"/>
        </w:rPr>
      </w:pPr>
    </w:p>
    <w:p>
      <w:pPr>
        <w:ind w:left="340" w:right="1120"/>
        <w:spacing w:after="0" w:line="265" w:lineRule="auto"/>
        <w:rPr>
          <w:rFonts w:ascii="Arial" w:cs="Arial" w:eastAsia="Arial" w:hAnsi="Arial"/>
          <w:sz w:val="16"/>
          <w:szCs w:val="16"/>
          <w:color w:val="0071CE"/>
        </w:rPr>
      </w:pPr>
      <w:r>
        <w:rPr>
          <w:rFonts w:ascii="Arial" w:cs="Arial" w:eastAsia="Arial" w:hAnsi="Arial"/>
          <w:sz w:val="16"/>
          <w:szCs w:val="16"/>
          <w:color w:val="auto"/>
        </w:rPr>
        <w:t>A Double-blind, Placebo-controlled Phase 2b Study to Evaluate the Efficacy and Safety of ARO-ANG3 in Adults With Mixed Dyslipidemia ClinicalTrials.gov Identifier: NCT04832971</w:t>
      </w:r>
    </w:p>
    <w:p>
      <w:pPr>
        <w:spacing w:after="0" w:line="77" w:lineRule="exact"/>
        <w:rPr>
          <w:rFonts w:ascii="Arial" w:cs="Arial" w:eastAsia="Arial" w:hAnsi="Arial"/>
          <w:sz w:val="16"/>
          <w:szCs w:val="16"/>
          <w:color w:val="0071CE"/>
        </w:rPr>
      </w:pPr>
    </w:p>
    <w:p>
      <w:pPr>
        <w:ind w:left="340" w:right="1280" w:hanging="251"/>
        <w:spacing w:after="0" w:line="266" w:lineRule="auto"/>
        <w:tabs>
          <w:tab w:leader="none" w:pos="329" w:val="left"/>
        </w:tabs>
        <w:numPr>
          <w:ilvl w:val="0"/>
          <w:numId w:val="23"/>
        </w:numPr>
        <w:rPr>
          <w:rFonts w:ascii="Arial" w:cs="Arial" w:eastAsia="Arial" w:hAnsi="Arial"/>
          <w:sz w:val="16"/>
          <w:szCs w:val="16"/>
          <w:color w:val="0071CE"/>
        </w:rPr>
      </w:pPr>
      <w:r>
        <w:rPr>
          <w:rFonts w:ascii="Arial" w:cs="Arial" w:eastAsia="Arial" w:hAnsi="Arial"/>
          <w:sz w:val="16"/>
          <w:szCs w:val="16"/>
          <w:b w:val="1"/>
          <w:bCs w:val="1"/>
          <w:color w:val="auto"/>
        </w:rPr>
        <w:t xml:space="preserve">Study Name: Study of ARO-ANG3 in Participants With Homozygous Familial Hypercholesterolemia (HoFH) (GATEWAY) </w:t>
      </w:r>
      <w:r>
        <w:rPr>
          <w:rFonts w:ascii="Arial" w:cs="Arial" w:eastAsia="Arial" w:hAnsi="Arial"/>
          <w:sz w:val="16"/>
          <w:szCs w:val="16"/>
          <w:color w:val="auto"/>
        </w:rPr>
        <w:t>Phase 2 Study to Evaluate the Safety and Efficacy of ARO-ANG3 in Subjects with Homozygous Familial Hypercholesterolemia (HoFH) ClinicalTrials.gov Identifier: NCT05217667</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ARO-APOC3 </w:t>
      </w:r>
      <w:r>
        <w:rPr>
          <w:rFonts w:ascii="Arial" w:cs="Arial" w:eastAsia="Arial" w:hAnsi="Arial"/>
          <w:sz w:val="16"/>
          <w:szCs w:val="16"/>
          <w:color w:val="auto"/>
        </w:rPr>
        <w:t>is designed to reduce production of Apolipoprotein C-III (apoC-III), a component of triglyceride rich lipoproteins (“</w:t>
      </w:r>
      <w:r>
        <w:rPr>
          <w:rFonts w:ascii="Arial" w:cs="Arial" w:eastAsia="Arial" w:hAnsi="Arial"/>
          <w:sz w:val="16"/>
          <w:szCs w:val="16"/>
          <w:b w:val="1"/>
          <w:bCs w:val="1"/>
          <w:color w:val="auto"/>
        </w:rPr>
        <w:t>TRLs</w:t>
      </w:r>
      <w:r>
        <w:rPr>
          <w:rFonts w:ascii="Arial" w:cs="Arial" w:eastAsia="Arial" w:hAnsi="Arial"/>
          <w:sz w:val="16"/>
          <w:szCs w:val="16"/>
          <w:color w:val="auto"/>
        </w:rPr>
        <w:t>”) including VLDL and</w:t>
      </w:r>
      <w:r>
        <w:rPr>
          <w:rFonts w:ascii="Arial" w:cs="Arial" w:eastAsia="Arial" w:hAnsi="Arial"/>
          <w:sz w:val="16"/>
          <w:szCs w:val="16"/>
          <w:b w:val="1"/>
          <w:bCs w:val="1"/>
          <w:color w:val="auto"/>
        </w:rPr>
        <w:t xml:space="preserve"> </w:t>
      </w:r>
      <w:r>
        <w:rPr>
          <w:rFonts w:ascii="Arial" w:cs="Arial" w:eastAsia="Arial" w:hAnsi="Arial"/>
          <w:sz w:val="16"/>
          <w:szCs w:val="16"/>
          <w:color w:val="auto"/>
        </w:rPr>
        <w:t>chylomicrons and a key regulator of triglyceride metabolism. Arrowhead believes that knocking down the hepatic production of apoC-III may result in reduced VLDL synthesis and assembly, enhanced breakdown of TRLs and better clearance of VLDL and chylomicron remnants. Arrowhead is currently investigating ARO-APOC3 in two Phase 2b clinical trials and one Phase 3 clinical trial.</w:t>
      </w:r>
    </w:p>
    <w:p>
      <w:pPr>
        <w:spacing w:after="0" w:line="92" w:lineRule="exact"/>
        <w:rPr>
          <w:sz w:val="20"/>
          <w:szCs w:val="20"/>
          <w:color w:val="auto"/>
        </w:rPr>
      </w:pPr>
    </w:p>
    <w:p>
      <w:pPr>
        <w:ind w:left="320" w:hanging="231"/>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Study Name: Study to Evaluate ARO-APOC3 in Adults With Severe Hypertriglyceridemia (SHASTA-2)</w:t>
      </w:r>
    </w:p>
    <w:p>
      <w:pPr>
        <w:spacing w:after="0" w:line="21" w:lineRule="exact"/>
        <w:rPr>
          <w:rFonts w:ascii="Arial" w:cs="Arial" w:eastAsia="Arial" w:hAnsi="Arial"/>
          <w:sz w:val="16"/>
          <w:szCs w:val="16"/>
          <w:color w:val="auto"/>
        </w:rPr>
      </w:pPr>
    </w:p>
    <w:p>
      <w:pPr>
        <w:ind w:left="340" w:right="320"/>
        <w:spacing w:after="0" w:line="283" w:lineRule="auto"/>
        <w:rPr>
          <w:rFonts w:ascii="Arial" w:cs="Arial" w:eastAsia="Arial" w:hAnsi="Arial"/>
          <w:sz w:val="16"/>
          <w:szCs w:val="16"/>
          <w:color w:val="auto"/>
        </w:rPr>
      </w:pPr>
      <w:r>
        <w:rPr>
          <w:rFonts w:ascii="Arial" w:cs="Arial" w:eastAsia="Arial" w:hAnsi="Arial"/>
          <w:sz w:val="16"/>
          <w:szCs w:val="16"/>
          <w:color w:val="auto"/>
        </w:rPr>
        <w:t>A Double-Blind, Placebo-Controlled Phase 2b Study to Evaluate the Efficacy and Safety of ARO-APOC3 in Adults With Severe Hypertriglyceridemia ClinicalTrials.gov Identifier: NCT04720534</w:t>
      </w:r>
    </w:p>
    <w:p>
      <w:pPr>
        <w:spacing w:after="0" w:line="49" w:lineRule="exact"/>
        <w:rPr>
          <w:rFonts w:ascii="Arial" w:cs="Arial" w:eastAsia="Arial" w:hAnsi="Arial"/>
          <w:sz w:val="16"/>
          <w:szCs w:val="16"/>
          <w:color w:val="auto"/>
        </w:rPr>
      </w:pPr>
    </w:p>
    <w:p>
      <w:pPr>
        <w:ind w:left="320" w:hanging="231"/>
        <w:spacing w:after="0"/>
        <w:tabs>
          <w:tab w:leader="none" w:pos="320" w:val="left"/>
        </w:tabs>
        <w:numPr>
          <w:ilvl w:val="0"/>
          <w:numId w:val="24"/>
        </w:numPr>
        <w:rPr>
          <w:rFonts w:ascii="Arial" w:cs="Arial" w:eastAsia="Arial" w:hAnsi="Arial"/>
          <w:sz w:val="16"/>
          <w:szCs w:val="16"/>
          <w:color w:val="0071CE"/>
        </w:rPr>
      </w:pPr>
      <w:r>
        <w:rPr>
          <w:rFonts w:ascii="Arial" w:cs="Arial" w:eastAsia="Arial" w:hAnsi="Arial"/>
          <w:sz w:val="16"/>
          <w:szCs w:val="16"/>
          <w:b w:val="1"/>
          <w:bCs w:val="1"/>
          <w:color w:val="auto"/>
        </w:rPr>
        <w:t>Study Name: Study of ARO-APOC3 in Adults With Mixed Dyslipidemia (MUIR)</w:t>
      </w:r>
    </w:p>
    <w:p>
      <w:pPr>
        <w:spacing w:after="0" w:line="21" w:lineRule="exact"/>
        <w:rPr>
          <w:rFonts w:ascii="Arial" w:cs="Arial" w:eastAsia="Arial" w:hAnsi="Arial"/>
          <w:sz w:val="16"/>
          <w:szCs w:val="16"/>
          <w:color w:val="0071CE"/>
        </w:rPr>
      </w:pPr>
    </w:p>
    <w:p>
      <w:pPr>
        <w:ind w:left="340" w:right="960"/>
        <w:spacing w:after="0" w:line="283" w:lineRule="auto"/>
        <w:rPr>
          <w:rFonts w:ascii="Arial" w:cs="Arial" w:eastAsia="Arial" w:hAnsi="Arial"/>
          <w:sz w:val="16"/>
          <w:szCs w:val="16"/>
          <w:color w:val="0071CE"/>
        </w:rPr>
      </w:pPr>
      <w:r>
        <w:rPr>
          <w:rFonts w:ascii="Arial" w:cs="Arial" w:eastAsia="Arial" w:hAnsi="Arial"/>
          <w:sz w:val="16"/>
          <w:szCs w:val="16"/>
          <w:color w:val="auto"/>
        </w:rPr>
        <w:t>A Double-Blind, Placebo-Controlled Phase 2b Study to Evaluate the Efficacy and Safety of ARO-APOC3 in Adults With Mixed Dyslipidemia ClinicalTrials.gov Identifier: NCT04998201</w:t>
      </w:r>
    </w:p>
    <w:p>
      <w:pPr>
        <w:spacing w:after="0" w:line="49" w:lineRule="exact"/>
        <w:rPr>
          <w:rFonts w:ascii="Arial" w:cs="Arial" w:eastAsia="Arial" w:hAnsi="Arial"/>
          <w:sz w:val="16"/>
          <w:szCs w:val="16"/>
          <w:color w:val="0071CE"/>
        </w:rPr>
      </w:pPr>
    </w:p>
    <w:p>
      <w:pPr>
        <w:ind w:left="320" w:hanging="231"/>
        <w:spacing w:after="0"/>
        <w:tabs>
          <w:tab w:leader="none" w:pos="320" w:val="left"/>
        </w:tabs>
        <w:numPr>
          <w:ilvl w:val="0"/>
          <w:numId w:val="24"/>
        </w:numPr>
        <w:rPr>
          <w:rFonts w:ascii="Arial" w:cs="Arial" w:eastAsia="Arial" w:hAnsi="Arial"/>
          <w:sz w:val="16"/>
          <w:szCs w:val="16"/>
          <w:color w:val="0071CE"/>
        </w:rPr>
      </w:pPr>
      <w:r>
        <w:rPr>
          <w:rFonts w:ascii="Arial" w:cs="Arial" w:eastAsia="Arial" w:hAnsi="Arial"/>
          <w:sz w:val="16"/>
          <w:szCs w:val="16"/>
          <w:b w:val="1"/>
          <w:bCs w:val="1"/>
          <w:color w:val="auto"/>
        </w:rPr>
        <w:t>Study Name: Study of ARO-APOC3 in Adults With FCS (PALISADE)</w:t>
      </w:r>
    </w:p>
    <w:p>
      <w:pPr>
        <w:spacing w:after="0" w:line="34" w:lineRule="exact"/>
        <w:rPr>
          <w:rFonts w:ascii="Arial" w:cs="Arial" w:eastAsia="Arial" w:hAnsi="Arial"/>
          <w:sz w:val="16"/>
          <w:szCs w:val="16"/>
          <w:color w:val="0071CE"/>
        </w:rPr>
      </w:pPr>
    </w:p>
    <w:p>
      <w:pPr>
        <w:ind w:left="340" w:right="2240"/>
        <w:spacing w:after="0" w:line="265" w:lineRule="auto"/>
        <w:rPr>
          <w:rFonts w:ascii="Arial" w:cs="Arial" w:eastAsia="Arial" w:hAnsi="Arial"/>
          <w:sz w:val="16"/>
          <w:szCs w:val="16"/>
          <w:color w:val="0071CE"/>
        </w:rPr>
      </w:pPr>
      <w:r>
        <w:rPr>
          <w:rFonts w:ascii="Arial" w:cs="Arial" w:eastAsia="Arial" w:hAnsi="Arial"/>
          <w:sz w:val="16"/>
          <w:szCs w:val="16"/>
          <w:color w:val="auto"/>
        </w:rPr>
        <w:t>A Phase 3 Study to Evaluate the Efficacy and Safety of ARO-APOC3 in Adults With Familial Chylomicronemia Syndrome ClinicalTrials.gov Identifier: NCT05089084</w:t>
      </w:r>
    </w:p>
    <w:p>
      <w:pPr>
        <w:spacing w:after="0" w:line="17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b w:val="1"/>
          <w:bCs w:val="1"/>
          <w:color w:val="auto"/>
        </w:rPr>
        <w:t xml:space="preserve">ARO-C3 </w:t>
      </w:r>
      <w:r>
        <w:rPr>
          <w:rFonts w:ascii="Arial" w:cs="Arial" w:eastAsia="Arial" w:hAnsi="Arial"/>
          <w:sz w:val="16"/>
          <w:szCs w:val="16"/>
          <w:color w:val="auto"/>
        </w:rPr>
        <w:t>is designed to reduce production of complement component 3 (C3) as a potential therapy for patients with various complement mediated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 associated renal and hematological diseases. Arrowhead is currently investigating ARO-C3 in a Phase 1/2 clinical trial.</w:t>
      </w:r>
    </w:p>
    <w:p>
      <w:pPr>
        <w:spacing w:after="0" w:line="47" w:lineRule="exact"/>
        <w:rPr>
          <w:sz w:val="20"/>
          <w:szCs w:val="20"/>
          <w:color w:val="auto"/>
        </w:rPr>
      </w:pPr>
    </w:p>
    <w:p>
      <w:pPr>
        <w:ind w:left="340" w:hanging="251"/>
        <w:spacing w:after="0" w:line="251" w:lineRule="auto"/>
        <w:tabs>
          <w:tab w:leader="none" w:pos="329"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Paroxysmal Nocturnal-Hemoglobinuria</w:t>
      </w:r>
      <w:r>
        <w:rPr>
          <w:rFonts w:ascii="Arial" w:cs="Arial" w:eastAsia="Arial" w:hAnsi="Arial"/>
          <w:sz w:val="16"/>
          <w:szCs w:val="16"/>
          <w:color w:val="auto"/>
        </w:rPr>
        <w:t>: Paroxysmal nocturnal hemoglobinuria (PNH) is a rare, acquired, clonal disorder involving hematopoietic stem</w:t>
      </w:r>
      <w:r>
        <w:rPr>
          <w:rFonts w:ascii="Arial" w:cs="Arial" w:eastAsia="Arial" w:hAnsi="Arial"/>
          <w:sz w:val="16"/>
          <w:szCs w:val="16"/>
          <w:b w:val="1"/>
          <w:bCs w:val="1"/>
          <w:color w:val="auto"/>
        </w:rPr>
        <w:t xml:space="preserve"> </w:t>
      </w:r>
      <w:r>
        <w:rPr>
          <w:rFonts w:ascii="Arial" w:cs="Arial" w:eastAsia="Arial" w:hAnsi="Arial"/>
          <w:sz w:val="16"/>
          <w:szCs w:val="16"/>
          <w:color w:val="auto"/>
        </w:rPr>
        <w:t>cells and is characterized by destruction of red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22</w:t>
      </w:r>
    </w:p>
    <w:p>
      <w:pPr>
        <w:sectPr>
          <w:pgSz w:w="11900" w:h="16838" w:orient="portrait"/>
          <w:cols w:equalWidth="0" w:num="1">
            <w:col w:w="11240"/>
          </w:cols>
          <w:pgMar w:left="320" w:top="21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340"/>
        <w:spacing w:after="0" w:line="245" w:lineRule="auto"/>
        <w:rPr>
          <w:sz w:val="20"/>
          <w:szCs w:val="20"/>
          <w:color w:val="auto"/>
        </w:rPr>
      </w:pPr>
      <w:r>
        <w:rPr>
          <w:rFonts w:ascii="Arial" w:cs="Arial" w:eastAsia="Arial" w:hAnsi="Arial"/>
          <w:sz w:val="16"/>
          <w:szCs w:val="16"/>
          <w:color w:val="auto"/>
        </w:rPr>
        <w:t>blood clots, and impaired bone marrow function. Silencing hepatic C3 expression may be a viable therapeutic approach for systemic C3 inhibition in PNH.</w:t>
      </w:r>
    </w:p>
    <w:p>
      <w:pPr>
        <w:spacing w:after="0" w:line="393" w:lineRule="exact"/>
        <w:rPr>
          <w:sz w:val="20"/>
          <w:szCs w:val="20"/>
          <w:color w:val="auto"/>
        </w:rPr>
      </w:pPr>
    </w:p>
    <w:p>
      <w:pPr>
        <w:jc w:val="both"/>
        <w:ind w:left="340" w:hanging="251"/>
        <w:spacing w:after="0" w:line="265" w:lineRule="auto"/>
        <w:tabs>
          <w:tab w:leader="none" w:pos="32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Complement-Mediated Renal Disease: </w:t>
      </w:r>
      <w:r>
        <w:rPr>
          <w:rFonts w:ascii="Arial" w:cs="Arial" w:eastAsia="Arial" w:hAnsi="Arial"/>
          <w:sz w:val="16"/>
          <w:szCs w:val="16"/>
          <w:color w:val="auto"/>
        </w:rPr>
        <w:t>A number of rare renal diseases result from uncontrolled activation of the alternative pathway of complement,</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C3 may be a therapeutic approach for treatment of these conditions.</w:t>
      </w:r>
    </w:p>
    <w:p>
      <w:pPr>
        <w:spacing w:after="0" w:line="199" w:lineRule="exact"/>
        <w:rPr>
          <w:rFonts w:ascii="Arial" w:cs="Arial" w:eastAsia="Arial" w:hAnsi="Arial"/>
          <w:sz w:val="16"/>
          <w:szCs w:val="16"/>
          <w:color w:val="auto"/>
        </w:rPr>
      </w:pPr>
    </w:p>
    <w:p>
      <w:pPr>
        <w:ind w:left="340" w:hanging="251"/>
        <w:spacing w:after="0" w:line="265" w:lineRule="auto"/>
        <w:tabs>
          <w:tab w:leader="none" w:pos="32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Study Name: Study of ARO-C3 in Adult Healthy Volunteers and Patients With Paroxysmal Nocturnal Hemoglobinuria and Complement-Mediated Renal Disease</w:t>
      </w:r>
    </w:p>
    <w:p>
      <w:pPr>
        <w:spacing w:after="0" w:line="1" w:lineRule="exact"/>
        <w:rPr>
          <w:rFonts w:ascii="Arial" w:cs="Arial" w:eastAsia="Arial" w:hAnsi="Arial"/>
          <w:sz w:val="16"/>
          <w:szCs w:val="16"/>
          <w:color w:val="auto"/>
        </w:rPr>
      </w:pPr>
    </w:p>
    <w:p>
      <w:pPr>
        <w:ind w:left="340"/>
        <w:spacing w:after="0" w:line="264" w:lineRule="auto"/>
        <w:rPr>
          <w:rFonts w:ascii="Arial" w:cs="Arial" w:eastAsia="Arial" w:hAnsi="Arial"/>
          <w:sz w:val="16"/>
          <w:szCs w:val="16"/>
          <w:color w:val="auto"/>
        </w:rPr>
      </w:pPr>
      <w:r>
        <w:rPr>
          <w:rFonts w:ascii="Arial" w:cs="Arial" w:eastAsia="Arial" w:hAnsi="Arial"/>
          <w:sz w:val="16"/>
          <w:szCs w:val="16"/>
          <w:color w:val="auto"/>
        </w:rPr>
        <w:t>A Phase 1/2a Dose-Escalating Study to Evaluate the Safety, Tolerability, Pharmacokinetics, and/or Pharmacodynamics of ARO-C3 in Adult Healthy Volunteers and in Adult Patients With Paroxysmal Nocturnal Hemoglobinuria and Adult Patients With Complement-Mediated Renal Disease ClinicalTrials.gov Identifier: NCT05083364</w:t>
      </w:r>
    </w:p>
    <w:p>
      <w:pPr>
        <w:spacing w:after="0" w:line="173"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color w:val="auto"/>
        </w:rPr>
        <w:t xml:space="preserve">ARO-RAGE </w:t>
      </w:r>
      <w:r>
        <w:rPr>
          <w:rFonts w:ascii="Arial" w:cs="Arial" w:eastAsia="Arial" w:hAnsi="Arial"/>
          <w:sz w:val="16"/>
          <w:szCs w:val="16"/>
          <w:color w:val="auto"/>
        </w:rPr>
        <w:t>is designed to reduce production of the Receptor for Advanced Glycation End products (RAGE) as a potential treatment for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inflammatory pulmonary diseases. Arrowhead is currently investigating ARO-RAGE in a Phase 1/2 clinical trial.</w:t>
      </w:r>
    </w:p>
    <w:p>
      <w:pPr>
        <w:spacing w:after="0" w:line="60" w:lineRule="exact"/>
        <w:rPr>
          <w:sz w:val="20"/>
          <w:szCs w:val="20"/>
          <w:color w:val="auto"/>
        </w:rPr>
      </w:pPr>
    </w:p>
    <w:p>
      <w:pPr>
        <w:ind w:left="320" w:hanging="231"/>
        <w:spacing w:after="0"/>
        <w:tabs>
          <w:tab w:leader="none" w:pos="3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color w:val="auto"/>
        </w:rPr>
        <w:t>Study Name: Study of ARO-RAGE in Healthy Subjects and Patients With Asthma</w:t>
      </w:r>
    </w:p>
    <w:p>
      <w:pPr>
        <w:spacing w:after="0" w:line="21"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A Phase 1/2a Study Evaluating the Effects of ARO-RAGE in Healthy Subjects and Patients With Asthma ClinicalTrials.gov Identifier: NCT05276570</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ARO-MUC5AC </w:t>
      </w:r>
      <w:r>
        <w:rPr>
          <w:rFonts w:ascii="Arial" w:cs="Arial" w:eastAsia="Arial" w:hAnsi="Arial"/>
          <w:sz w:val="16"/>
          <w:szCs w:val="16"/>
          <w:color w:val="auto"/>
        </w:rPr>
        <w:t>is designed to reduce production of mucin 5AC (MUC5AC) as a potential treatment for various muco-obstructive pulmonary diseases.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Arrowhead is currently investigating ARO-MUC5AC in a phase 1/2 clinical trial.</w:t>
      </w:r>
    </w:p>
    <w:p>
      <w:pPr>
        <w:spacing w:after="0" w:line="124" w:lineRule="exact"/>
        <w:rPr>
          <w:sz w:val="20"/>
          <w:szCs w:val="20"/>
          <w:color w:val="auto"/>
        </w:rPr>
      </w:pPr>
    </w:p>
    <w:p>
      <w:pPr>
        <w:ind w:left="320" w:hanging="231"/>
        <w:spacing w:after="0"/>
        <w:tabs>
          <w:tab w:leader="none" w:pos="3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color w:val="auto"/>
        </w:rPr>
        <w:t>Study Name: Study of ARO-MUC5AC in Healthy Subjects and Patients With Asthma</w:t>
      </w:r>
    </w:p>
    <w:p>
      <w:pPr>
        <w:spacing w:after="0" w:line="21"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A Phase 1/2a Study to Evaluate the Effects of ARO-MUC5AC in Healthy Subjects and Patients with Asthma ClinicalTrials.gov Identifier: NCT05292950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Takeda Pharmaceutical Company Limited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Fazirsiran </w:t>
      </w:r>
      <w:r>
        <w:rPr>
          <w:rFonts w:ascii="Arial" w:cs="Arial" w:eastAsia="Arial" w:hAnsi="Arial"/>
          <w:sz w:val="16"/>
          <w:szCs w:val="16"/>
          <w:color w:val="auto"/>
        </w:rPr>
        <w:t>(formerly ARO-AAT) is a clinical-stage RNAi therapeutic candidate for the treatment of liver disease associated with alpha-1 antitrypsin deficiency.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ARO-AAT is designed to knock down the Alpha-1 antitrypsin (“</w:t>
      </w:r>
      <w:r>
        <w:rPr>
          <w:rFonts w:ascii="Arial" w:cs="Arial" w:eastAsia="Arial" w:hAnsi="Arial"/>
          <w:sz w:val="16"/>
          <w:szCs w:val="16"/>
          <w:b w:val="1"/>
          <w:bCs w:val="1"/>
          <w:color w:val="auto"/>
        </w:rPr>
        <w:t>AAT</w:t>
      </w:r>
      <w:r>
        <w:rPr>
          <w:rFonts w:ascii="Arial" w:cs="Arial" w:eastAsia="Arial" w:hAnsi="Arial"/>
          <w:sz w:val="16"/>
          <w:szCs w:val="16"/>
          <w:color w:val="auto"/>
        </w:rPr>
        <w:t>”) gene transcript and reduce the hepatic production of the mutant AAT protein.</w:t>
      </w:r>
    </w:p>
    <w:p>
      <w:pPr>
        <w:spacing w:after="0" w:line="124" w:lineRule="exact"/>
        <w:rPr>
          <w:sz w:val="20"/>
          <w:szCs w:val="20"/>
          <w:color w:val="auto"/>
        </w:rPr>
      </w:pPr>
    </w:p>
    <w:p>
      <w:pPr>
        <w:ind w:left="340" w:hanging="251"/>
        <w:spacing w:after="0" w:line="265" w:lineRule="auto"/>
        <w:tabs>
          <w:tab w:leader="none" w:pos="329" w:val="left"/>
        </w:tabs>
        <w:numPr>
          <w:ilvl w:val="0"/>
          <w:numId w:val="29"/>
        </w:numPr>
        <w:rPr>
          <w:rFonts w:ascii="Arial" w:cs="Arial" w:eastAsia="Arial" w:hAnsi="Arial"/>
          <w:sz w:val="16"/>
          <w:szCs w:val="16"/>
          <w:color w:val="0071CE"/>
        </w:rPr>
      </w:pPr>
      <w:r>
        <w:rPr>
          <w:rFonts w:ascii="Arial" w:cs="Arial" w:eastAsia="Arial" w:hAnsi="Arial"/>
          <w:sz w:val="16"/>
          <w:szCs w:val="16"/>
          <w:b w:val="1"/>
          <w:bCs w:val="1"/>
          <w:color w:val="auto"/>
        </w:rPr>
        <w:t>Study Name: Study to Check the Safety of Fazirsiran and Learn if Fazirsiran Can Help People With Liver Disease and Scarring (Fibrosis) Due to an Abnormal Version of Alpha-1 Antitrypsin Protein</w:t>
      </w:r>
    </w:p>
    <w:p>
      <w:pPr>
        <w:spacing w:after="0" w:line="1" w:lineRule="exact"/>
        <w:rPr>
          <w:rFonts w:ascii="Arial" w:cs="Arial" w:eastAsia="Arial" w:hAnsi="Arial"/>
          <w:sz w:val="16"/>
          <w:szCs w:val="16"/>
          <w:color w:val="0071CE"/>
        </w:rPr>
      </w:pPr>
    </w:p>
    <w:p>
      <w:pPr>
        <w:ind w:left="340" w:right="20"/>
        <w:spacing w:after="0" w:line="252" w:lineRule="auto"/>
        <w:rPr>
          <w:rFonts w:ascii="Arial" w:cs="Arial" w:eastAsia="Arial" w:hAnsi="Arial"/>
          <w:sz w:val="16"/>
          <w:szCs w:val="16"/>
          <w:color w:val="0071CE"/>
        </w:rPr>
      </w:pPr>
      <w:r>
        <w:rPr>
          <w:rFonts w:ascii="Arial" w:cs="Arial" w:eastAsia="Arial" w:hAnsi="Arial"/>
          <w:sz w:val="16"/>
          <w:szCs w:val="16"/>
          <w:color w:val="auto"/>
        </w:rPr>
        <w:t>A Randomized, Double-blind, Placebo-Controlled, Phase 3 Study to Evaluate the Efficacy and Safety of Fazirsiran in the Treatment of Alpha-1 Antitrypsin Deficiency-Associated Liver Disease With METAVIR Stage F2 to F4 Fibrosis</w:t>
      </w:r>
    </w:p>
    <w:p>
      <w:pPr>
        <w:spacing w:after="0" w:line="1"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NCT05677971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w:t>
      </w:r>
    </w:p>
    <w:p>
      <w:pPr>
        <w:spacing w:after="0" w:line="14" w:lineRule="exact"/>
        <w:rPr>
          <w:sz w:val="20"/>
          <w:szCs w:val="20"/>
          <w:color w:val="auto"/>
        </w:rPr>
      </w:pPr>
    </w:p>
    <w:p>
      <w:pPr>
        <w:jc w:val="both"/>
        <w:spacing w:after="0" w:line="220" w:lineRule="auto"/>
        <w:rPr>
          <w:sz w:val="20"/>
          <w:szCs w:val="20"/>
          <w:color w:val="auto"/>
        </w:rPr>
      </w:pPr>
      <w:r>
        <w:rPr>
          <w:rFonts w:ascii="Arial" w:cs="Arial" w:eastAsia="Arial" w:hAnsi="Arial"/>
          <w:sz w:val="16"/>
          <w:szCs w:val="16"/>
          <w:b w:val="1"/>
          <w:bCs w:val="1"/>
          <w:color w:val="auto"/>
        </w:rPr>
        <w:t xml:space="preserve">JNJ-3989 (also referred to as JNJ-73763989 and formerly referred to as ARO-HBV) </w:t>
      </w:r>
      <w:r>
        <w:rPr>
          <w:rFonts w:ascii="Arial" w:cs="Arial" w:eastAsia="Arial" w:hAnsi="Arial"/>
          <w:sz w:val="16"/>
          <w:szCs w:val="16"/>
          <w:color w:val="auto"/>
        </w:rPr>
        <w:t>is a subcutaneous RNAi therapy candidate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silence all HBV gene products and intervenes upstream of the reverse transcription process where current standard-of-care nucleotide and nucleoside analogues act. Arrowhead believes this, especially the elimination of hepatitis B surface antigen (HBsAg), may allow the body’s natural immune defenses to clear the virus and potentially lead to a functional cure. JNJ-3989 is currently being investigated in multiple Phase 2 clinical trials being conducted by Janssen. The Phase 1/2a study and its preceding studies were conducted by Arrowhead.</w:t>
      </w:r>
    </w:p>
    <w:p>
      <w:pPr>
        <w:spacing w:after="0" w:line="99" w:lineRule="exact"/>
        <w:rPr>
          <w:sz w:val="20"/>
          <w:szCs w:val="20"/>
          <w:color w:val="auto"/>
        </w:rPr>
      </w:pPr>
    </w:p>
    <w:p>
      <w:pPr>
        <w:ind w:left="340" w:hanging="251"/>
        <w:spacing w:after="0" w:line="265"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Study Name: A Study of Different Combination Regimens Including JNJ-73763989 and/or JNJ-56136379 for the Treatment of Chronic Hepatitis B Virus Infection (REEF-1)</w:t>
      </w:r>
    </w:p>
    <w:p>
      <w:pPr>
        <w:spacing w:after="0" w:line="1" w:lineRule="exact"/>
        <w:rPr>
          <w:rFonts w:ascii="Arial" w:cs="Arial" w:eastAsia="Arial" w:hAnsi="Arial"/>
          <w:sz w:val="16"/>
          <w:szCs w:val="16"/>
          <w:color w:val="auto"/>
        </w:rPr>
      </w:pPr>
    </w:p>
    <w:p>
      <w:pPr>
        <w:ind w:left="340"/>
        <w:spacing w:after="0" w:line="265" w:lineRule="auto"/>
        <w:rPr>
          <w:rFonts w:ascii="Arial" w:cs="Arial" w:eastAsia="Arial" w:hAnsi="Arial"/>
          <w:sz w:val="16"/>
          <w:szCs w:val="16"/>
          <w:color w:val="auto"/>
        </w:rPr>
      </w:pPr>
      <w:r>
        <w:rPr>
          <w:rFonts w:ascii="Arial" w:cs="Arial" w:eastAsia="Arial" w:hAnsi="Arial"/>
          <w:sz w:val="16"/>
          <w:szCs w:val="16"/>
          <w:color w:val="auto"/>
        </w:rPr>
        <w:t>A Phase 2b, Multicenter, Double-blind, Active-controlled, Randomized Study to Investigate the Efficacy and Safety of Different Combination Regimens Including JNJ-73763989 and/or JNJ-56136379 for the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486410</wp:posOffset>
            </wp:positionV>
            <wp:extent cx="98615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23</w:t>
      </w:r>
    </w:p>
    <w:p>
      <w:pPr>
        <w:sectPr>
          <w:pgSz w:w="11900" w:h="16838" w:orient="portrait"/>
          <w:cols w:equalWidth="0" w:num="1">
            <w:col w:w="11240"/>
          </w:cols>
          <w:pgMar w:left="320" w:top="2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Chronic Hepatitis B Virus Infection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ClinicalTrials.gov Identifier: NCT03982186</w:t>
      </w:r>
    </w:p>
    <w:p>
      <w:pPr>
        <w:spacing w:after="0" w:line="15" w:lineRule="exact"/>
        <w:rPr>
          <w:sz w:val="20"/>
          <w:szCs w:val="20"/>
          <w:color w:val="auto"/>
        </w:rPr>
      </w:pPr>
    </w:p>
    <w:p>
      <w:pPr>
        <w:ind w:left="340" w:hanging="251"/>
        <w:spacing w:after="0" w:line="249" w:lineRule="auto"/>
        <w:tabs>
          <w:tab w:leader="none" w:pos="329"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of JNJ 73763989+JNJ 56136379+Nucleos(t)Ide Analog (NA) Regimen Compared to NA Alone in e Antigen Negative Virologically Suppressed Participants With Chronic Hepatitis B Virus Infection</w:t>
      </w:r>
    </w:p>
    <w:p>
      <w:pPr>
        <w:jc w:val="both"/>
        <w:ind w:left="340"/>
        <w:spacing w:after="0" w:line="252" w:lineRule="auto"/>
        <w:rPr>
          <w:rFonts w:ascii="Arial" w:cs="Arial" w:eastAsia="Arial" w:hAnsi="Arial"/>
          <w:sz w:val="16"/>
          <w:szCs w:val="16"/>
          <w:color w:val="auto"/>
        </w:rPr>
      </w:pPr>
      <w:r>
        <w:rPr>
          <w:rFonts w:ascii="Arial" w:cs="Arial" w:eastAsia="Arial" w:hAnsi="Arial"/>
          <w:sz w:val="16"/>
          <w:szCs w:val="16"/>
          <w:color w:val="auto"/>
        </w:rPr>
        <w:t>A Randomized, Double Blind, Placebo-controlled Phase 2b Study to Evaluate Efficacy, Pharmacokinetics, and Safety of 48-week Study Intervention With JNJ 73763989+JNJ 56136379+Nucleos(t)Ide Analog (NA) Regimen Compared to NA Alone in e Antigen Negative Virologically Suppressed Participants With Chronic Hepatitis B Virus Infection</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NCT04129554</w:t>
      </w:r>
    </w:p>
    <w:p>
      <w:pPr>
        <w:spacing w:after="0" w:line="14" w:lineRule="exact"/>
        <w:rPr>
          <w:rFonts w:ascii="Arial" w:cs="Arial" w:eastAsia="Arial" w:hAnsi="Arial"/>
          <w:sz w:val="16"/>
          <w:szCs w:val="16"/>
          <w:color w:val="auto"/>
        </w:rPr>
      </w:pPr>
    </w:p>
    <w:p>
      <w:pPr>
        <w:ind w:left="320" w:hanging="231"/>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of JNJ-73763989 in Healthy Chinese Adult Participants</w:t>
      </w:r>
    </w:p>
    <w:p>
      <w:pPr>
        <w:spacing w:after="0" w:line="8" w:lineRule="exact"/>
        <w:rPr>
          <w:rFonts w:ascii="Arial" w:cs="Arial" w:eastAsia="Arial" w:hAnsi="Arial"/>
          <w:sz w:val="16"/>
          <w:szCs w:val="16"/>
          <w:color w:val="auto"/>
        </w:rPr>
      </w:pPr>
    </w:p>
    <w:p>
      <w:pPr>
        <w:ind w:left="340" w:right="20"/>
        <w:spacing w:after="0" w:line="255" w:lineRule="auto"/>
        <w:rPr>
          <w:rFonts w:ascii="Arial" w:cs="Arial" w:eastAsia="Arial" w:hAnsi="Arial"/>
          <w:sz w:val="16"/>
          <w:szCs w:val="16"/>
          <w:color w:val="auto"/>
        </w:rPr>
      </w:pPr>
      <w:r>
        <w:rPr>
          <w:rFonts w:ascii="Arial" w:cs="Arial" w:eastAsia="Arial" w:hAnsi="Arial"/>
          <w:sz w:val="16"/>
          <w:szCs w:val="16"/>
          <w:color w:val="auto"/>
        </w:rPr>
        <w:t>A Randomized, Open-Label, Parallel, Single Dose Study to Investigate Pharmacokinetics, Safety, and Tolerability of JNJ-73763989 in Healthy Chinese Adult Participants</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NCT04586439</w:t>
      </w:r>
    </w:p>
    <w:p>
      <w:pPr>
        <w:spacing w:after="0" w:line="5" w:lineRule="exact"/>
        <w:rPr>
          <w:rFonts w:ascii="Arial" w:cs="Arial" w:eastAsia="Arial" w:hAnsi="Arial"/>
          <w:sz w:val="16"/>
          <w:szCs w:val="16"/>
          <w:color w:val="auto"/>
        </w:rPr>
      </w:pPr>
    </w:p>
    <w:p>
      <w:pPr>
        <w:ind w:left="320" w:hanging="231"/>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to Evaluate the Effect of Hepatic Impairment on JNJ-73763989</w:t>
      </w:r>
    </w:p>
    <w:p>
      <w:pPr>
        <w:spacing w:after="0" w:line="18" w:lineRule="exact"/>
        <w:rPr>
          <w:rFonts w:ascii="Arial" w:cs="Arial" w:eastAsia="Arial" w:hAnsi="Arial"/>
          <w:sz w:val="16"/>
          <w:szCs w:val="16"/>
          <w:color w:val="auto"/>
        </w:rPr>
      </w:pPr>
    </w:p>
    <w:p>
      <w:pPr>
        <w:ind w:left="340" w:right="340"/>
        <w:spacing w:after="0" w:line="252" w:lineRule="auto"/>
        <w:rPr>
          <w:rFonts w:ascii="Arial" w:cs="Arial" w:eastAsia="Arial" w:hAnsi="Arial"/>
          <w:sz w:val="16"/>
          <w:szCs w:val="16"/>
          <w:color w:val="auto"/>
        </w:rPr>
      </w:pPr>
      <w:r>
        <w:rPr>
          <w:rFonts w:ascii="Arial" w:cs="Arial" w:eastAsia="Arial" w:hAnsi="Arial"/>
          <w:sz w:val="16"/>
          <w:szCs w:val="16"/>
          <w:color w:val="auto"/>
        </w:rPr>
        <w:t>A Phase 1, Single-Dose, Open-Label, Parallel-Group Study to Evaluate the Effect of Hepatic Impairment on the Pharmacokinetics of JNJ-73763989 ClinicalTrials.gov Identifier: NCT04208386</w:t>
      </w:r>
    </w:p>
    <w:p>
      <w:pPr>
        <w:spacing w:after="0" w:line="1" w:lineRule="exact"/>
        <w:rPr>
          <w:rFonts w:ascii="Arial" w:cs="Arial" w:eastAsia="Arial" w:hAnsi="Arial"/>
          <w:sz w:val="16"/>
          <w:szCs w:val="16"/>
          <w:color w:val="auto"/>
        </w:rPr>
      </w:pPr>
    </w:p>
    <w:p>
      <w:pPr>
        <w:ind w:left="320" w:hanging="231"/>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of JNJ-73763989 + Nucleos(t)Ide Analog in Participants Co-Infected With Hepatitis B and Hepatitis D Virus (REEF-D)</w:t>
      </w:r>
    </w:p>
    <w:p>
      <w:pPr>
        <w:spacing w:after="0" w:line="8" w:lineRule="exact"/>
        <w:rPr>
          <w:rFonts w:ascii="Arial" w:cs="Arial" w:eastAsia="Arial" w:hAnsi="Arial"/>
          <w:sz w:val="16"/>
          <w:szCs w:val="16"/>
          <w:color w:val="auto"/>
        </w:rPr>
      </w:pPr>
    </w:p>
    <w:p>
      <w:pPr>
        <w:ind w:left="340"/>
        <w:spacing w:after="0" w:line="252" w:lineRule="auto"/>
        <w:rPr>
          <w:rFonts w:ascii="Arial" w:cs="Arial" w:eastAsia="Arial" w:hAnsi="Arial"/>
          <w:sz w:val="16"/>
          <w:szCs w:val="16"/>
          <w:color w:val="auto"/>
        </w:rPr>
      </w:pPr>
      <w:r>
        <w:rPr>
          <w:rFonts w:ascii="Arial" w:cs="Arial" w:eastAsia="Arial" w:hAnsi="Arial"/>
          <w:sz w:val="16"/>
          <w:szCs w:val="16"/>
          <w:color w:val="auto"/>
        </w:rPr>
        <w:t>A Phase 2, Multicenter, Randomized, Double-blind, Placebo-Controlled Study With Deferred Active Treatment to Investigate the Efficacy, Safety, and Pharmacokinetics of JNJ-73763989 + Nucleos(t)Ide Analog in Participants Co-Infected With Hepatitis B and Hepatitis D Virus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NCT04535544</w:t>
      </w:r>
    </w:p>
    <w:p>
      <w:pPr>
        <w:spacing w:after="0" w:line="8" w:lineRule="exact"/>
        <w:rPr>
          <w:rFonts w:ascii="Arial" w:cs="Arial" w:eastAsia="Arial" w:hAnsi="Arial"/>
          <w:sz w:val="16"/>
          <w:szCs w:val="16"/>
          <w:color w:val="auto"/>
        </w:rPr>
      </w:pPr>
    </w:p>
    <w:p>
      <w:pPr>
        <w:jc w:val="both"/>
        <w:ind w:left="340" w:hanging="251"/>
        <w:spacing w:after="0" w:line="252" w:lineRule="auto"/>
        <w:tabs>
          <w:tab w:leader="none" w:pos="329"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of JNJ-73763989 + JNJ-56136379 + Nucleos(t)Ide Analog (NA) Regimen With or Without Pegylated Interferon Alpha-2a (PegIFN-α2a) in Treatment-Naive Participants With Hepatitis B e Antigen (HBeAg) Positive Chronic Hepatitis B Virus (HBV) Infection and Normal Alanine Aminotransferase (ALT)</w:t>
      </w:r>
    </w:p>
    <w:p>
      <w:pPr>
        <w:jc w:val="both"/>
        <w:ind w:left="340"/>
        <w:spacing w:after="0" w:line="252" w:lineRule="auto"/>
        <w:rPr>
          <w:rFonts w:ascii="Arial" w:cs="Arial" w:eastAsia="Arial" w:hAnsi="Arial"/>
          <w:sz w:val="16"/>
          <w:szCs w:val="16"/>
          <w:color w:val="auto"/>
        </w:rPr>
      </w:pPr>
      <w:r>
        <w:rPr>
          <w:rFonts w:ascii="Arial" w:cs="Arial" w:eastAsia="Arial" w:hAnsi="Arial"/>
          <w:sz w:val="16"/>
          <w:szCs w:val="16"/>
          <w:color w:val="auto"/>
        </w:rPr>
        <w:t>A Phase 2, Randomized, Open-label, Multicenter Study to Evaluate Efficacy, Pharmacokinetics, Safety, and Tolerability of Response-guided Treatment With JNJ-73763989 + JNJ-56136379 + Nucleos(t)Ide Analog Regimen With or Without Pegylated Interferon Alpha-2a in Treatment-naive Patients With HBeAg Positive Chronic Hepatitis B Virus Infection and Normal ALT</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NCT04439539</w:t>
      </w:r>
    </w:p>
    <w:p>
      <w:pPr>
        <w:spacing w:after="0" w:line="14" w:lineRule="exact"/>
        <w:rPr>
          <w:rFonts w:ascii="Arial" w:cs="Arial" w:eastAsia="Arial" w:hAnsi="Arial"/>
          <w:sz w:val="16"/>
          <w:szCs w:val="16"/>
          <w:color w:val="auto"/>
        </w:rPr>
      </w:pPr>
    </w:p>
    <w:p>
      <w:pPr>
        <w:ind w:left="340" w:right="20" w:hanging="251"/>
        <w:spacing w:after="0" w:line="257" w:lineRule="auto"/>
        <w:tabs>
          <w:tab w:leader="none" w:pos="329"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to Assess Intrahepatic and Peripheral Changes of Immunologic and Virologic Markers in Chronic Hepatitis B Virus Infection (INSIGHT)</w:t>
      </w:r>
    </w:p>
    <w:p>
      <w:pPr>
        <w:spacing w:after="0" w:line="1" w:lineRule="exact"/>
        <w:rPr>
          <w:rFonts w:ascii="Arial" w:cs="Arial" w:eastAsia="Arial" w:hAnsi="Arial"/>
          <w:sz w:val="16"/>
          <w:szCs w:val="16"/>
          <w:color w:val="auto"/>
        </w:rPr>
      </w:pPr>
    </w:p>
    <w:p>
      <w:pPr>
        <w:jc w:val="both"/>
        <w:ind w:left="340"/>
        <w:spacing w:after="0" w:line="250" w:lineRule="auto"/>
        <w:rPr>
          <w:rFonts w:ascii="Arial" w:cs="Arial" w:eastAsia="Arial" w:hAnsi="Arial"/>
          <w:sz w:val="16"/>
          <w:szCs w:val="16"/>
          <w:color w:val="auto"/>
        </w:rPr>
      </w:pPr>
      <w:r>
        <w:rPr>
          <w:rFonts w:ascii="Arial" w:cs="Arial" w:eastAsia="Arial" w:hAnsi="Arial"/>
          <w:sz w:val="16"/>
          <w:szCs w:val="16"/>
          <w:color w:val="auto"/>
        </w:rPr>
        <w:t>A Phase 2 Randomized, Open-label, Parallel-group, Multicenter Study to Assess Intrahepatic and Peripheral Changes of Immunologic and Virologic Markers in Response to Combination Regimens Containing JNJ-73763989 and Nucleos(t)Ide Analog With or Without JNJ-56136379 in Patients With Chronic Hepatitis B Virus Infection</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NCT04585789</w:t>
      </w:r>
    </w:p>
    <w:p>
      <w:pPr>
        <w:spacing w:after="0" w:line="8" w:lineRule="exact"/>
        <w:rPr>
          <w:rFonts w:ascii="Arial" w:cs="Arial" w:eastAsia="Arial" w:hAnsi="Arial"/>
          <w:sz w:val="16"/>
          <w:szCs w:val="16"/>
          <w:color w:val="auto"/>
        </w:rPr>
      </w:pPr>
    </w:p>
    <w:p>
      <w:pPr>
        <w:ind w:left="320" w:hanging="231"/>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of JNJ-73763989 in Adult Participants With Renal Impairment</w:t>
      </w:r>
    </w:p>
    <w:p>
      <w:pPr>
        <w:spacing w:after="0" w:line="18" w:lineRule="exact"/>
        <w:rPr>
          <w:rFonts w:ascii="Arial" w:cs="Arial" w:eastAsia="Arial" w:hAnsi="Arial"/>
          <w:sz w:val="16"/>
          <w:szCs w:val="16"/>
          <w:color w:val="auto"/>
        </w:rPr>
      </w:pPr>
    </w:p>
    <w:p>
      <w:pPr>
        <w:ind w:left="340"/>
        <w:spacing w:after="0" w:line="246" w:lineRule="auto"/>
        <w:rPr>
          <w:rFonts w:ascii="Arial" w:cs="Arial" w:eastAsia="Arial" w:hAnsi="Arial"/>
          <w:sz w:val="16"/>
          <w:szCs w:val="16"/>
          <w:color w:val="auto"/>
        </w:rPr>
      </w:pPr>
      <w:r>
        <w:rPr>
          <w:rFonts w:ascii="Arial" w:cs="Arial" w:eastAsia="Arial" w:hAnsi="Arial"/>
          <w:sz w:val="16"/>
          <w:szCs w:val="16"/>
          <w:color w:val="auto"/>
        </w:rPr>
        <w:t>An Open-label, Single-dose, Parallel-group Study to Evaluate the Effect of Renal Impairment on the Pharmacokinetics of JNJ-73763989 in Adult Participants</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NCT04963738</w:t>
      </w:r>
    </w:p>
    <w:p>
      <w:pPr>
        <w:spacing w:after="0" w:line="14" w:lineRule="exact"/>
        <w:rPr>
          <w:rFonts w:ascii="Arial" w:cs="Arial" w:eastAsia="Arial" w:hAnsi="Arial"/>
          <w:sz w:val="16"/>
          <w:szCs w:val="16"/>
          <w:color w:val="auto"/>
        </w:rPr>
      </w:pPr>
    </w:p>
    <w:p>
      <w:pPr>
        <w:ind w:left="340" w:hanging="251"/>
        <w:spacing w:after="0" w:line="257" w:lineRule="auto"/>
        <w:tabs>
          <w:tab w:leader="none" w:pos="329"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Study Name: A Study of JNJ-73763989, Pegylated Interferon Alpha-2a and Nucleos(t)Ide Analogs in Participants With Chronic Hepatitis B Virus Infection (PENGUIN-2)</w:t>
      </w:r>
    </w:p>
    <w:p>
      <w:pPr>
        <w:spacing w:after="0" w:line="1" w:lineRule="exact"/>
        <w:rPr>
          <w:rFonts w:ascii="Arial" w:cs="Arial" w:eastAsia="Arial" w:hAnsi="Arial"/>
          <w:sz w:val="16"/>
          <w:szCs w:val="16"/>
          <w:color w:val="auto"/>
        </w:rPr>
      </w:pPr>
    </w:p>
    <w:p>
      <w:pPr>
        <w:ind w:left="340"/>
        <w:spacing w:after="0" w:line="246" w:lineRule="auto"/>
        <w:rPr>
          <w:rFonts w:ascii="Arial" w:cs="Arial" w:eastAsia="Arial" w:hAnsi="Arial"/>
          <w:sz w:val="16"/>
          <w:szCs w:val="16"/>
          <w:color w:val="auto"/>
        </w:rPr>
      </w:pPr>
      <w:r>
        <w:rPr>
          <w:rFonts w:ascii="Arial" w:cs="Arial" w:eastAsia="Arial" w:hAnsi="Arial"/>
          <w:sz w:val="16"/>
          <w:szCs w:val="16"/>
          <w:color w:val="auto"/>
        </w:rPr>
        <w:t>A Phase 2, Open-label, Multicenter Study to Assess Efficacy, Safety, Tolerability, and Pharmacokinetics of Treatment With JNJ-73763989, Nucleos(t)Ide Analogs, and Pegylated Interferon Alpha-2a in Patients With Chronic Hepatitis B Virus Infection</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NCT05005507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508000</wp:posOffset>
            </wp:positionV>
            <wp:extent cx="98615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24</w:t>
      </w:r>
    </w:p>
    <w:p>
      <w:pPr>
        <w:sectPr>
          <w:pgSz w:w="11900" w:h="16838" w:orient="portrait"/>
          <w:cols w:equalWidth="0" w:num="1">
            <w:col w:w="11240"/>
          </w:cols>
          <w:pgMar w:left="320" w:top="21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hanging="251"/>
        <w:spacing w:after="0" w:line="265" w:lineRule="auto"/>
        <w:tabs>
          <w:tab w:leader="none" w:pos="32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Study Name: A Study of JNJ-73763989, JNJ-56136379, Nucleos(t)Ide Analogs, and Pegylated Interferon Alpha-2a in Virologically Suppressed Participants With Chronic Hepatitis B Virus Infection (PENGUIN)</w:t>
      </w:r>
    </w:p>
    <w:p>
      <w:pPr>
        <w:spacing w:after="0" w:line="1"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auto"/>
        </w:rPr>
        <w:t>A Phase 2, Open-label, Single-arm, Multicenter Study to Assess Efficacy, Safety, Tolerability, and Pharmacokinetics of Treatment With JNJ-73763989, JNJ-56136379, Nucleos(t)Ide Analogs, and Pegylated Interferon Alpha-2a in Virologically Suppressed Patients With Chronic Hepatitis B Virus Infection ClinicalTrials.gov Identifier: NCT04667104</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b w:val="1"/>
          <w:bCs w:val="1"/>
          <w:color w:val="auto"/>
        </w:rPr>
        <w:t xml:space="preserve">JNJ-75220795 </w:t>
      </w:r>
      <w:r>
        <w:rPr>
          <w:rFonts w:ascii="Arial" w:cs="Arial" w:eastAsia="Arial" w:hAnsi="Arial"/>
          <w:sz w:val="16"/>
          <w:szCs w:val="16"/>
          <w:color w:val="auto"/>
        </w:rPr>
        <w:t>(formerly referred to as ARO-JNJ1) is an investigational therapeutic being developed by Janssen. It utilizes Arrowhead’s proprietary TRIM</w:t>
      </w:r>
      <w:r>
        <w:rPr>
          <w:rFonts w:ascii="Arial" w:cs="Arial" w:eastAsia="Arial" w:hAnsi="Arial"/>
          <w:sz w:val="21"/>
          <w:szCs w:val="21"/>
          <w:color w:val="auto"/>
          <w:vertAlign w:val="superscript"/>
        </w:rPr>
        <w:t>TM</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and is designed to reduce expression in the liver of patatin like phospholipase domain containing 3 (PNPLA3) as a potential treatment for patients with non-alcoholic steatohepatitis (NASH).</w:t>
      </w:r>
    </w:p>
    <w:p>
      <w:pPr>
        <w:spacing w:after="0" w:line="112" w:lineRule="exact"/>
        <w:rPr>
          <w:sz w:val="20"/>
          <w:szCs w:val="20"/>
          <w:color w:val="auto"/>
        </w:rPr>
      </w:pPr>
    </w:p>
    <w:p>
      <w:pPr>
        <w:ind w:left="320" w:hanging="231"/>
        <w:spacing w:after="0"/>
        <w:tabs>
          <w:tab w:leader="none" w:pos="320" w:val="left"/>
        </w:tabs>
        <w:numPr>
          <w:ilvl w:val="0"/>
          <w:numId w:val="33"/>
        </w:numPr>
        <w:rPr>
          <w:rFonts w:ascii="Arial" w:cs="Arial" w:eastAsia="Arial" w:hAnsi="Arial"/>
          <w:sz w:val="16"/>
          <w:szCs w:val="16"/>
          <w:color w:val="0071CE"/>
        </w:rPr>
      </w:pPr>
      <w:r>
        <w:rPr>
          <w:rFonts w:ascii="Arial" w:cs="Arial" w:eastAsia="Arial" w:hAnsi="Arial"/>
          <w:sz w:val="16"/>
          <w:szCs w:val="16"/>
          <w:b w:val="1"/>
          <w:bCs w:val="1"/>
          <w:color w:val="auto"/>
        </w:rPr>
        <w:t>Study Name: A Single and Multiple Ascending Dose Study of Subcutaneously Administered JNJ-75220795</w:t>
      </w:r>
    </w:p>
    <w:p>
      <w:pPr>
        <w:spacing w:after="0" w:line="21" w:lineRule="exact"/>
        <w:rPr>
          <w:rFonts w:ascii="Arial" w:cs="Arial" w:eastAsia="Arial" w:hAnsi="Arial"/>
          <w:sz w:val="16"/>
          <w:szCs w:val="16"/>
          <w:color w:val="0071CE"/>
        </w:rPr>
      </w:pPr>
    </w:p>
    <w:p>
      <w:pPr>
        <w:ind w:left="340"/>
        <w:spacing w:after="0" w:line="252" w:lineRule="auto"/>
        <w:rPr>
          <w:rFonts w:ascii="Arial" w:cs="Arial" w:eastAsia="Arial" w:hAnsi="Arial"/>
          <w:sz w:val="16"/>
          <w:szCs w:val="16"/>
          <w:color w:val="0071CE"/>
        </w:rPr>
      </w:pPr>
      <w:r>
        <w:rPr>
          <w:rFonts w:ascii="Arial" w:cs="Arial" w:eastAsia="Arial" w:hAnsi="Arial"/>
          <w:sz w:val="16"/>
          <w:szCs w:val="16"/>
          <w:color w:val="auto"/>
        </w:rPr>
        <w:t>A Double-Blind, Placebo-Controlled, Randomized, Multipart, Single and Multiple Ascending Dose Study to Investigate the Safety, Tolerability, Pharmacokinetics, and Pharmacodynamics of Subcutaneously Administered JNJ-75220795</w:t>
      </w:r>
    </w:p>
    <w:p>
      <w:pPr>
        <w:spacing w:after="0" w:line="1"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NCT04844450</w:t>
      </w:r>
    </w:p>
    <w:p>
      <w:pPr>
        <w:spacing w:after="0" w:line="100" w:lineRule="exact"/>
        <w:rPr>
          <w:rFonts w:ascii="Arial" w:cs="Arial" w:eastAsia="Arial" w:hAnsi="Arial"/>
          <w:sz w:val="16"/>
          <w:szCs w:val="16"/>
          <w:color w:val="0071CE"/>
        </w:rPr>
      </w:pPr>
    </w:p>
    <w:p>
      <w:pPr>
        <w:ind w:left="320" w:hanging="231"/>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Study Name: A Study of JNJ-75220795 in Japanese Participants</w:t>
      </w:r>
    </w:p>
    <w:p>
      <w:pPr>
        <w:spacing w:after="0" w:line="34" w:lineRule="exact"/>
        <w:rPr>
          <w:rFonts w:ascii="Arial" w:cs="Arial" w:eastAsia="Arial" w:hAnsi="Arial"/>
          <w:sz w:val="16"/>
          <w:szCs w:val="16"/>
          <w:color w:val="auto"/>
        </w:rPr>
      </w:pPr>
    </w:p>
    <w:p>
      <w:pPr>
        <w:ind w:left="340"/>
        <w:spacing w:after="0" w:line="246" w:lineRule="auto"/>
        <w:rPr>
          <w:rFonts w:ascii="Arial" w:cs="Arial" w:eastAsia="Arial" w:hAnsi="Arial"/>
          <w:sz w:val="16"/>
          <w:szCs w:val="16"/>
          <w:color w:val="auto"/>
        </w:rPr>
      </w:pPr>
      <w:r>
        <w:rPr>
          <w:rFonts w:ascii="Arial" w:cs="Arial" w:eastAsia="Arial" w:hAnsi="Arial"/>
          <w:sz w:val="16"/>
          <w:szCs w:val="16"/>
          <w:color w:val="auto"/>
        </w:rPr>
        <w:t>A Double-Blind, Placebo-Controlled, Randomized, Single Ascending Dose Study to Investigate the Safety, Tolerability, Pharmacokinetics, and Pharmacodynamics of Subcutaneously Administered JNJ-75220795 in Japanese Participants</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NCT05039710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241" w:lineRule="exact"/>
        <w:rPr>
          <w:sz w:val="20"/>
          <w:szCs w:val="20"/>
          <w:color w:val="auto"/>
        </w:rPr>
      </w:pPr>
    </w:p>
    <w:p>
      <w:pPr>
        <w:jc w:val="both"/>
        <w:spacing w:after="0" w:line="216" w:lineRule="auto"/>
        <w:rPr>
          <w:sz w:val="20"/>
          <w:szCs w:val="20"/>
          <w:color w:val="auto"/>
        </w:rPr>
      </w:pPr>
      <w:r>
        <w:rPr>
          <w:rFonts w:ascii="Arial" w:cs="Arial" w:eastAsia="Arial" w:hAnsi="Arial"/>
          <w:sz w:val="16"/>
          <w:szCs w:val="16"/>
          <w:b w:val="1"/>
          <w:bCs w:val="1"/>
          <w:color w:val="auto"/>
        </w:rPr>
        <w:t xml:space="preserve">Olpasiran (formerly AMG 890 and ARO-LPA) </w:t>
      </w:r>
      <w:r>
        <w:rPr>
          <w:rFonts w:ascii="Arial" w:cs="Arial" w:eastAsia="Arial" w:hAnsi="Arial"/>
          <w:sz w:val="16"/>
          <w:szCs w:val="16"/>
          <w:color w:val="auto"/>
        </w:rPr>
        <w:t>is designed to reduce production of apolipoprotein A, a key component of lipoprotein(a),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genetically linked with increased risk of cardiovascular diseases, independent of cholesterol and LDL levels. Amgen completed a Phase 2 clinical study evaluating the efficacy, safety, and tolerability of Olpasiran in subjects with elevated levels of lipoprotein(a). Amgen reported Phase 2 clinical results at the American Heart Association (AHA) Scientific Sessions in November 2022 and simultaneously published in the New England Journal of Medicine. Olpasiran is currently being evaluated in a Phase 3 study to assess its impact on major cardiovascular events in participants with atherosclerotic cardiovascular disease and elevated lipoprotein(a), in a double-blind, randomized, placebo-controlled, multicenter study. In December 2022, Amgen enrolled the first subject to its Phase 3 trial of Olpasiran, triggering a $25 million milestone payment to Arrowhead.</w:t>
      </w:r>
    </w:p>
    <w:p>
      <w:pPr>
        <w:spacing w:after="0" w:line="4" w:lineRule="exact"/>
        <w:rPr>
          <w:sz w:val="20"/>
          <w:szCs w:val="20"/>
          <w:color w:val="auto"/>
        </w:rPr>
      </w:pPr>
    </w:p>
    <w:p>
      <w:pPr>
        <w:ind w:left="320" w:hanging="231"/>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Study Name: A Study Olpasiran Trials of Cardiovascular Events and Lipoprotein(a) Reduction (OCEAN(a)) - Outcomes Trial</w:t>
      </w:r>
    </w:p>
    <w:p>
      <w:pPr>
        <w:spacing w:after="0" w:line="5" w:lineRule="exact"/>
        <w:rPr>
          <w:rFonts w:ascii="Arial" w:cs="Arial" w:eastAsia="Arial" w:hAnsi="Arial"/>
          <w:sz w:val="16"/>
          <w:szCs w:val="16"/>
          <w:color w:val="auto"/>
        </w:rPr>
      </w:pPr>
    </w:p>
    <w:p>
      <w:pPr>
        <w:ind w:left="340"/>
        <w:spacing w:after="0" w:line="255" w:lineRule="auto"/>
        <w:rPr>
          <w:rFonts w:ascii="Arial" w:cs="Arial" w:eastAsia="Arial" w:hAnsi="Arial"/>
          <w:sz w:val="16"/>
          <w:szCs w:val="16"/>
          <w:color w:val="auto"/>
        </w:rPr>
      </w:pPr>
      <w:r>
        <w:rPr>
          <w:rFonts w:ascii="Arial" w:cs="Arial" w:eastAsia="Arial" w:hAnsi="Arial"/>
          <w:sz w:val="16"/>
          <w:szCs w:val="16"/>
          <w:color w:val="auto"/>
        </w:rPr>
        <w:t>A Double-blind, Randomized, Placebo-controlled, Multicenter Study Assessing the Impact of Olpasiran on Major Cardiovascular Events in Participants With Atherosclerotic Cardiovascular Disease and Elevated Lipoprotein(a)</w:t>
      </w:r>
    </w:p>
    <w:p>
      <w:pPr>
        <w:ind w:left="340"/>
        <w:spacing w:after="0"/>
        <w:rPr>
          <w:rFonts w:ascii="Arial" w:cs="Arial" w:eastAsia="Arial" w:hAnsi="Arial"/>
          <w:sz w:val="16"/>
          <w:szCs w:val="16"/>
          <w:color w:val="auto"/>
        </w:rPr>
      </w:pPr>
      <w:r>
        <w:rPr>
          <w:rFonts w:ascii="Arial" w:cs="Arial" w:eastAsia="Arial" w:hAnsi="Arial"/>
          <w:sz w:val="16"/>
          <w:szCs w:val="16"/>
          <w:color w:val="auto"/>
        </w:rPr>
        <w:t>ClinicalTrials.gov Identifier: NCT05581303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 (“GSK”)</w:t>
      </w:r>
    </w:p>
    <w:p>
      <w:pPr>
        <w:spacing w:after="0" w:line="28"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b w:val="1"/>
          <w:bCs w:val="1"/>
          <w:color w:val="auto"/>
        </w:rPr>
        <w:t xml:space="preserve">ARO-HSD </w:t>
      </w:r>
      <w:r>
        <w:rPr>
          <w:rFonts w:ascii="Arial" w:cs="Arial" w:eastAsia="Arial" w:hAnsi="Arial"/>
          <w:sz w:val="16"/>
          <w:szCs w:val="16"/>
          <w:color w:val="auto"/>
        </w:rPr>
        <w:t>designed to reduce production of HSD17B13, a hydroxysteroid dehydrogenase involved in the metabolism of hormones, fatty acids and bile</w:t>
      </w:r>
      <w:r>
        <w:rPr>
          <w:rFonts w:ascii="Arial" w:cs="Arial" w:eastAsia="Arial" w:hAnsi="Arial"/>
          <w:sz w:val="16"/>
          <w:szCs w:val="16"/>
          <w:b w:val="1"/>
          <w:bCs w:val="1"/>
          <w:color w:val="auto"/>
        </w:rPr>
        <w:t xml:space="preserve"> </w:t>
      </w:r>
      <w:r>
        <w:rPr>
          <w:rFonts w:ascii="Arial" w:cs="Arial" w:eastAsia="Arial" w:hAnsi="Arial"/>
          <w:sz w:val="16"/>
          <w:szCs w:val="16"/>
          <w:color w:val="auto"/>
        </w:rPr>
        <w:t>acids. Published human genetic data indicate that a loss of function mutation in HSD17B13 provides strong protection against nonalcoholic steatohepatitis (NASH) cirrhosis and alcoholic hepatitis and cirrhosis. Arrowhead completed a Phase 1/2 clinical trial and GSK is preparing to begin a Phase 2b clinical trial.</w:t>
      </w:r>
    </w:p>
    <w:p>
      <w:pPr>
        <w:spacing w:after="0" w:line="83" w:lineRule="exact"/>
        <w:rPr>
          <w:sz w:val="20"/>
          <w:szCs w:val="20"/>
          <w:color w:val="auto"/>
        </w:rPr>
      </w:pPr>
    </w:p>
    <w:p>
      <w:pPr>
        <w:ind w:left="340"/>
        <w:spacing w:after="0" w:line="304" w:lineRule="auto"/>
        <w:rPr>
          <w:sz w:val="20"/>
          <w:szCs w:val="20"/>
          <w:color w:val="auto"/>
        </w:rPr>
      </w:pPr>
      <w:r>
        <w:rPr>
          <w:rFonts w:ascii="Arial" w:cs="Arial" w:eastAsia="Arial" w:hAnsi="Arial"/>
          <w:sz w:val="16"/>
          <w:szCs w:val="16"/>
          <w:b w:val="1"/>
          <w:bCs w:val="1"/>
          <w:color w:val="auto"/>
        </w:rPr>
        <w:t>Nonalcoholic Steatohepatitis</w:t>
      </w:r>
      <w:r>
        <w:rPr>
          <w:rFonts w:ascii="Arial" w:cs="Arial" w:eastAsia="Arial" w:hAnsi="Arial"/>
          <w:sz w:val="16"/>
          <w:szCs w:val="16"/>
          <w:color w:val="auto"/>
        </w:rPr>
        <w:t>: NASH is liver inflammation and damage caused by a buildup of fat in the liver. This can cause scarring of the liver and</w:t>
      </w:r>
      <w:r>
        <w:rPr>
          <w:rFonts w:ascii="Arial" w:cs="Arial" w:eastAsia="Arial" w:hAnsi="Arial"/>
          <w:sz w:val="16"/>
          <w:szCs w:val="16"/>
          <w:b w:val="1"/>
          <w:bCs w:val="1"/>
          <w:color w:val="auto"/>
        </w:rPr>
        <w:t xml:space="preserve"> </w:t>
      </w:r>
      <w:r>
        <w:rPr>
          <w:rFonts w:ascii="Arial" w:cs="Arial" w:eastAsia="Arial" w:hAnsi="Arial"/>
          <w:sz w:val="16"/>
          <w:szCs w:val="16"/>
          <w:color w:val="auto"/>
        </w:rPr>
        <w:t>in advanced cases can lead to cirrhosis.</w:t>
      </w:r>
    </w:p>
    <w:p>
      <w:pPr>
        <w:spacing w:after="0" w:line="33" w:lineRule="exact"/>
        <w:rPr>
          <w:sz w:val="20"/>
          <w:szCs w:val="20"/>
          <w:color w:val="auto"/>
        </w:rPr>
      </w:pPr>
    </w:p>
    <w:p>
      <w:pPr>
        <w:ind w:left="320" w:hanging="231"/>
        <w:spacing w:after="0"/>
        <w:tabs>
          <w:tab w:leader="none" w:pos="320" w:val="left"/>
        </w:tabs>
        <w:numPr>
          <w:ilvl w:val="0"/>
          <w:numId w:val="35"/>
        </w:numPr>
        <w:rPr>
          <w:rFonts w:ascii="Arial" w:cs="Arial" w:eastAsia="Arial" w:hAnsi="Arial"/>
          <w:sz w:val="16"/>
          <w:szCs w:val="16"/>
          <w:color w:val="0071CE"/>
        </w:rPr>
      </w:pPr>
      <w:r>
        <w:rPr>
          <w:rFonts w:ascii="Arial" w:cs="Arial" w:eastAsia="Arial" w:hAnsi="Arial"/>
          <w:sz w:val="16"/>
          <w:szCs w:val="16"/>
          <w:b w:val="1"/>
          <w:bCs w:val="1"/>
          <w:color w:val="auto"/>
        </w:rPr>
        <w:t>Study Name: Study of ARO-HSD in Healthy Volunteers and Patients With Non-Alcoholic Steatohepatitis (NASH) or Suspected NASH</w:t>
      </w:r>
    </w:p>
    <w:p>
      <w:pPr>
        <w:spacing w:after="0" w:line="21" w:lineRule="exact"/>
        <w:rPr>
          <w:rFonts w:ascii="Arial" w:cs="Arial" w:eastAsia="Arial" w:hAnsi="Arial"/>
          <w:sz w:val="16"/>
          <w:szCs w:val="16"/>
          <w:color w:val="0071CE"/>
        </w:rPr>
      </w:pPr>
    </w:p>
    <w:p>
      <w:pPr>
        <w:ind w:left="340"/>
        <w:spacing w:after="0" w:line="255" w:lineRule="auto"/>
        <w:rPr>
          <w:rFonts w:ascii="Arial" w:cs="Arial" w:eastAsia="Arial" w:hAnsi="Arial"/>
          <w:sz w:val="16"/>
          <w:szCs w:val="16"/>
          <w:color w:val="0071CE"/>
        </w:rPr>
      </w:pPr>
      <w:r>
        <w:rPr>
          <w:rFonts w:ascii="Arial" w:cs="Arial" w:eastAsia="Arial" w:hAnsi="Arial"/>
          <w:sz w:val="16"/>
          <w:szCs w:val="16"/>
          <w:color w:val="auto"/>
        </w:rPr>
        <w:t>A Phase 1/2a Single and Multiple Dose-Escalating Study to Evaluate the Safety, Tolerability, Pharmacokinetics and Pharmacodynamic Effects of ARO-HSD in Normal Healthy Volunteers as Well as in Patients With NASH or Suspected NASH</w:t>
      </w: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NCT04202354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576580</wp:posOffset>
            </wp:positionV>
            <wp:extent cx="98615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25</w:t>
      </w:r>
    </w:p>
    <w:p>
      <w:pPr>
        <w:sectPr>
          <w:pgSz w:w="11900" w:h="16838" w:orient="portrait"/>
          <w:cols w:equalWidth="0" w:num="1">
            <w:col w:w="11240"/>
          </w:cols>
          <w:pgMar w:left="320" w:top="21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plc</w:t>
      </w:r>
    </w:p>
    <w:p>
      <w:pPr>
        <w:spacing w:after="0" w:line="16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b w:val="1"/>
          <w:bCs w:val="1"/>
          <w:color w:val="auto"/>
        </w:rPr>
        <w:t xml:space="preserve">HZN-457 </w:t>
      </w:r>
      <w:r>
        <w:rPr>
          <w:rFonts w:ascii="Arial" w:cs="Arial" w:eastAsia="Arial" w:hAnsi="Arial"/>
          <w:sz w:val="16"/>
          <w:szCs w:val="16"/>
          <w:color w:val="auto"/>
        </w:rPr>
        <w:t>(formerly ARO-XDH) is designed to reduce production of xanthine dehydrogenase (XDH) as a potential treatment for people with uncontrolled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gout. In December 2022, Horizon enrolled its first subject in a Phase 1 randomized, placebo-controlled trial to assess the safety, tolerability, pharmacokinetics and pharmacodynamics of its development-stage medicine HZN-457. The enrollment of its first subject triggered a $15 million milestone payment to Arrowhead.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49" w:lineRule="exact"/>
        <w:rPr>
          <w:sz w:val="20"/>
          <w:szCs w:val="20"/>
          <w:color w:val="auto"/>
        </w:rPr>
      </w:pPr>
    </w:p>
    <w:p>
      <w:pPr>
        <w:ind w:left="320" w:hanging="231"/>
        <w:spacing w:after="0"/>
        <w:tabs>
          <w:tab w:leader="none" w:pos="320" w:val="left"/>
        </w:tabs>
        <w:numPr>
          <w:ilvl w:val="0"/>
          <w:numId w:val="36"/>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$243.2 million, compared to revenues of $138.3 million in fiscal 2021 and $88.0 million in fiscal 2020;</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 Recorded net loss of $176.1 million, compared to net losses of $140.8 million in fiscal 2021 and $84.6 million in fiscal 2020;</w:t>
      </w:r>
    </w:p>
    <w:p>
      <w:pPr>
        <w:spacing w:after="0" w:line="126" w:lineRule="exact"/>
        <w:rPr>
          <w:rFonts w:ascii="Arial" w:cs="Arial" w:eastAsia="Arial" w:hAnsi="Arial"/>
          <w:sz w:val="16"/>
          <w:szCs w:val="16"/>
          <w:color w:val="auto"/>
        </w:rPr>
      </w:pPr>
    </w:p>
    <w:p>
      <w:pPr>
        <w:ind w:left="340" w:hanging="251"/>
        <w:spacing w:after="0" w:line="286" w:lineRule="auto"/>
        <w:tabs>
          <w:tab w:leader="none" w:pos="329"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Loss Per Share </w:t>
      </w:r>
      <w:r>
        <w:rPr>
          <w:rFonts w:ascii="Arial" w:cs="Arial" w:eastAsia="Arial" w:hAnsi="Arial"/>
          <w:sz w:val="16"/>
          <w:szCs w:val="16"/>
          <w:color w:val="auto"/>
        </w:rPr>
        <w:t>— Recorded net loss per share (diluted) of $1.67, compared to net loss per share (diluted) of $1.36 in fiscal 2021 and $0.84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2020;</w:t>
      </w:r>
    </w:p>
    <w:p>
      <w:pPr>
        <w:spacing w:after="0" w:line="47" w:lineRule="exact"/>
        <w:rPr>
          <w:rFonts w:ascii="Arial" w:cs="Arial" w:eastAsia="Arial" w:hAnsi="Arial"/>
          <w:sz w:val="16"/>
          <w:szCs w:val="16"/>
          <w:color w:val="auto"/>
        </w:rPr>
      </w:pPr>
    </w:p>
    <w:p>
      <w:pPr>
        <w:ind w:left="320" w:hanging="231"/>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at end of fiscal 2022 </w:t>
      </w:r>
      <w:r>
        <w:rPr>
          <w:rFonts w:ascii="Arial" w:cs="Arial" w:eastAsia="Arial" w:hAnsi="Arial"/>
          <w:sz w:val="16"/>
          <w:szCs w:val="16"/>
          <w:color w:val="auto"/>
        </w:rPr>
        <w:t>— Cash and investments of cash totaled $482 million at September 30, 2022; and</w:t>
      </w:r>
    </w:p>
    <w:p>
      <w:pPr>
        <w:spacing w:after="0" w:line="126" w:lineRule="exact"/>
        <w:rPr>
          <w:rFonts w:ascii="Arial" w:cs="Arial" w:eastAsia="Arial" w:hAnsi="Arial"/>
          <w:sz w:val="16"/>
          <w:szCs w:val="16"/>
          <w:color w:val="auto"/>
        </w:rPr>
      </w:pPr>
    </w:p>
    <w:p>
      <w:pPr>
        <w:ind w:left="340" w:right="20" w:hanging="251"/>
        <w:spacing w:after="0" w:line="286" w:lineRule="auto"/>
        <w:tabs>
          <w:tab w:leader="none" w:pos="329"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Achieved a three-year total stockholder return (“TSR”) at the 50th percentile of our peer group as measured in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Since 2017, our stockholder return has compared exceptionally well against relevant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47625</wp:posOffset>
            </wp:positionV>
            <wp:extent cx="5254625" cy="32575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comparisons in the above graph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1185545</wp:posOffset>
            </wp:positionV>
            <wp:extent cx="98615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26</w:t>
      </w:r>
    </w:p>
    <w:p>
      <w:pPr>
        <w:sectPr>
          <w:pgSz w:w="11900" w:h="16838" w:orient="portrait"/>
          <w:cols w:equalWidth="0" w:num="1">
            <w:col w:w="11240"/>
          </w:cols>
          <w:pgMar w:left="320" w:top="21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Say-on-Pay Vote and Response to Stockholder Feedback</w:t>
      </w:r>
    </w:p>
    <w:p>
      <w:pPr>
        <w:spacing w:after="0" w:line="1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At our 2022 Annual Meeting of Stockholders, 20.4% of the stockholder votes cast on our non-binding, advisory proposal (the “</w:t>
      </w:r>
      <w:r>
        <w:rPr>
          <w:rFonts w:ascii="Arial" w:cs="Arial" w:eastAsia="Arial" w:hAnsi="Arial"/>
          <w:sz w:val="16"/>
          <w:szCs w:val="16"/>
          <w:b w:val="1"/>
          <w:bCs w:val="1"/>
          <w:color w:val="auto"/>
        </w:rPr>
        <w:t>Say-on-Pay</w:t>
      </w:r>
      <w:r>
        <w:rPr>
          <w:rFonts w:ascii="Arial" w:cs="Arial" w:eastAsia="Arial" w:hAnsi="Arial"/>
          <w:sz w:val="16"/>
          <w:szCs w:val="16"/>
          <w:color w:val="auto"/>
        </w:rPr>
        <w:t>” vote) on the executive compensation program were in favor of the program. Our Board of Directors was disappointed with this result as well as the failure of Dr. Perry, Dr. Ferrari, and Mr. Waddill, members of the Compensation Committee, to receive a majority of the votes cast on their respective re-election to our Board, which</w:t>
      </w:r>
    </w:p>
    <w:p>
      <w:pPr>
        <w:spacing w:after="0" w:line="31"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we believe was largely due to concerns about our executive compensation program. Based on feedback from our stockholders as well as proxy advisory firms, we understand that concerns with our executive compensation program relate primarily to the quantum of equity in our long-term incentive compensation arrangements for our CEO, Dr. Anzalone.</w:t>
      </w:r>
    </w:p>
    <w:p>
      <w:pPr>
        <w:spacing w:after="0" w:line="21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In response to the results of the 2021 and 2022 Say-on-Pay and to address the stockholder concerns that were voiced, the Compensation Committee determined it would revise the equity award that was granted to our CEO on January 2, 2022 (as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CEO’s Fiscal 2022 Equity Award</w:t>
      </w:r>
    </w:p>
    <w:p>
      <w:pPr>
        <w:spacing w:after="0" w:line="1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revising the January 2, 2022 equity award, the Compensation Committee relied on a competitive market analysis prepared by its compensation consultant. The Compensation Committee determined it would seek to revise the equity award to achieve a total direct compensation program meeting that of the median total direct compensation of CEOs among the peer group. The Compensation Committee, after noting the median compensation level of the chief executive officers of the companies in our compensation peer group, opted to limit the size of our CEO’s fiscal 2022 equity award to an amount equal to the difference between this median compensation level and our CEO’s target total cash compensation opportunity for fiscal 2022. After dividing this dollar amount by the market value of our common stock on the proposed date of the grant revision (July 8, 2022), the Compensation Committee revised our CEO’s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equity award from its original 800,000 shares to an award covering a total of 248,083 shares of our common stock, comprising two separate awards.</w:t>
      </w:r>
    </w:p>
    <w:p>
      <w:pPr>
        <w:spacing w:after="0" w:line="21" w:lineRule="exact"/>
        <w:rPr>
          <w:sz w:val="20"/>
          <w:szCs w:val="20"/>
          <w:color w:val="auto"/>
        </w:rPr>
      </w:pPr>
    </w:p>
    <w:p>
      <w:pPr>
        <w:ind w:left="660" w:right="40" w:hanging="328"/>
        <w:spacing w:after="0" w:line="237"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first award representing 40% of the total value of our CEO’s fiscal 2022 equity compensation was granted in the form of a time-based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award covering 99,521 shares, subject to annual service-based vesting over a four-year period beginning on January 1, 2023. Each unit granted pursuant to the RSU award represents a contingent right to receive one share of our common stock for each unit that vests over the four-year vesting period.</w:t>
      </w:r>
    </w:p>
    <w:p>
      <w:pPr>
        <w:spacing w:after="0" w:line="2" w:lineRule="exact"/>
        <w:rPr>
          <w:rFonts w:ascii="Arial" w:cs="Arial" w:eastAsia="Arial" w:hAnsi="Arial"/>
          <w:sz w:val="16"/>
          <w:szCs w:val="16"/>
          <w:color w:val="auto"/>
        </w:rPr>
      </w:pPr>
    </w:p>
    <w:p>
      <w:pPr>
        <w:ind w:left="660" w:right="60" w:hanging="328"/>
        <w:spacing w:after="0" w:line="247"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second award for the remaining 60% of the total value of our CEO’s fiscal 2022 equity incentive was granted in the form of a performance-based RSU (“</w:t>
      </w:r>
      <w:r>
        <w:rPr>
          <w:rFonts w:ascii="Arial" w:cs="Arial" w:eastAsia="Arial" w:hAnsi="Arial"/>
          <w:sz w:val="16"/>
          <w:szCs w:val="16"/>
          <w:b w:val="1"/>
          <w:bCs w:val="1"/>
          <w:color w:val="auto"/>
        </w:rPr>
        <w:t>PRSU</w:t>
      </w:r>
      <w:r>
        <w:rPr>
          <w:rFonts w:ascii="Arial" w:cs="Arial" w:eastAsia="Arial" w:hAnsi="Arial"/>
          <w:sz w:val="16"/>
          <w:szCs w:val="16"/>
          <w:color w:val="auto"/>
        </w:rPr>
        <w:t>”) award covering 149,282 shares eligible to vest upon the achievement of each of three performance goals as follows, but only if each performance goal is achieved on or before July 8, 2026:</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00" w:type="dxa"/>
            <w:vAlign w:val="bottom"/>
            <w:vMerge w:val="restart"/>
            <w:shd w:val="clear" w:color="auto" w:fill="0071CE"/>
          </w:tcPr>
          <w:p>
            <w:pPr>
              <w:ind w:left="1200"/>
              <w:spacing w:after="0"/>
              <w:rPr>
                <w:sz w:val="20"/>
                <w:szCs w:val="20"/>
                <w:color w:val="auto"/>
              </w:rPr>
            </w:pPr>
            <w:r>
              <w:rPr>
                <w:rFonts w:ascii="Arial" w:cs="Arial" w:eastAsia="Arial" w:hAnsi="Arial"/>
                <w:sz w:val="14"/>
                <w:szCs w:val="14"/>
                <w:b w:val="1"/>
                <w:bCs w:val="1"/>
                <w:color w:val="FFFFFF"/>
              </w:rPr>
              <w:t>Performance Goal</w:t>
            </w:r>
          </w:p>
        </w:tc>
        <w:tc>
          <w:tcPr>
            <w:tcW w:w="3280" w:type="dxa"/>
            <w:vAlign w:val="bottom"/>
            <w:shd w:val="clear" w:color="auto" w:fill="0071CE"/>
          </w:tcPr>
          <w:p>
            <w:pPr>
              <w:jc w:val="center"/>
              <w:ind w:right="303"/>
              <w:spacing w:after="0"/>
              <w:rPr>
                <w:sz w:val="20"/>
                <w:szCs w:val="20"/>
                <w:color w:val="auto"/>
              </w:rPr>
            </w:pPr>
            <w:r>
              <w:rPr>
                <w:rFonts w:ascii="Arial" w:cs="Arial" w:eastAsia="Arial" w:hAnsi="Arial"/>
                <w:sz w:val="14"/>
                <w:szCs w:val="14"/>
                <w:b w:val="1"/>
                <w:bCs w:val="1"/>
                <w:color w:val="FFFFFF"/>
              </w:rPr>
              <w:t>Number of Shares That Will Vest Upon</w:t>
            </w:r>
          </w:p>
        </w:tc>
        <w:tc>
          <w:tcPr>
            <w:tcW w:w="2500" w:type="dxa"/>
            <w:vAlign w:val="bottom"/>
            <w:vMerge w:val="restart"/>
            <w:shd w:val="clear" w:color="auto" w:fill="0071CE"/>
          </w:tcPr>
          <w:p>
            <w:pPr>
              <w:jc w:val="center"/>
              <w:ind w:right="241"/>
              <w:spacing w:after="0"/>
              <w:rPr>
                <w:sz w:val="20"/>
                <w:szCs w:val="20"/>
                <w:color w:val="auto"/>
              </w:rPr>
            </w:pPr>
            <w:r>
              <w:rPr>
                <w:rFonts w:ascii="Arial" w:cs="Arial" w:eastAsia="Arial" w:hAnsi="Arial"/>
                <w:sz w:val="14"/>
                <w:szCs w:val="14"/>
                <w:b w:val="1"/>
                <w:bCs w:val="1"/>
                <w:color w:val="FFFFFF"/>
              </w:rPr>
              <w:t>Vesting Deadline</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0071CE"/>
            </w:tcBorders>
            <w:vMerge w:val="continue"/>
            <w:shd w:val="clear" w:color="auto" w:fill="0071CE"/>
          </w:tcPr>
          <w:p>
            <w:pPr>
              <w:spacing w:after="0"/>
              <w:rPr>
                <w:sz w:val="17"/>
                <w:szCs w:val="17"/>
                <w:color w:val="auto"/>
              </w:rPr>
            </w:pPr>
          </w:p>
        </w:tc>
        <w:tc>
          <w:tcPr>
            <w:tcW w:w="3280" w:type="dxa"/>
            <w:vAlign w:val="bottom"/>
            <w:tcBorders>
              <w:bottom w:val="single" w:sz="8" w:color="0071CE"/>
            </w:tcBorders>
            <w:shd w:val="clear" w:color="auto" w:fill="0071CE"/>
          </w:tcPr>
          <w:p>
            <w:pPr>
              <w:jc w:val="center"/>
              <w:ind w:right="303"/>
              <w:spacing w:after="0"/>
              <w:rPr>
                <w:sz w:val="20"/>
                <w:szCs w:val="20"/>
                <w:color w:val="auto"/>
              </w:rPr>
            </w:pPr>
            <w:r>
              <w:rPr>
                <w:rFonts w:ascii="Arial" w:cs="Arial" w:eastAsia="Arial" w:hAnsi="Arial"/>
                <w:sz w:val="14"/>
                <w:szCs w:val="14"/>
                <w:b w:val="1"/>
                <w:bCs w:val="1"/>
                <w:color w:val="FFFFFF"/>
              </w:rPr>
              <w:t>Achievement of Performance Goal (#)</w:t>
            </w:r>
          </w:p>
        </w:tc>
        <w:tc>
          <w:tcPr>
            <w:tcW w:w="2500" w:type="dxa"/>
            <w:vAlign w:val="bottom"/>
            <w:tcBorders>
              <w:bottom w:val="single" w:sz="8" w:color="0071CE"/>
            </w:tcBorders>
            <w:vMerge w:val="continue"/>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ind w:left="20"/>
              <w:spacing w:after="0" w:line="162" w:lineRule="exact"/>
              <w:rPr>
                <w:sz w:val="20"/>
                <w:szCs w:val="20"/>
                <w:color w:val="auto"/>
              </w:rPr>
            </w:pPr>
            <w:r>
              <w:rPr>
                <w:rFonts w:ascii="Arial" w:cs="Arial" w:eastAsia="Arial" w:hAnsi="Arial"/>
                <w:sz w:val="16"/>
                <w:szCs w:val="16"/>
                <w:color w:val="auto"/>
              </w:rPr>
              <w:t>Initiation by the Company of a Phase 3 clinical</w:t>
            </w:r>
          </w:p>
        </w:tc>
        <w:tc>
          <w:tcPr>
            <w:tcW w:w="3280" w:type="dxa"/>
            <w:vAlign w:val="bottom"/>
            <w:shd w:val="clear" w:color="auto" w:fill="E5E5E5"/>
          </w:tcPr>
          <w:p>
            <w:pPr>
              <w:spacing w:after="0"/>
              <w:rPr>
                <w:sz w:val="14"/>
                <w:szCs w:val="14"/>
                <w:color w:val="auto"/>
              </w:rPr>
            </w:pPr>
          </w:p>
        </w:tc>
        <w:tc>
          <w:tcPr>
            <w:tcW w:w="25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ind w:left="20"/>
              <w:spacing w:after="0" w:line="162" w:lineRule="exact"/>
              <w:rPr>
                <w:sz w:val="20"/>
                <w:szCs w:val="20"/>
                <w:color w:val="auto"/>
              </w:rPr>
            </w:pPr>
            <w:r>
              <w:rPr>
                <w:rFonts w:ascii="Arial" w:cs="Arial" w:eastAsia="Arial" w:hAnsi="Arial"/>
                <w:sz w:val="16"/>
                <w:szCs w:val="16"/>
                <w:color w:val="auto"/>
              </w:rPr>
              <w:t>study of an investigation drug for a non-orphan</w:t>
            </w:r>
          </w:p>
        </w:tc>
        <w:tc>
          <w:tcPr>
            <w:tcW w:w="3280" w:type="dxa"/>
            <w:vAlign w:val="bottom"/>
            <w:vMerge w:val="restart"/>
            <w:shd w:val="clear" w:color="auto" w:fill="E5E5E5"/>
          </w:tcPr>
          <w:p>
            <w:pPr>
              <w:jc w:val="center"/>
              <w:ind w:right="303"/>
              <w:spacing w:after="0"/>
              <w:rPr>
                <w:sz w:val="20"/>
                <w:szCs w:val="20"/>
                <w:color w:val="auto"/>
              </w:rPr>
            </w:pPr>
            <w:r>
              <w:rPr>
                <w:rFonts w:ascii="Arial" w:cs="Arial" w:eastAsia="Arial" w:hAnsi="Arial"/>
                <w:sz w:val="16"/>
                <w:szCs w:val="16"/>
                <w:color w:val="auto"/>
              </w:rPr>
              <w:t>49,761</w:t>
            </w:r>
          </w:p>
        </w:tc>
        <w:tc>
          <w:tcPr>
            <w:tcW w:w="2500" w:type="dxa"/>
            <w:vAlign w:val="bottom"/>
            <w:vMerge w:val="restart"/>
            <w:shd w:val="clear" w:color="auto" w:fill="E5E5E5"/>
          </w:tcPr>
          <w:p>
            <w:pPr>
              <w:jc w:val="center"/>
              <w:ind w:right="241"/>
              <w:spacing w:after="0"/>
              <w:rPr>
                <w:sz w:val="20"/>
                <w:szCs w:val="20"/>
                <w:color w:val="auto"/>
              </w:rPr>
            </w:pPr>
            <w:r>
              <w:rPr>
                <w:rFonts w:ascii="Arial" w:cs="Arial" w:eastAsia="Arial" w:hAnsi="Arial"/>
                <w:sz w:val="16"/>
                <w:szCs w:val="16"/>
                <w:color w:val="auto"/>
                <w:w w:val="99"/>
              </w:rPr>
              <w:t>July 8, 2026</w:t>
            </w:r>
          </w:p>
        </w:tc>
        <w:tc>
          <w:tcPr>
            <w:tcW w:w="0" w:type="dxa"/>
            <w:vAlign w:val="bottom"/>
          </w:tcPr>
          <w:p>
            <w:pPr>
              <w:spacing w:after="0"/>
              <w:rPr>
                <w:sz w:val="1"/>
                <w:szCs w:val="1"/>
                <w:color w:val="auto"/>
              </w:rPr>
            </w:pPr>
          </w:p>
        </w:tc>
      </w:tr>
      <w:tr>
        <w:trPr>
          <w:trHeight w:val="216"/>
        </w:trPr>
        <w:tc>
          <w:tcPr>
            <w:tcW w:w="360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indication</w:t>
            </w:r>
          </w:p>
        </w:tc>
        <w:tc>
          <w:tcPr>
            <w:tcW w:w="3280" w:type="dxa"/>
            <w:vAlign w:val="bottom"/>
            <w:vMerge w:val="continue"/>
            <w:shd w:val="clear" w:color="auto" w:fill="E5E5E5"/>
          </w:tcPr>
          <w:p>
            <w:pPr>
              <w:spacing w:after="0"/>
              <w:rPr>
                <w:sz w:val="18"/>
                <w:szCs w:val="18"/>
                <w:color w:val="auto"/>
              </w:rPr>
            </w:pPr>
          </w:p>
        </w:tc>
        <w:tc>
          <w:tcPr>
            <w:tcW w:w="250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ind w:left="20"/>
              <w:spacing w:after="0" w:line="162" w:lineRule="exact"/>
              <w:rPr>
                <w:sz w:val="20"/>
                <w:szCs w:val="20"/>
                <w:color w:val="auto"/>
              </w:rPr>
            </w:pPr>
            <w:r>
              <w:rPr>
                <w:rFonts w:ascii="Arial" w:cs="Arial" w:eastAsia="Arial" w:hAnsi="Arial"/>
                <w:sz w:val="16"/>
                <w:szCs w:val="16"/>
                <w:color w:val="auto"/>
              </w:rPr>
              <w:t>Initiation of a Phase 2 Study by the Company or</w:t>
            </w:r>
          </w:p>
        </w:tc>
        <w:tc>
          <w:tcPr>
            <w:tcW w:w="3280" w:type="dxa"/>
            <w:vAlign w:val="bottom"/>
            <w:shd w:val="clear" w:color="auto" w:fill="E5E5E5"/>
          </w:tcPr>
          <w:p>
            <w:pPr>
              <w:spacing w:after="0"/>
              <w:rPr>
                <w:sz w:val="14"/>
                <w:szCs w:val="14"/>
                <w:color w:val="auto"/>
              </w:rPr>
            </w:pPr>
          </w:p>
        </w:tc>
        <w:tc>
          <w:tcPr>
            <w:tcW w:w="25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ind w:left="20"/>
              <w:spacing w:after="0" w:line="162" w:lineRule="exact"/>
              <w:rPr>
                <w:sz w:val="20"/>
                <w:szCs w:val="20"/>
                <w:color w:val="auto"/>
              </w:rPr>
            </w:pPr>
            <w:r>
              <w:rPr>
                <w:rFonts w:ascii="Arial" w:cs="Arial" w:eastAsia="Arial" w:hAnsi="Arial"/>
                <w:sz w:val="16"/>
                <w:szCs w:val="16"/>
                <w:color w:val="auto"/>
              </w:rPr>
              <w:t>one of its licensees for one of the Company’s</w:t>
            </w:r>
          </w:p>
        </w:tc>
        <w:tc>
          <w:tcPr>
            <w:tcW w:w="3280" w:type="dxa"/>
            <w:vAlign w:val="bottom"/>
            <w:vMerge w:val="restart"/>
            <w:shd w:val="clear" w:color="auto" w:fill="E5E5E5"/>
          </w:tcPr>
          <w:p>
            <w:pPr>
              <w:jc w:val="center"/>
              <w:ind w:right="303"/>
              <w:spacing w:after="0"/>
              <w:rPr>
                <w:sz w:val="20"/>
                <w:szCs w:val="20"/>
                <w:color w:val="auto"/>
              </w:rPr>
            </w:pPr>
            <w:r>
              <w:rPr>
                <w:rFonts w:ascii="Arial" w:cs="Arial" w:eastAsia="Arial" w:hAnsi="Arial"/>
                <w:sz w:val="16"/>
                <w:szCs w:val="16"/>
                <w:color w:val="auto"/>
              </w:rPr>
              <w:t>49,761</w:t>
            </w:r>
          </w:p>
        </w:tc>
        <w:tc>
          <w:tcPr>
            <w:tcW w:w="2500" w:type="dxa"/>
            <w:vAlign w:val="bottom"/>
            <w:vMerge w:val="restart"/>
            <w:shd w:val="clear" w:color="auto" w:fill="E5E5E5"/>
          </w:tcPr>
          <w:p>
            <w:pPr>
              <w:jc w:val="center"/>
              <w:ind w:right="241"/>
              <w:spacing w:after="0"/>
              <w:rPr>
                <w:sz w:val="20"/>
                <w:szCs w:val="20"/>
                <w:color w:val="auto"/>
              </w:rPr>
            </w:pPr>
            <w:r>
              <w:rPr>
                <w:rFonts w:ascii="Arial" w:cs="Arial" w:eastAsia="Arial" w:hAnsi="Arial"/>
                <w:sz w:val="16"/>
                <w:szCs w:val="16"/>
                <w:color w:val="auto"/>
                <w:w w:val="99"/>
              </w:rPr>
              <w:t>July 8, 2026</w:t>
            </w:r>
          </w:p>
        </w:tc>
        <w:tc>
          <w:tcPr>
            <w:tcW w:w="0" w:type="dxa"/>
            <w:vAlign w:val="bottom"/>
          </w:tcPr>
          <w:p>
            <w:pPr>
              <w:spacing w:after="0"/>
              <w:rPr>
                <w:sz w:val="1"/>
                <w:szCs w:val="1"/>
                <w:color w:val="auto"/>
              </w:rPr>
            </w:pPr>
          </w:p>
        </w:tc>
      </w:tr>
      <w:tr>
        <w:trPr>
          <w:trHeight w:val="216"/>
        </w:trPr>
        <w:tc>
          <w:tcPr>
            <w:tcW w:w="3600" w:type="dxa"/>
            <w:vAlign w:val="bottom"/>
            <w:shd w:val="clear" w:color="auto" w:fill="E5E5E5"/>
          </w:tcPr>
          <w:p>
            <w:pPr>
              <w:ind w:left="20"/>
              <w:spacing w:after="0"/>
              <w:rPr>
                <w:sz w:val="20"/>
                <w:szCs w:val="20"/>
                <w:color w:val="auto"/>
              </w:rPr>
            </w:pPr>
            <w:r>
              <w:rPr>
                <w:rFonts w:ascii="Arial" w:cs="Arial" w:eastAsia="Arial" w:hAnsi="Arial"/>
                <w:sz w:val="16"/>
                <w:szCs w:val="16"/>
                <w:color w:val="auto"/>
              </w:rPr>
              <w:t>non-hepatocyte targeted investigational drugs</w:t>
            </w:r>
          </w:p>
        </w:tc>
        <w:tc>
          <w:tcPr>
            <w:tcW w:w="3280" w:type="dxa"/>
            <w:vAlign w:val="bottom"/>
            <w:vMerge w:val="continue"/>
            <w:shd w:val="clear" w:color="auto" w:fill="E5E5E5"/>
          </w:tcPr>
          <w:p>
            <w:pPr>
              <w:spacing w:after="0"/>
              <w:rPr>
                <w:sz w:val="18"/>
                <w:szCs w:val="18"/>
                <w:color w:val="auto"/>
              </w:rPr>
            </w:pPr>
          </w:p>
        </w:tc>
        <w:tc>
          <w:tcPr>
            <w:tcW w:w="250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ind w:left="20"/>
              <w:spacing w:after="0" w:line="162" w:lineRule="exact"/>
              <w:rPr>
                <w:sz w:val="20"/>
                <w:szCs w:val="20"/>
                <w:color w:val="auto"/>
              </w:rPr>
            </w:pPr>
            <w:r>
              <w:rPr>
                <w:rFonts w:ascii="Arial" w:cs="Arial" w:eastAsia="Arial" w:hAnsi="Arial"/>
                <w:sz w:val="16"/>
                <w:szCs w:val="16"/>
                <w:color w:val="auto"/>
              </w:rPr>
              <w:t>Achievement of 15 Arrowhead-discovered drugs</w:t>
            </w:r>
          </w:p>
        </w:tc>
        <w:tc>
          <w:tcPr>
            <w:tcW w:w="3280" w:type="dxa"/>
            <w:vAlign w:val="bottom"/>
            <w:shd w:val="clear" w:color="auto" w:fill="E5E5E5"/>
          </w:tcPr>
          <w:p>
            <w:pPr>
              <w:spacing w:after="0"/>
              <w:rPr>
                <w:sz w:val="14"/>
                <w:szCs w:val="14"/>
                <w:color w:val="auto"/>
              </w:rPr>
            </w:pPr>
          </w:p>
        </w:tc>
        <w:tc>
          <w:tcPr>
            <w:tcW w:w="25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ind w:left="20"/>
              <w:spacing w:after="0" w:line="162" w:lineRule="exact"/>
              <w:rPr>
                <w:sz w:val="20"/>
                <w:szCs w:val="20"/>
                <w:color w:val="auto"/>
              </w:rPr>
            </w:pPr>
            <w:r>
              <w:rPr>
                <w:rFonts w:ascii="Arial" w:cs="Arial" w:eastAsia="Arial" w:hAnsi="Arial"/>
                <w:sz w:val="16"/>
                <w:szCs w:val="16"/>
                <w:color w:val="auto"/>
              </w:rPr>
              <w:t>in clinical study or clinical use (inclusive of</w:t>
            </w:r>
          </w:p>
        </w:tc>
        <w:tc>
          <w:tcPr>
            <w:tcW w:w="3280" w:type="dxa"/>
            <w:vAlign w:val="bottom"/>
            <w:vMerge w:val="restart"/>
            <w:shd w:val="clear" w:color="auto" w:fill="E5E5E5"/>
          </w:tcPr>
          <w:p>
            <w:pPr>
              <w:jc w:val="center"/>
              <w:ind w:right="303"/>
              <w:spacing w:after="0"/>
              <w:rPr>
                <w:sz w:val="20"/>
                <w:szCs w:val="20"/>
                <w:color w:val="auto"/>
              </w:rPr>
            </w:pPr>
            <w:r>
              <w:rPr>
                <w:rFonts w:ascii="Arial" w:cs="Arial" w:eastAsia="Arial" w:hAnsi="Arial"/>
                <w:sz w:val="16"/>
                <w:szCs w:val="16"/>
                <w:color w:val="auto"/>
              </w:rPr>
              <w:t>49,760</w:t>
            </w:r>
          </w:p>
        </w:tc>
        <w:tc>
          <w:tcPr>
            <w:tcW w:w="2500" w:type="dxa"/>
            <w:vAlign w:val="bottom"/>
            <w:vMerge w:val="restart"/>
            <w:shd w:val="clear" w:color="auto" w:fill="E5E5E5"/>
          </w:tcPr>
          <w:p>
            <w:pPr>
              <w:jc w:val="center"/>
              <w:ind w:right="241"/>
              <w:spacing w:after="0"/>
              <w:rPr>
                <w:sz w:val="20"/>
                <w:szCs w:val="20"/>
                <w:color w:val="auto"/>
              </w:rPr>
            </w:pPr>
            <w:r>
              <w:rPr>
                <w:rFonts w:ascii="Arial" w:cs="Arial" w:eastAsia="Arial" w:hAnsi="Arial"/>
                <w:sz w:val="16"/>
                <w:szCs w:val="16"/>
                <w:color w:val="auto"/>
                <w:w w:val="99"/>
              </w:rPr>
              <w:t>July 8, 2026</w:t>
            </w:r>
          </w:p>
        </w:tc>
        <w:tc>
          <w:tcPr>
            <w:tcW w:w="0" w:type="dxa"/>
            <w:vAlign w:val="bottom"/>
          </w:tcPr>
          <w:p>
            <w:pPr>
              <w:spacing w:after="0"/>
              <w:rPr>
                <w:sz w:val="1"/>
                <w:szCs w:val="1"/>
                <w:color w:val="auto"/>
              </w:rPr>
            </w:pPr>
          </w:p>
        </w:tc>
      </w:tr>
      <w:tr>
        <w:trPr>
          <w:trHeight w:val="216"/>
        </w:trPr>
        <w:tc>
          <w:tcPr>
            <w:tcW w:w="3600" w:type="dxa"/>
            <w:vAlign w:val="bottom"/>
            <w:shd w:val="clear" w:color="auto" w:fill="E5E5E5"/>
          </w:tcPr>
          <w:p>
            <w:pPr>
              <w:ind w:left="20"/>
              <w:spacing w:after="0"/>
              <w:rPr>
                <w:sz w:val="20"/>
                <w:szCs w:val="20"/>
                <w:color w:val="auto"/>
              </w:rPr>
            </w:pPr>
            <w:r>
              <w:rPr>
                <w:rFonts w:ascii="Arial" w:cs="Arial" w:eastAsia="Arial" w:hAnsi="Arial"/>
                <w:sz w:val="16"/>
                <w:szCs w:val="16"/>
                <w:color w:val="auto"/>
              </w:rPr>
              <w:t>wholly-owned and outlicensed drugs).</w:t>
            </w:r>
          </w:p>
        </w:tc>
        <w:tc>
          <w:tcPr>
            <w:tcW w:w="3280" w:type="dxa"/>
            <w:vAlign w:val="bottom"/>
            <w:vMerge w:val="continue"/>
            <w:shd w:val="clear" w:color="auto" w:fill="E5E5E5"/>
          </w:tcPr>
          <w:p>
            <w:pPr>
              <w:spacing w:after="0"/>
              <w:rPr>
                <w:sz w:val="18"/>
                <w:szCs w:val="18"/>
                <w:color w:val="auto"/>
              </w:rPr>
            </w:pPr>
          </w:p>
        </w:tc>
        <w:tc>
          <w:tcPr>
            <w:tcW w:w="250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625475</wp:posOffset>
            </wp:positionV>
            <wp:extent cx="98615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27</w:t>
      </w:r>
    </w:p>
    <w:p>
      <w:pPr>
        <w:sectPr>
          <w:pgSz w:w="11900" w:h="16838" w:orient="portrait"/>
          <w:cols w:equalWidth="0" w:num="1">
            <w:col w:w="11240"/>
          </w:cols>
          <w:pgMar w:left="320" w:top="21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believes achievement of these goals represent potential value milestones for the company.</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Each unit granted pursuant to the PRSU award represents a contingent right to receive one share of our common stock for each unit that is earned and vests. In the event that our CEO’s employment with us is terminated for cause before the vesting of all or any portion of his RSU award and/or PRSU award, the then-unvested portion of such awards will immediately terminate and be forfeited.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Engagement</w:t>
      </w:r>
    </w:p>
    <w:p>
      <w:pPr>
        <w:spacing w:after="0" w:line="246"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As an additional response to the results of the Say-On-Pay vote at our 2022 Annual Meeting of Stockholders, our Board directed our Corporate Secretary and the Compensation Committee Chair to reach out to our principal stockholders to discuss and better understand the reasons for their votes, including the concerns about our executive compensation program and the director retention votes for Dr. Perry, Dr. Ferrari, and Mr. Waddill, and to ensure the changes we made to our CEO’s 2022 compensation adequately addressed the concerns leading to the prior voting results. During the summer and fall of 2022, our Corporate Secretary and Mr. Waddill, the Compensation Committee Chair, requested meetings with 25 stockholders (beneficially owning in the aggregate 52% of the outstanding shares of our common stock (or approximately 79% of votes cast at the 2022 Annual Meeting)) to discuss our executive compensation program and their views on other matters related to the Company. Six of those stockholders, which collectively beneficially owned 22% of the outstanding shares of our common stock (or approximately 34% of votes cast at the 2022 Annual Meeting) and were all among our top 20 largest stockholders, spoke to our Corporate Secretary and Mr. Waddill. Of the six stockholders engaging in these discussions, five voted against our 2022 Say-on-Pay proposal and one voted in favor of it. Of those stockholders who voted against our 2022 Say-on-Pay proposal, each stated that their primary concern about the proposal was the quantum of stock awarded to our CEO in fiscal 2021. All six of the stockholders who engaged with us stated that the revisions made mid-2022 to our CEO's equity award in 2022, as well as the Compensation Committee’s commitment that it intended to make a similarly structured award to the CEO in January 2023, and a representation that the Compensation Committee had no present intention to make any future awards inconsistent with that methodology, fully resolved the material concerns of these stockholders that had led to their respective votes in 2022 on named executive officer compensation and director retention.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outreach process:</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Say on Pay Vote:</w:t>
            </w:r>
          </w:p>
        </w:tc>
        <w:tc>
          <w:tcPr>
            <w:tcW w:w="7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March 17, 2022</w:t>
            </w:r>
          </w:p>
        </w:tc>
      </w:tr>
      <w:tr>
        <w:trPr>
          <w:trHeight w:val="237"/>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Say on Pay Support:</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20.4% of votes cast (% of votes For / For + Against)</w:t>
            </w:r>
          </w:p>
        </w:tc>
      </w:tr>
      <w:tr>
        <w:trPr>
          <w:trHeight w:val="236"/>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Engagement Period:</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Between November 2022 and January 2023</w:t>
            </w:r>
          </w:p>
        </w:tc>
      </w:tr>
      <w:tr>
        <w:trPr>
          <w:trHeight w:val="199"/>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Breadth of Outreach:</w:t>
            </w: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Top 25 institutional stockholders representing 52% of outstanding common stock (or approximately 79% of</w:t>
            </w:r>
          </w:p>
        </w:tc>
      </w:tr>
      <w:tr>
        <w:trPr>
          <w:trHeight w:val="215"/>
        </w:trPr>
        <w:tc>
          <w:tcPr>
            <w:tcW w:w="3480" w:type="dxa"/>
            <w:vAlign w:val="bottom"/>
            <w:tcBorders>
              <w:left w:val="single" w:sz="8" w:color="auto"/>
              <w:right w:val="single" w:sz="8" w:color="auto"/>
            </w:tcBorders>
          </w:tcPr>
          <w:p>
            <w:pPr>
              <w:spacing w:after="0"/>
              <w:rPr>
                <w:sz w:val="18"/>
                <w:szCs w:val="18"/>
                <w:color w:val="auto"/>
              </w:rPr>
            </w:pP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votes cast at the 2022 Annual Meeting)</w:t>
            </w:r>
          </w:p>
        </w:tc>
      </w:tr>
      <w:tr>
        <w:trPr>
          <w:trHeight w:val="29"/>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7780" w:type="dxa"/>
            <w:vAlign w:val="bottom"/>
            <w:tcBorders>
              <w:bottom w:val="single" w:sz="8" w:color="auto"/>
              <w:right w:val="single" w:sz="8" w:color="auto"/>
            </w:tcBorders>
          </w:tcPr>
          <w:p>
            <w:pPr>
              <w:spacing w:after="0"/>
              <w:rPr>
                <w:sz w:val="2"/>
                <w:szCs w:val="2"/>
                <w:color w:val="auto"/>
              </w:rPr>
            </w:pPr>
          </w:p>
        </w:tc>
      </w:tr>
      <w:tr>
        <w:trPr>
          <w:trHeight w:val="19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Breadth of Engagement:</w:t>
            </w: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Five stockholders, four of which voted against Say on Pay at the 2022 Annual Meeting, representing 21% of</w:t>
            </w:r>
          </w:p>
        </w:tc>
      </w:tr>
      <w:tr>
        <w:trPr>
          <w:trHeight w:val="203"/>
        </w:trPr>
        <w:tc>
          <w:tcPr>
            <w:tcW w:w="3480" w:type="dxa"/>
            <w:vAlign w:val="bottom"/>
            <w:tcBorders>
              <w:left w:val="single" w:sz="8" w:color="auto"/>
              <w:right w:val="single" w:sz="8" w:color="auto"/>
            </w:tcBorders>
          </w:tcPr>
          <w:p>
            <w:pPr>
              <w:spacing w:after="0"/>
              <w:rPr>
                <w:sz w:val="17"/>
                <w:szCs w:val="17"/>
                <w:color w:val="auto"/>
              </w:rPr>
            </w:pP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outstanding common stock (or approximately 33% of our votes cast at the 2022 Annual Meeting). During</w:t>
            </w:r>
          </w:p>
        </w:tc>
      </w:tr>
      <w:tr>
        <w:trPr>
          <w:trHeight w:val="189"/>
        </w:trPr>
        <w:tc>
          <w:tcPr>
            <w:tcW w:w="3480" w:type="dxa"/>
            <w:vAlign w:val="bottom"/>
            <w:tcBorders>
              <w:left w:val="single" w:sz="8" w:color="auto"/>
              <w:right w:val="single" w:sz="8" w:color="auto"/>
            </w:tcBorders>
          </w:tcPr>
          <w:p>
            <w:pPr>
              <w:spacing w:after="0"/>
              <w:rPr>
                <w:sz w:val="16"/>
                <w:szCs w:val="16"/>
                <w:color w:val="auto"/>
              </w:rPr>
            </w:pP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our Fall 2022 outreach, three institutional investors representing approximately 12.5% of our outstanding</w:t>
            </w:r>
          </w:p>
        </w:tc>
      </w:tr>
      <w:tr>
        <w:trPr>
          <w:trHeight w:val="203"/>
        </w:trPr>
        <w:tc>
          <w:tcPr>
            <w:tcW w:w="3480" w:type="dxa"/>
            <w:vAlign w:val="bottom"/>
            <w:tcBorders>
              <w:left w:val="single" w:sz="8" w:color="auto"/>
              <w:right w:val="single" w:sz="8" w:color="auto"/>
            </w:tcBorders>
          </w:tcPr>
          <w:p>
            <w:pPr>
              <w:spacing w:after="0"/>
              <w:rPr>
                <w:sz w:val="17"/>
                <w:szCs w:val="17"/>
                <w:color w:val="auto"/>
              </w:rPr>
            </w:pP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 including our second largest institutional investor owning approximately 9.5% of our</w:t>
            </w:r>
          </w:p>
        </w:tc>
      </w:tr>
      <w:tr>
        <w:trPr>
          <w:trHeight w:val="189"/>
        </w:trPr>
        <w:tc>
          <w:tcPr>
            <w:tcW w:w="3480" w:type="dxa"/>
            <w:vAlign w:val="bottom"/>
            <w:tcBorders>
              <w:left w:val="single" w:sz="8" w:color="auto"/>
              <w:right w:val="single" w:sz="8" w:color="auto"/>
            </w:tcBorders>
          </w:tcPr>
          <w:p>
            <w:pPr>
              <w:spacing w:after="0"/>
              <w:rPr>
                <w:sz w:val="16"/>
                <w:szCs w:val="16"/>
                <w:color w:val="auto"/>
              </w:rPr>
            </w:pPr>
          </w:p>
        </w:tc>
        <w:tc>
          <w:tcPr>
            <w:tcW w:w="7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outstanding common stock, declined to have a call with us. All three of those investors voted against Say on</w:t>
            </w:r>
          </w:p>
        </w:tc>
      </w:tr>
      <w:tr>
        <w:trPr>
          <w:trHeight w:val="224"/>
        </w:trPr>
        <w:tc>
          <w:tcPr>
            <w:tcW w:w="3480" w:type="dxa"/>
            <w:vAlign w:val="bottom"/>
            <w:tcBorders>
              <w:left w:val="single" w:sz="8" w:color="auto"/>
              <w:bottom w:val="single" w:sz="8" w:color="auto"/>
              <w:right w:val="single" w:sz="8" w:color="auto"/>
            </w:tcBorders>
          </w:tcPr>
          <w:p>
            <w:pPr>
              <w:spacing w:after="0"/>
              <w:rPr>
                <w:sz w:val="19"/>
                <w:szCs w:val="19"/>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Pay and our directors, but did not provide us with feedback on our responsiveness.</w:t>
            </w:r>
          </w:p>
        </w:tc>
      </w:tr>
      <w:tr>
        <w:trPr>
          <w:trHeight w:val="239"/>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Participants:</w:t>
            </w: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Mr. Waddill, the Compensation Committee Chair, and our Corporate Secretary</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stockholder feedback:</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What We Heard</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How We Responded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28</w:t>
      </w:r>
    </w:p>
    <w:p>
      <w:pPr>
        <w:sectPr>
          <w:pgSz w:w="11900" w:h="16838" w:orient="portrait"/>
          <w:cols w:equalWidth="0" w:num="1">
            <w:col w:w="11260"/>
          </w:cols>
          <w:pgMar w:left="320" w:top="21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ind w:left="7600"/>
        <w:spacing w:after="0"/>
        <w:tabs>
          <w:tab w:leader="none" w:pos="95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those stockholders who voted against our 2022 Say-on-Pay proposal,</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 noted above, in July 2022, the Compensation Committee revised our</w:t>
            </w:r>
          </w:p>
        </w:tc>
      </w:tr>
      <w:tr>
        <w:trPr>
          <w:trHeight w:val="203"/>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each stated that their primary concern was the quantum of stock awarded to</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CEO’s compensation to the median compensation of his peers by revising his</w:t>
            </w:r>
          </w:p>
        </w:tc>
      </w:tr>
      <w:tr>
        <w:trPr>
          <w:trHeight w:val="189"/>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CEO in 2021.</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equity award from its original 800,000 shares to an award covering a total of</w:t>
            </w:r>
          </w:p>
        </w:tc>
      </w:tr>
      <w:tr>
        <w:trPr>
          <w:trHeight w:val="215"/>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248,083 shares of our common stock, comprising two separate awards.</w:t>
            </w:r>
          </w:p>
        </w:tc>
      </w:tr>
      <w:tr>
        <w:trPr>
          <w:trHeight w:val="366"/>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 six of the stockholders who engaged with the Company stated that the</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revisions made mid-2022 to the CEO stock award in 2022, as well as the</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Compensation Committee’s commitment that would not make a similar award</w:t>
            </w: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 the CEO in January 2023, and a representation that the Compensation</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Committee had no present intention to deviate from a median total</w:t>
            </w: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compensation strategy, fully resolved any material concerns they had leading</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 their respective votes in 2022 on executive compensation and director</w:t>
            </w:r>
          </w:p>
        </w:tc>
      </w:tr>
      <w:tr>
        <w:trPr>
          <w:trHeight w:val="215"/>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retention.</w:t>
            </w: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195"/>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Stockholders requested that we provide additional disclosure around our</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xml:space="preserve">As described further below under </w:t>
            </w:r>
            <w:r>
              <w:rPr>
                <w:rFonts w:ascii="Arial" w:cs="Arial" w:eastAsia="Arial" w:hAnsi="Arial"/>
                <w:sz w:val="16"/>
                <w:szCs w:val="16"/>
                <w:i w:val="1"/>
                <w:iCs w:val="1"/>
                <w:color w:val="auto"/>
              </w:rPr>
              <w:t>Annual Incentive Compensation</w:t>
            </w:r>
            <w:r>
              <w:rPr>
                <w:rFonts w:ascii="Arial" w:cs="Arial" w:eastAsia="Arial" w:hAnsi="Arial"/>
                <w:sz w:val="16"/>
                <w:szCs w:val="16"/>
                <w:color w:val="auto"/>
              </w:rPr>
              <w:t>, the</w:t>
            </w:r>
          </w:p>
        </w:tc>
      </w:tr>
      <w:tr>
        <w:trPr>
          <w:trHeight w:val="203"/>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annual incentive goals.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Compensation Committee provided enhanced disclosure of the qualitative</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objectives, including specific targets and achievements, taking into account</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being respectful of the competitive harm that could occur by disclosing</w:t>
            </w:r>
          </w:p>
        </w:tc>
      </w:tr>
      <w:tr>
        <w:trPr>
          <w:trHeight w:val="215"/>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sensitive R&amp;D achievements.</w:t>
            </w: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195"/>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One Stockholder expressed concern that our Board lacked a sufficient</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 May 2022 the Board added another woman. The Stockholder expressed</w:t>
            </w:r>
          </w:p>
        </w:tc>
      </w:tr>
      <w:tr>
        <w:trPr>
          <w:trHeight w:val="215"/>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number of women.</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satisfaction with the Board’s efforts toward diversification.</w:t>
            </w: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Aggressive Performance Fueled by Incentives</w:t>
      </w:r>
    </w:p>
    <w:p>
      <w:pPr>
        <w:spacing w:after="0" w:line="22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Compensation Committee expects and has observed aggressive performance from the entire executive management team as evidenced by stockholder return as compared against major indices and our compensation peer group. Our philosophy has been to foster this expectation with reasonably aggressive incentive compensation. Based on our overall operating environment, feedback from our stockholders, and stockholder return results, in addition to the modifications to our CEO's compensation described above, the Compensation Committee took the following key actions and maintained key policies with respect to the compensation of all of our NEOs for fiscal 2022:</w:t>
      </w:r>
    </w:p>
    <w:p>
      <w:pPr>
        <w:spacing w:after="0" w:line="93" w:lineRule="exact"/>
        <w:rPr>
          <w:sz w:val="20"/>
          <w:szCs w:val="20"/>
          <w:color w:val="auto"/>
        </w:rPr>
      </w:pPr>
    </w:p>
    <w:p>
      <w:pPr>
        <w:ind w:left="320" w:hanging="231"/>
        <w:spacing w:after="0"/>
        <w:tabs>
          <w:tab w:leader="none" w:pos="320" w:val="left"/>
        </w:tabs>
        <w:numPr>
          <w:ilvl w:val="0"/>
          <w:numId w:val="3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 </w:t>
      </w:r>
      <w:r>
        <w:rPr>
          <w:rFonts w:ascii="Arial" w:cs="Arial" w:eastAsia="Arial" w:hAnsi="Arial"/>
          <w:sz w:val="16"/>
          <w:szCs w:val="16"/>
          <w:color w:val="auto"/>
        </w:rPr>
        <w:t>Approved base salary increases for our current NEOs based on performance and market adjustments.</w:t>
      </w:r>
    </w:p>
    <w:p>
      <w:pPr>
        <w:spacing w:after="0" w:line="248" w:lineRule="exact"/>
        <w:rPr>
          <w:rFonts w:ascii="Arial" w:cs="Arial" w:eastAsia="Arial" w:hAnsi="Arial"/>
          <w:sz w:val="16"/>
          <w:szCs w:val="16"/>
          <w:color w:val="0071CE"/>
        </w:rPr>
      </w:pPr>
    </w:p>
    <w:p>
      <w:pPr>
        <w:jc w:val="both"/>
        <w:ind w:left="340" w:right="40" w:hanging="251"/>
        <w:spacing w:after="0" w:line="275"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Certified performance and approved annual cash bonuses for our NEOs for fiscal 2022 in amounts of up to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their target annual cash incentive compensation opportunities, including an annual cash bonus for our CEO in the amount of $783,315, equal to 90% of his target annual cash incentive compensation opportunity.</w:t>
      </w:r>
    </w:p>
    <w:p>
      <w:pPr>
        <w:spacing w:after="0" w:line="42" w:lineRule="exact"/>
        <w:rPr>
          <w:rFonts w:ascii="Arial" w:cs="Arial" w:eastAsia="Arial" w:hAnsi="Arial"/>
          <w:sz w:val="16"/>
          <w:szCs w:val="16"/>
          <w:color w:val="0071CE"/>
        </w:rPr>
      </w:pPr>
    </w:p>
    <w:p>
      <w:pPr>
        <w:jc w:val="both"/>
        <w:ind w:left="340" w:right="20" w:hanging="251"/>
        <w:spacing w:after="0" w:line="247"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In addition to the modified equity award for our CEO described above, the Compensation Committee granted our other NEOs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incentive compensation opportunities in the form of time-based RSU awards that may be settled for shares of our common stock with grant date values ranging from $2.0 million to $2.3 million. The awards vest in four equal annual installments beginning in 2023.</w:t>
      </w:r>
    </w:p>
    <w:p>
      <w:pPr>
        <w:spacing w:after="0" w:line="1" w:lineRule="exact"/>
        <w:rPr>
          <w:rFonts w:ascii="Arial" w:cs="Arial" w:eastAsia="Arial" w:hAnsi="Arial"/>
          <w:sz w:val="16"/>
          <w:szCs w:val="16"/>
          <w:color w:val="0071CE"/>
        </w:rPr>
      </w:pPr>
    </w:p>
    <w:p>
      <w:pPr>
        <w:jc w:val="both"/>
        <w:ind w:left="340" w:right="20" w:hanging="251"/>
        <w:spacing w:after="0" w:line="283"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a clawback policy allowing Arrowhead to recover incentive compensation from our executive officers should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that a material misstatement of our financial statements was due to fraud, negligence or intentional misconduct by any such executive officer.</w:t>
      </w:r>
    </w:p>
    <w:p>
      <w:pPr>
        <w:spacing w:after="0" w:line="36" w:lineRule="exact"/>
        <w:rPr>
          <w:rFonts w:ascii="Arial" w:cs="Arial" w:eastAsia="Arial" w:hAnsi="Arial"/>
          <w:sz w:val="16"/>
          <w:szCs w:val="16"/>
          <w:color w:val="0071CE"/>
        </w:rPr>
      </w:pPr>
    </w:p>
    <w:p>
      <w:pPr>
        <w:ind w:left="340" w:right="240" w:hanging="251"/>
        <w:spacing w:after="0" w:line="286"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 Maintained guidelines mandating ownership of Arrowhead stock in amounts equal to, for our CEO, six times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and, for our CFO, two times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622300</wp:posOffset>
            </wp:positionV>
            <wp:extent cx="98615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29</w:t>
      </w:r>
    </w:p>
    <w:p>
      <w:pPr>
        <w:sectPr>
          <w:pgSz w:w="11900" w:h="16838" w:orient="portrait"/>
          <w:cols w:equalWidth="0" w:num="1">
            <w:col w:w="11260"/>
          </w:cols>
          <w:pgMar w:left="320" w:top="21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40" w:hanging="251"/>
        <w:spacing w:after="0" w:line="275" w:lineRule="auto"/>
        <w:tabs>
          <w:tab w:leader="none" w:pos="329" w:val="left"/>
        </w:tabs>
        <w:numPr>
          <w:ilvl w:val="0"/>
          <w:numId w:val="39"/>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2013 and 2021 Incentive Plans to provide that, upon a change in control of Arrowhead, the vesting of such awards will accelerate only in the event of a subsequent involuntary termination of employment (i.e., on a “double-trigger” basis).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our 2019 Annual Meeting of Stockholders, we asked our stockholders to recommend the frequency of future Say-on-Pay stockholder advisory votes on the compensation of our NEOs. Our stockholders recommended an annual Say-on-Pay non-binding vote, and our Board of Directors has decided continue to follow that recommendation.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Pay-for-Performance Analysis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objective of aligning their interests with those of our stockholders. To ensure this alignment and to motivate and reward individual initiative and effort, a significant portion of our executive officers’ target total direct compensation opportunity is both performance-based and “at-risk.”</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NEOs, through two separate compensation elements:</w:t>
      </w:r>
    </w:p>
    <w:p>
      <w:pPr>
        <w:spacing w:after="0" w:line="75" w:lineRule="exact"/>
        <w:rPr>
          <w:sz w:val="20"/>
          <w:szCs w:val="20"/>
          <w:color w:val="auto"/>
        </w:rPr>
      </w:pPr>
    </w:p>
    <w:p>
      <w:pPr>
        <w:ind w:left="340" w:right="20" w:hanging="251"/>
        <w:spacing w:after="0" w:line="304" w:lineRule="auto"/>
        <w:tabs>
          <w:tab w:leader="none" w:pos="329"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executive officers produce short-term financial, operational, and strategic results that meet or exceed the objectives set forth each year in our annual operating plan.</w:t>
      </w:r>
    </w:p>
    <w:p>
      <w:pPr>
        <w:spacing w:after="0" w:line="33"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For our CEO in fiscal 2022, as described above, 60% of his equity award is to be earned based on the achievement of pre-established corporate objectives that are substantial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our success in partnering with strategic collaborators to bring them to market. Consequently, the Compensation Committee strives to incent our executive officers to create that value through the discovery and development of a robust and attractive pipeline of drug candidates. To achieve that end, our executive compensation program is designed to provide incentives that facilitate these efforts. Particularly for our CEO, the Compensation Committee has awarded 60% of his long term incentive compensation as performance-based equity awards designed to produce stockholder value. The Compensation Committee closely tracks the progress against these objectives and, in conjunction with the independent members of our Board, ensures the objectives are met using sound, ethical business practices before certifying performance achievement of the awards.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487680</wp:posOffset>
            </wp:positionV>
            <wp:extent cx="9861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30</w:t>
      </w:r>
    </w:p>
    <w:p>
      <w:pPr>
        <w:sectPr>
          <w:pgSz w:w="11900" w:h="16838" w:orient="portrait"/>
          <w:cols w:equalWidth="0" w:num="1">
            <w:col w:w="11240"/>
          </w:cols>
          <w:pgMar w:left="320" w:top="2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3471545"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7154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FFFFFF"/>
        </w:rPr>
        <w:t>WHAT WE DO</w:t>
      </w:r>
    </w:p>
    <w:p>
      <w:pPr>
        <w:spacing w:after="0" w:line="111" w:lineRule="exact"/>
        <w:rPr>
          <w:sz w:val="20"/>
          <w:szCs w:val="20"/>
          <w:color w:val="auto"/>
        </w:rPr>
      </w:pPr>
    </w:p>
    <w:p>
      <w:pPr>
        <w:ind w:left="460" w:right="80" w:hanging="323"/>
        <w:spacing w:after="0" w:line="187"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Maintain an Independent Compensation Committee.</w:t>
      </w:r>
      <w:r>
        <w:rPr>
          <w:rFonts w:ascii="Arial" w:cs="Arial" w:eastAsia="Arial" w:hAnsi="Arial"/>
          <w:sz w:val="15"/>
          <w:szCs w:val="15"/>
          <w:color w:val="auto"/>
        </w:rPr>
        <w:t xml:space="preserve"> The Compensation Committee consists solely of independent directors.</w:t>
      </w:r>
    </w:p>
    <w:p>
      <w:pPr>
        <w:spacing w:after="0" w:line="31"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Retain an Independent Compensation Advisor.</w:t>
      </w:r>
      <w:r>
        <w:rPr>
          <w:rFonts w:ascii="Arial" w:cs="Arial" w:eastAsia="Arial" w:hAnsi="Arial"/>
          <w:sz w:val="15"/>
          <w:szCs w:val="15"/>
          <w:color w:val="auto"/>
        </w:rPr>
        <w:t xml:space="preserve"> The Compensation</w:t>
      </w:r>
    </w:p>
    <w:p>
      <w:pPr>
        <w:spacing w:after="0" w:line="29" w:lineRule="exact"/>
        <w:rPr>
          <w:sz w:val="20"/>
          <w:szCs w:val="20"/>
          <w:color w:val="auto"/>
        </w:rPr>
      </w:pPr>
    </w:p>
    <w:p>
      <w:pPr>
        <w:ind w:left="460" w:right="20"/>
        <w:spacing w:after="0" w:line="212" w:lineRule="auto"/>
        <w:rPr>
          <w:sz w:val="20"/>
          <w:szCs w:val="20"/>
          <w:color w:val="auto"/>
        </w:rPr>
      </w:pPr>
      <w:r>
        <w:rPr>
          <w:rFonts w:ascii="Arial" w:cs="Arial" w:eastAsia="Arial" w:hAnsi="Arial"/>
          <w:sz w:val="15"/>
          <w:szCs w:val="15"/>
          <w:color w:val="auto"/>
        </w:rPr>
        <w:t>Committee engaged its own compensation advisor to provide information and analysis with its fiscal 2022 compensation review, and other advice on executive compensation independent of management. This consultant</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performed no consulting or other services for us in fiscal 2022.</w:t>
      </w:r>
    </w:p>
    <w:p>
      <w:pPr>
        <w:spacing w:after="0" w:line="44" w:lineRule="exact"/>
        <w:rPr>
          <w:sz w:val="20"/>
          <w:szCs w:val="20"/>
          <w:color w:val="auto"/>
        </w:rPr>
      </w:pPr>
    </w:p>
    <w:p>
      <w:pPr>
        <w:ind w:left="460" w:right="80" w:hanging="323"/>
        <w:spacing w:after="0" w:line="175"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Annual Executive Compensation Review.</w:t>
      </w:r>
      <w:r>
        <w:rPr>
          <w:rFonts w:ascii="Arial" w:cs="Arial" w:eastAsia="Arial" w:hAnsi="Arial"/>
          <w:sz w:val="15"/>
          <w:szCs w:val="15"/>
          <w:color w:val="auto"/>
        </w:rPr>
        <w:t xml:space="preserve"> The Compensation Committee conducts an annual review and approval of our compensation strategy,</w:t>
      </w:r>
    </w:p>
    <w:p>
      <w:pPr>
        <w:spacing w:after="0" w:line="1" w:lineRule="exact"/>
        <w:rPr>
          <w:sz w:val="20"/>
          <w:szCs w:val="20"/>
          <w:color w:val="auto"/>
        </w:rPr>
      </w:pPr>
    </w:p>
    <w:p>
      <w:pPr>
        <w:ind w:left="460"/>
        <w:spacing w:after="0" w:line="212" w:lineRule="auto"/>
        <w:rPr>
          <w:sz w:val="20"/>
          <w:szCs w:val="20"/>
          <w:color w:val="auto"/>
        </w:rPr>
      </w:pPr>
      <w:r>
        <w:rPr>
          <w:rFonts w:ascii="Arial" w:cs="Arial" w:eastAsia="Arial" w:hAnsi="Arial"/>
          <w:sz w:val="15"/>
          <w:szCs w:val="15"/>
          <w:color w:val="auto"/>
        </w:rPr>
        <w:t>including a review and determination of our compensation peer group and a review of our compensation-related risk profile to ensure that our compensation programs do not encourage excessive or inappropriate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risk-taking.</w:t>
      </w:r>
    </w:p>
    <w:p>
      <w:pPr>
        <w:spacing w:after="0" w:line="44" w:lineRule="exact"/>
        <w:rPr>
          <w:sz w:val="20"/>
          <w:szCs w:val="20"/>
          <w:color w:val="auto"/>
        </w:rPr>
      </w:pPr>
    </w:p>
    <w:p>
      <w:pPr>
        <w:ind w:left="460" w:right="80" w:hanging="323"/>
        <w:spacing w:after="0" w:line="175"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Compensation At-Risk.</w:t>
      </w:r>
      <w:r>
        <w:rPr>
          <w:rFonts w:ascii="Arial" w:cs="Arial" w:eastAsia="Arial" w:hAnsi="Arial"/>
          <w:sz w:val="15"/>
          <w:szCs w:val="15"/>
          <w:color w:val="auto"/>
        </w:rPr>
        <w:t xml:space="preserve"> Our executive compensation program is designed so that a significant portion of compensation is “at risk” based on our</w:t>
      </w:r>
    </w:p>
    <w:p>
      <w:pPr>
        <w:spacing w:after="0" w:line="1" w:lineRule="exact"/>
        <w:rPr>
          <w:sz w:val="20"/>
          <w:szCs w:val="20"/>
          <w:color w:val="auto"/>
        </w:rPr>
      </w:pPr>
    </w:p>
    <w:p>
      <w:pPr>
        <w:ind w:left="460" w:right="100"/>
        <w:spacing w:after="0" w:line="233" w:lineRule="auto"/>
        <w:rPr>
          <w:sz w:val="20"/>
          <w:szCs w:val="20"/>
          <w:color w:val="auto"/>
        </w:rPr>
      </w:pPr>
      <w:r>
        <w:rPr>
          <w:rFonts w:ascii="Arial" w:cs="Arial" w:eastAsia="Arial" w:hAnsi="Arial"/>
          <w:sz w:val="15"/>
          <w:szCs w:val="15"/>
          <w:color w:val="auto"/>
        </w:rPr>
        <w:t>performance, as well as short-term cash and long-term equity incentives to align the interests of our executive officers and stockholders.</w:t>
      </w:r>
    </w:p>
    <w:p>
      <w:pPr>
        <w:spacing w:after="0" w:line="44" w:lineRule="exact"/>
        <w:rPr>
          <w:sz w:val="20"/>
          <w:szCs w:val="20"/>
          <w:color w:val="auto"/>
        </w:rPr>
      </w:pPr>
    </w:p>
    <w:p>
      <w:pPr>
        <w:ind w:left="460" w:right="20" w:hanging="323"/>
        <w:spacing w:after="0" w:line="187"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CEO Annual Incentive Compensation Cap.</w:t>
      </w:r>
      <w:r>
        <w:rPr>
          <w:rFonts w:ascii="Arial" w:cs="Arial" w:eastAsia="Arial" w:hAnsi="Arial"/>
          <w:sz w:val="15"/>
          <w:szCs w:val="15"/>
          <w:color w:val="auto"/>
        </w:rPr>
        <w:t xml:space="preserve"> Our CEO’s annual cash incentive compensation opportunity is capped at 150% of his base salary.</w:t>
      </w:r>
    </w:p>
    <w:p>
      <w:pPr>
        <w:spacing w:after="0" w:line="31"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Stock Ownership Policy.</w:t>
      </w:r>
      <w:r>
        <w:rPr>
          <w:rFonts w:ascii="Arial" w:cs="Arial" w:eastAsia="Arial" w:hAnsi="Arial"/>
          <w:sz w:val="15"/>
          <w:szCs w:val="15"/>
          <w:color w:val="auto"/>
        </w:rPr>
        <w:t xml:space="preserve"> We maintain a stock ownership policy that</w:t>
      </w:r>
    </w:p>
    <w:p>
      <w:pPr>
        <w:spacing w:after="0" w:line="29" w:lineRule="exact"/>
        <w:rPr>
          <w:sz w:val="20"/>
          <w:szCs w:val="20"/>
          <w:color w:val="auto"/>
        </w:rPr>
      </w:pPr>
    </w:p>
    <w:p>
      <w:pPr>
        <w:ind w:left="460" w:right="20"/>
        <w:spacing w:after="0" w:line="233" w:lineRule="auto"/>
        <w:rPr>
          <w:sz w:val="20"/>
          <w:szCs w:val="20"/>
          <w:color w:val="auto"/>
        </w:rPr>
      </w:pPr>
      <w:r>
        <w:rPr>
          <w:rFonts w:ascii="Arial" w:cs="Arial" w:eastAsia="Arial" w:hAnsi="Arial"/>
          <w:sz w:val="15"/>
          <w:szCs w:val="15"/>
          <w:color w:val="auto"/>
        </w:rPr>
        <w:t>requires our CEO and CFO to maintain a minimum ownership level of our common stock.</w:t>
      </w:r>
    </w:p>
    <w:p>
      <w:pPr>
        <w:spacing w:after="0" w:line="31"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Compensation Recovery (“Clawback”) Policy.</w:t>
      </w:r>
      <w:r>
        <w:rPr>
          <w:rFonts w:ascii="Arial" w:cs="Arial" w:eastAsia="Arial" w:hAnsi="Arial"/>
          <w:sz w:val="15"/>
          <w:szCs w:val="15"/>
          <w:color w:val="auto"/>
        </w:rPr>
        <w:t xml:space="preserve"> We have established a</w:t>
      </w:r>
    </w:p>
    <w:p>
      <w:pPr>
        <w:spacing w:after="0" w:line="29" w:lineRule="exact"/>
        <w:rPr>
          <w:sz w:val="20"/>
          <w:szCs w:val="20"/>
          <w:color w:val="auto"/>
        </w:rPr>
      </w:pPr>
    </w:p>
    <w:p>
      <w:pPr>
        <w:jc w:val="both"/>
        <w:ind w:left="460" w:right="200"/>
        <w:spacing w:after="0" w:line="212" w:lineRule="auto"/>
        <w:rPr>
          <w:sz w:val="20"/>
          <w:szCs w:val="20"/>
          <w:color w:val="auto"/>
        </w:rPr>
      </w:pPr>
      <w:r>
        <w:rPr>
          <w:rFonts w:ascii="Arial" w:cs="Arial" w:eastAsia="Arial" w:hAnsi="Arial"/>
          <w:sz w:val="15"/>
          <w:szCs w:val="15"/>
          <w:color w:val="auto"/>
        </w:rPr>
        <w:t>clawback policy allowing us to recover compensation should our Board determine that a material misstatement of our financial statements was due to fraud, negligence or intentional misconduct by any executive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officer of the Company.</w:t>
      </w:r>
    </w:p>
    <w:p>
      <w:pPr>
        <w:spacing w:after="0" w:line="44"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Conduct an Annual Stockholder Advisory Vote on NEO</w:t>
      </w:r>
    </w:p>
    <w:p>
      <w:pPr>
        <w:spacing w:after="0" w:line="29" w:lineRule="exact"/>
        <w:rPr>
          <w:sz w:val="20"/>
          <w:szCs w:val="20"/>
          <w:color w:val="auto"/>
        </w:rPr>
      </w:pPr>
    </w:p>
    <w:p>
      <w:pPr>
        <w:ind w:left="460" w:right="80"/>
        <w:spacing w:after="0" w:line="233" w:lineRule="auto"/>
        <w:rPr>
          <w:sz w:val="20"/>
          <w:szCs w:val="20"/>
          <w:color w:val="auto"/>
        </w:rPr>
      </w:pPr>
      <w:r>
        <w:rPr>
          <w:rFonts w:ascii="Arial" w:cs="Arial" w:eastAsia="Arial" w:hAnsi="Arial"/>
          <w:sz w:val="15"/>
          <w:szCs w:val="15"/>
          <w:b w:val="1"/>
          <w:bCs w:val="1"/>
          <w:i w:val="1"/>
          <w:iCs w:val="1"/>
          <w:color w:val="0071CE"/>
        </w:rPr>
        <w:t xml:space="preserve">Compensation. </w:t>
      </w:r>
      <w:r>
        <w:rPr>
          <w:rFonts w:ascii="Arial" w:cs="Arial" w:eastAsia="Arial" w:hAnsi="Arial"/>
          <w:sz w:val="15"/>
          <w:szCs w:val="15"/>
          <w:color w:val="000000"/>
        </w:rPr>
        <w:t>We conduct an annual stockholder advisory vote on 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of our NEOs.</w:t>
      </w:r>
    </w:p>
    <w:p>
      <w:pPr>
        <w:spacing w:after="0" w:line="31"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Use a Pay-for-Performance Philosophy.</w:t>
      </w:r>
      <w:r>
        <w:rPr>
          <w:rFonts w:ascii="Arial" w:cs="Arial" w:eastAsia="Arial" w:hAnsi="Arial"/>
          <w:sz w:val="15"/>
          <w:szCs w:val="15"/>
          <w:color w:val="auto"/>
        </w:rPr>
        <w:t xml:space="preserve"> The majority of our CEO’s</w:t>
      </w:r>
    </w:p>
    <w:p>
      <w:pPr>
        <w:spacing w:after="0" w:line="29" w:lineRule="exact"/>
        <w:rPr>
          <w:sz w:val="20"/>
          <w:szCs w:val="20"/>
          <w:color w:val="auto"/>
        </w:rPr>
      </w:pPr>
    </w:p>
    <w:p>
      <w:pPr>
        <w:ind w:left="460" w:right="460"/>
        <w:spacing w:after="0" w:line="212" w:lineRule="auto"/>
        <w:rPr>
          <w:sz w:val="20"/>
          <w:szCs w:val="20"/>
          <w:color w:val="auto"/>
        </w:rPr>
      </w:pPr>
      <w:r>
        <w:rPr>
          <w:rFonts w:ascii="Arial" w:cs="Arial" w:eastAsia="Arial" w:hAnsi="Arial"/>
          <w:sz w:val="15"/>
          <w:szCs w:val="15"/>
          <w:color w:val="auto"/>
        </w:rPr>
        <w:t>compensation is directly linked to achievement of milestones to the benefit of all stakeholders; we also structure target total direct compensation opportunities with a significant long-term equity</w:t>
      </w:r>
    </w:p>
    <w:p>
      <w:pPr>
        <w:spacing w:after="0" w:line="2" w:lineRule="exact"/>
        <w:rPr>
          <w:sz w:val="20"/>
          <w:szCs w:val="20"/>
          <w:color w:val="auto"/>
        </w:rPr>
      </w:pPr>
    </w:p>
    <w:p>
      <w:pPr>
        <w:jc w:val="both"/>
        <w:ind w:left="460" w:right="100"/>
        <w:spacing w:after="0" w:line="224" w:lineRule="auto"/>
        <w:rPr>
          <w:sz w:val="20"/>
          <w:szCs w:val="20"/>
          <w:color w:val="auto"/>
        </w:rPr>
      </w:pPr>
      <w:r>
        <w:rPr>
          <w:rFonts w:ascii="Arial" w:cs="Arial" w:eastAsia="Arial" w:hAnsi="Arial"/>
          <w:sz w:val="15"/>
          <w:szCs w:val="15"/>
          <w:color w:val="auto"/>
        </w:rPr>
        <w:t>component, thereby making a substantial portion of our CEO’s and each additional executive officer’s target total direct compensation dependent upon our stock price and/or total stockholder return.</w:t>
      </w:r>
    </w:p>
    <w:p>
      <w:pPr>
        <w:spacing w:after="0" w:line="45" w:lineRule="exact"/>
        <w:rPr>
          <w:sz w:val="20"/>
          <w:szCs w:val="20"/>
          <w:color w:val="auto"/>
        </w:rPr>
      </w:pPr>
    </w:p>
    <w:p>
      <w:pPr>
        <w:ind w:left="460" w:right="80" w:hanging="323"/>
        <w:spacing w:after="0" w:line="167" w:lineRule="exact"/>
        <w:rPr>
          <w:sz w:val="20"/>
          <w:szCs w:val="20"/>
          <w:color w:val="auto"/>
        </w:rPr>
      </w:pPr>
      <w:r>
        <w:rPr>
          <w:rFonts w:ascii="MS PGothic" w:cs="MS PGothic" w:eastAsia="MS PGothic" w:hAnsi="MS PGothic"/>
          <w:sz w:val="15"/>
          <w:szCs w:val="15"/>
          <w:color w:val="0071CE"/>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071CE"/>
        </w:rPr>
        <w:t>“Double Trigger” Feature for Acceleration of CEO Equity Awards</w:t>
      </w:r>
      <w:r>
        <w:rPr>
          <w:rFonts w:ascii="Arial" w:cs="Arial" w:eastAsia="Arial" w:hAnsi="Arial"/>
          <w:sz w:val="15"/>
          <w:szCs w:val="15"/>
          <w:color w:val="auto"/>
        </w:rPr>
        <w:t xml:space="preserve"> — The outstanding equity awards granted to our CEO pursuant to our 2013 Incentive Plan and 2021 Incentive Plan provide that, upon a change in</w:t>
      </w:r>
    </w:p>
    <w:p>
      <w:pPr>
        <w:ind w:left="460" w:right="20"/>
        <w:spacing w:after="0" w:line="224" w:lineRule="auto"/>
        <w:rPr>
          <w:sz w:val="20"/>
          <w:szCs w:val="20"/>
          <w:color w:val="auto"/>
        </w:rPr>
      </w:pPr>
      <w:r>
        <w:rPr>
          <w:rFonts w:ascii="Arial" w:cs="Arial" w:eastAsia="Arial" w:hAnsi="Arial"/>
          <w:sz w:val="15"/>
          <w:szCs w:val="15"/>
          <w:color w:val="auto"/>
        </w:rPr>
        <w:t>control of the Company, the vesting of such awards will accelerate only in the event of a subsequent involuntary termination of employment (a “double-trigger”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732790</wp:posOffset>
            </wp:positionV>
            <wp:extent cx="98615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503555</wp:posOffset>
            </wp:positionV>
            <wp:extent cx="348869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869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FFFFFF"/>
        </w:rPr>
        <w:t>WHAT WE DON’T DO</w:t>
      </w:r>
    </w:p>
    <w:p>
      <w:pPr>
        <w:spacing w:after="0" w:line="111" w:lineRule="exact"/>
        <w:rPr>
          <w:sz w:val="20"/>
          <w:szCs w:val="20"/>
          <w:color w:val="auto"/>
        </w:rPr>
      </w:pPr>
    </w:p>
    <w:p>
      <w:pPr>
        <w:ind w:left="320" w:right="140" w:hanging="323"/>
        <w:spacing w:after="0" w:line="174"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Executive Retirement Plans.</w:t>
      </w:r>
      <w:r>
        <w:rPr>
          <w:rFonts w:ascii="Arial" w:cs="Arial" w:eastAsia="Arial" w:hAnsi="Arial"/>
          <w:sz w:val="15"/>
          <w:szCs w:val="15"/>
          <w:color w:val="auto"/>
        </w:rPr>
        <w:t xml:space="preserve"> We do not offer pension arrangements or retirement plans or arrangements to our executive officers that are different from or in addition to those offered to our other employees.</w:t>
      </w:r>
    </w:p>
    <w:p>
      <w:pPr>
        <w:spacing w:after="0" w:line="45" w:lineRule="exact"/>
        <w:rPr>
          <w:sz w:val="20"/>
          <w:szCs w:val="20"/>
          <w:color w:val="auto"/>
        </w:rPr>
      </w:pPr>
    </w:p>
    <w:p>
      <w:pPr>
        <w:ind w:left="320" w:right="120" w:hanging="323"/>
        <w:spacing w:after="0" w:line="187"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Perquisites.</w:t>
      </w:r>
      <w:r>
        <w:rPr>
          <w:rFonts w:ascii="Arial" w:cs="Arial" w:eastAsia="Arial" w:hAnsi="Arial"/>
          <w:sz w:val="15"/>
          <w:szCs w:val="15"/>
          <w:color w:val="auto"/>
        </w:rPr>
        <w:t xml:space="preserve"> We do not provide perquisites or other personal benefits to our executive officers.</w:t>
      </w:r>
    </w:p>
    <w:p>
      <w:pPr>
        <w:spacing w:after="0" w:line="31"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Special Welfare or Health Benefits.</w:t>
      </w:r>
      <w:r>
        <w:rPr>
          <w:rFonts w:ascii="Arial" w:cs="Arial" w:eastAsia="Arial" w:hAnsi="Arial"/>
          <w:sz w:val="15"/>
          <w:szCs w:val="15"/>
          <w:color w:val="auto"/>
        </w:rPr>
        <w:t xml:space="preserve"> Our executive officers participate in</w:t>
      </w:r>
    </w:p>
    <w:p>
      <w:pPr>
        <w:spacing w:after="0" w:line="29" w:lineRule="exact"/>
        <w:rPr>
          <w:sz w:val="20"/>
          <w:szCs w:val="20"/>
          <w:color w:val="auto"/>
        </w:rPr>
      </w:pPr>
    </w:p>
    <w:p>
      <w:pPr>
        <w:ind w:left="320" w:right="180"/>
        <w:spacing w:after="0" w:line="233" w:lineRule="auto"/>
        <w:rPr>
          <w:sz w:val="20"/>
          <w:szCs w:val="20"/>
          <w:color w:val="auto"/>
        </w:rPr>
      </w:pPr>
      <w:r>
        <w:rPr>
          <w:rFonts w:ascii="Arial" w:cs="Arial" w:eastAsia="Arial" w:hAnsi="Arial"/>
          <w:sz w:val="15"/>
          <w:szCs w:val="15"/>
          <w:color w:val="auto"/>
        </w:rPr>
        <w:t>broad-based Company-sponsored health and welfare benefits programs generally on the same basis as our other full-time, salaried employees.</w:t>
      </w:r>
    </w:p>
    <w:p>
      <w:pPr>
        <w:spacing w:after="0" w:line="44" w:lineRule="exact"/>
        <w:rPr>
          <w:sz w:val="20"/>
          <w:szCs w:val="20"/>
          <w:color w:val="auto"/>
        </w:rPr>
      </w:pPr>
    </w:p>
    <w:p>
      <w:pPr>
        <w:ind w:left="320" w:right="200" w:hanging="323"/>
        <w:spacing w:after="0" w:line="174"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Post-Employment Tax Payment Reimbursement.</w:t>
      </w:r>
      <w:r>
        <w:rPr>
          <w:rFonts w:ascii="Arial" w:cs="Arial" w:eastAsia="Arial" w:hAnsi="Arial"/>
          <w:sz w:val="15"/>
          <w:szCs w:val="15"/>
          <w:color w:val="auto"/>
        </w:rPr>
        <w:t xml:space="preserve"> We do not provide any tax reimbursement payments (including “gross-ups”) on any severance or change-in-control payments or benefits.</w:t>
      </w:r>
    </w:p>
    <w:p>
      <w:pPr>
        <w:spacing w:after="0" w:line="45" w:lineRule="exact"/>
        <w:rPr>
          <w:sz w:val="20"/>
          <w:szCs w:val="20"/>
          <w:color w:val="auto"/>
        </w:rPr>
      </w:pPr>
    </w:p>
    <w:p>
      <w:pPr>
        <w:jc w:val="both"/>
        <w:ind w:left="320" w:right="120" w:hanging="323"/>
        <w:spacing w:after="0" w:line="167"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Hedging and Limit on Pledging of Our Equity Securities.</w:t>
      </w:r>
      <w:r>
        <w:rPr>
          <w:rFonts w:ascii="Arial" w:cs="Arial" w:eastAsia="Arial" w:hAnsi="Arial"/>
          <w:sz w:val="15"/>
          <w:szCs w:val="15"/>
          <w:color w:val="auto"/>
        </w:rPr>
        <w:t xml:space="preserve"> We prohibit our employees, executive officers and the non -employee members of our Board from hedging our equity securities. Our board members and</w:t>
      </w:r>
    </w:p>
    <w:p>
      <w:pPr>
        <w:ind w:left="320" w:right="40"/>
        <w:spacing w:after="0" w:line="233" w:lineRule="auto"/>
        <w:rPr>
          <w:sz w:val="20"/>
          <w:szCs w:val="20"/>
          <w:color w:val="auto"/>
        </w:rPr>
      </w:pPr>
      <w:r>
        <w:rPr>
          <w:rFonts w:ascii="Arial" w:cs="Arial" w:eastAsia="Arial" w:hAnsi="Arial"/>
          <w:sz w:val="15"/>
          <w:szCs w:val="15"/>
          <w:color w:val="auto"/>
        </w:rPr>
        <w:t>executive officers may pledge up to 50% of owned and vested shares with the approval of our Board.</w:t>
      </w:r>
    </w:p>
    <w:p>
      <w:pPr>
        <w:spacing w:after="0" w:line="31" w:lineRule="exact"/>
        <w:rPr>
          <w:sz w:val="20"/>
          <w:szCs w:val="20"/>
          <w:color w:val="auto"/>
        </w:rPr>
      </w:pPr>
    </w:p>
    <w:p>
      <w:pPr>
        <w:jc w:val="center"/>
        <w:ind w:right="400"/>
        <w:spacing w:after="0" w:line="173"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Dividends or Dividend Equivalents Payable on Unvested Equity</w:t>
      </w:r>
    </w:p>
    <w:p>
      <w:pPr>
        <w:spacing w:after="0" w:line="29" w:lineRule="exact"/>
        <w:rPr>
          <w:sz w:val="20"/>
          <w:szCs w:val="20"/>
          <w:color w:val="auto"/>
        </w:rPr>
      </w:pPr>
    </w:p>
    <w:p>
      <w:pPr>
        <w:ind w:left="320" w:right="260"/>
        <w:spacing w:after="0" w:line="233" w:lineRule="auto"/>
        <w:rPr>
          <w:sz w:val="20"/>
          <w:szCs w:val="20"/>
          <w:color w:val="auto"/>
        </w:rPr>
      </w:pPr>
      <w:r>
        <w:rPr>
          <w:rFonts w:ascii="Arial" w:cs="Arial" w:eastAsia="Arial" w:hAnsi="Arial"/>
          <w:sz w:val="15"/>
          <w:szCs w:val="15"/>
          <w:b w:val="1"/>
          <w:bCs w:val="1"/>
          <w:i w:val="1"/>
          <w:iCs w:val="1"/>
          <w:color w:val="3FAE2A"/>
        </w:rPr>
        <w:t xml:space="preserve">Awards. </w:t>
      </w:r>
      <w:r>
        <w:rPr>
          <w:rFonts w:ascii="Arial" w:cs="Arial" w:eastAsia="Arial" w:hAnsi="Arial"/>
          <w:sz w:val="15"/>
          <w:szCs w:val="15"/>
          <w:color w:val="000000"/>
        </w:rPr>
        <w:t>We do not pay dividends or dividend equivalents on unvested</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RSU awards or PRSU awards.</w:t>
      </w:r>
    </w:p>
    <w:p>
      <w:pPr>
        <w:spacing w:after="0" w:line="31" w:lineRule="exact"/>
        <w:rPr>
          <w:sz w:val="20"/>
          <w:szCs w:val="20"/>
          <w:color w:val="auto"/>
        </w:rPr>
      </w:pPr>
    </w:p>
    <w:p>
      <w:pPr>
        <w:jc w:val="center"/>
        <w:ind w:right="380"/>
        <w:spacing w:after="0" w:line="173"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Stock Option Re-pricing.</w:t>
      </w:r>
      <w:r>
        <w:rPr>
          <w:rFonts w:ascii="Arial" w:cs="Arial" w:eastAsia="Arial" w:hAnsi="Arial"/>
          <w:sz w:val="15"/>
          <w:szCs w:val="15"/>
          <w:color w:val="auto"/>
        </w:rPr>
        <w:t xml:space="preserve"> Our employee stock plan does not permit</w:t>
      </w:r>
    </w:p>
    <w:p>
      <w:pPr>
        <w:spacing w:after="0" w:line="29" w:lineRule="exact"/>
        <w:rPr>
          <w:sz w:val="20"/>
          <w:szCs w:val="20"/>
          <w:color w:val="auto"/>
        </w:rPr>
      </w:pPr>
    </w:p>
    <w:p>
      <w:pPr>
        <w:ind w:left="320" w:right="80"/>
        <w:spacing w:after="0" w:line="233" w:lineRule="auto"/>
        <w:rPr>
          <w:sz w:val="20"/>
          <w:szCs w:val="20"/>
          <w:color w:val="auto"/>
        </w:rPr>
      </w:pPr>
      <w:r>
        <w:rPr>
          <w:rFonts w:ascii="Arial" w:cs="Arial" w:eastAsia="Arial" w:hAnsi="Arial"/>
          <w:sz w:val="15"/>
          <w:szCs w:val="15"/>
          <w:color w:val="auto"/>
        </w:rPr>
        <w:t>options to purchase shares of our common stock to be repriced to a lower exercise or strike price without the approval of our stockholders.</w:t>
      </w:r>
    </w:p>
    <w:p>
      <w:pPr>
        <w:spacing w:after="0" w:line="3736" w:lineRule="exact"/>
        <w:rPr>
          <w:sz w:val="20"/>
          <w:szCs w:val="20"/>
          <w:color w:val="auto"/>
        </w:rPr>
      </w:pPr>
    </w:p>
    <w:p>
      <w:pPr>
        <w:sectPr>
          <w:pgSz w:w="11900" w:h="16838" w:orient="portrait"/>
          <w:cols w:equalWidth="0" w:num="2">
            <w:col w:w="5440" w:space="420"/>
            <w:col w:w="5380"/>
          </w:cols>
          <w:pgMar w:left="320" w:top="2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020"/>
        <w:spacing w:after="0"/>
        <w:rPr>
          <w:sz w:val="20"/>
          <w:szCs w:val="20"/>
          <w:color w:val="auto"/>
        </w:rPr>
      </w:pPr>
      <w:r>
        <w:rPr>
          <w:rFonts w:ascii="Arial" w:cs="Arial" w:eastAsia="Arial" w:hAnsi="Arial"/>
          <w:sz w:val="17"/>
          <w:szCs w:val="17"/>
          <w:b w:val="1"/>
          <w:bCs w:val="1"/>
          <w:color w:val="0071CE"/>
        </w:rPr>
        <w:t>31</w:t>
      </w:r>
    </w:p>
    <w:p>
      <w:pPr>
        <w:sectPr>
          <w:pgSz w:w="11900" w:h="16838" w:orient="portrait"/>
          <w:cols w:equalWidth="0" w:num="1">
            <w:col w:w="11240"/>
          </w:cols>
          <w:pgMar w:left="320" w:top="212"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40" w:lineRule="exact"/>
        <w:rPr>
          <w:sz w:val="20"/>
          <w:szCs w:val="20"/>
          <w:color w:val="auto"/>
        </w:rPr>
      </w:pPr>
    </w:p>
    <w:p>
      <w:pPr>
        <w:ind w:left="400" w:hanging="311"/>
        <w:spacing w:after="0"/>
        <w:tabs>
          <w:tab w:leader="none" w:pos="40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13"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83" w:lineRule="exact"/>
        <w:rPr>
          <w:sz w:val="20"/>
          <w:szCs w:val="20"/>
          <w:color w:val="auto"/>
        </w:rPr>
      </w:pPr>
    </w:p>
    <w:p>
      <w:pPr>
        <w:ind w:left="420" w:hanging="331"/>
        <w:spacing w:after="0" w:line="286" w:lineRule="auto"/>
        <w:tabs>
          <w:tab w:leader="none" w:pos="409"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47"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47"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employ external compensation expertise and market data from industry peers to help assure that our compensation policies and practices are consistent with industry practice and meet our goals for our compensation program;</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align our executives’ incentives with the creation of stockholder value.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24" w:lineRule="exact"/>
        <w:rPr>
          <w:sz w:val="20"/>
          <w:szCs w:val="20"/>
          <w:color w:val="auto"/>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invest our cash prudently and do not have marketed products, overall target total direct compensation opportunities are weighted more heavily toward long-term incentive compensation in the form of equity awards. Thus, a significant portion of each executive officer’s target total direct compensation opportunity is “at risk,” and dependent on the increase in the value of our common stock. The Compensation Committee periodically reassesses the appropriate weighting of cash and equity compensation.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518160</wp:posOffset>
            </wp:positionV>
            <wp:extent cx="98615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32</w:t>
      </w:r>
    </w:p>
    <w:p>
      <w:pPr>
        <w:sectPr>
          <w:pgSz w:w="11900" w:h="16838" w:orient="portrait"/>
          <w:cols w:equalWidth="0" w:num="1">
            <w:col w:w="11240"/>
          </w:cols>
          <w:pgMar w:left="320" w:top="21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NEOs, and the non-employee members of our Board.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NEOs, are consistent with our compensation philosophy, policies and objectives.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members of the Compensation Committee are appointed by our Board, and each member is an independent director (as “independence” is currently defined in Rule 5605(a)(2) of Nasdaq listing standards). Currently, the members of the Compensation Committee are William Waddill (Committee Chair), Marianne De Backer, Adeoye Olukotun, and Michael Perry.</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elements of our executive compensation program including, but not limited to, feedback from our stockholders,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its members' judgment in the assessment process to respond to and adjust for the evolving business environment. The members of the Compensation Committee have extensive experience in executive management, as well as compensation practices and policies.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Compensation-Setting Process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NEOs. The Compensation Committee does not use a single method or measure in making its compensation decisions, nor does it ordinarily position compensation levels based upon a specific or target level relative to a compensation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91" w:lineRule="exact"/>
        <w:rPr>
          <w:sz w:val="20"/>
          <w:szCs w:val="20"/>
          <w:color w:val="auto"/>
        </w:rPr>
      </w:pPr>
    </w:p>
    <w:p>
      <w:pPr>
        <w:ind w:left="400" w:hanging="311"/>
        <w:spacing w:after="0"/>
        <w:tabs>
          <w:tab w:leader="none" w:pos="40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13" w:lineRule="exact"/>
        <w:rPr>
          <w:rFonts w:ascii="Arial" w:cs="Arial" w:eastAsia="Arial" w:hAnsi="Arial"/>
          <w:sz w:val="16"/>
          <w:szCs w:val="16"/>
          <w:color w:val="0071CE"/>
        </w:rPr>
      </w:pPr>
    </w:p>
    <w:p>
      <w:pPr>
        <w:ind w:left="420" w:right="20" w:hanging="331"/>
        <w:spacing w:after="0" w:line="304" w:lineRule="auto"/>
        <w:tabs>
          <w:tab w:leader="none" w:pos="409"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61"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companies in selected broad-based compensation surveys and the positioning of each executive officer’s compensation in a ranking of peer company compensation levels;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544830</wp:posOffset>
            </wp:positionV>
            <wp:extent cx="98615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33</w:t>
      </w:r>
    </w:p>
    <w:p>
      <w:pPr>
        <w:sectPr>
          <w:pgSz w:w="11900" w:h="16838" w:orient="portrait"/>
          <w:cols w:equalWidth="0" w:num="1">
            <w:col w:w="11240"/>
          </w:cols>
          <w:pgMar w:left="320" w:top="21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hanging="311"/>
        <w:spacing w:after="0"/>
        <w:tabs>
          <w:tab w:leader="none" w:pos="40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his performance evaluation of each executive officer.</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determining the compensation for our executive officers, including our other NEOs. Our CEO recuses himself from all discussions and recommendations regarding his own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Since October 2018, the Compensation Committee has engaged Compensia as its external compensation consultant. Compensia assisted the Compensation Committee in its review of executive officer and non-employee director compensation practices for fiscal 2022, including the competitiveness of compensation levels, executive compensation design, comparisons with our industry peers, and other technical considerations. Such assistance included:</w:t>
      </w:r>
    </w:p>
    <w:p>
      <w:pPr>
        <w:spacing w:after="0" w:line="83" w:lineRule="exact"/>
        <w:rPr>
          <w:sz w:val="20"/>
          <w:szCs w:val="20"/>
          <w:color w:val="auto"/>
        </w:rPr>
      </w:pPr>
    </w:p>
    <w:p>
      <w:pPr>
        <w:ind w:left="400" w:hanging="311"/>
        <w:spacing w:after="0"/>
        <w:tabs>
          <w:tab w:leader="none" w:pos="40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Reviewing and updating our compensation peer group;</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our executive officers, including our NEOs;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the non-employee members of our Board;</w:t>
      </w:r>
    </w:p>
    <w:p>
      <w:pPr>
        <w:spacing w:after="0" w:line="126" w:lineRule="exact"/>
        <w:rPr>
          <w:rFonts w:ascii="Arial" w:cs="Arial" w:eastAsia="Arial" w:hAnsi="Arial"/>
          <w:sz w:val="16"/>
          <w:szCs w:val="16"/>
          <w:color w:val="0071CE"/>
        </w:rPr>
      </w:pPr>
    </w:p>
    <w:p>
      <w:pPr>
        <w:ind w:left="420" w:hanging="331"/>
        <w:spacing w:after="0" w:line="263" w:lineRule="auto"/>
        <w:tabs>
          <w:tab w:leader="none" w:pos="409"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Reviewing and updating of the Compensation Discussion and Analysis section of our proxy statement for our 2023 Annual Meeting of Stockholders; and</w:t>
      </w:r>
    </w:p>
    <w:p>
      <w:pPr>
        <w:spacing w:after="0" w:line="297" w:lineRule="exact"/>
        <w:rPr>
          <w:rFonts w:ascii="Arial" w:cs="Arial" w:eastAsia="Arial" w:hAnsi="Arial"/>
          <w:sz w:val="16"/>
          <w:szCs w:val="16"/>
          <w:color w:val="0071CE"/>
        </w:rPr>
      </w:pPr>
    </w:p>
    <w:p>
      <w:pPr>
        <w:ind w:left="400" w:hanging="311"/>
        <w:spacing w:after="0"/>
        <w:tabs>
          <w:tab w:leader="none" w:pos="40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Supporting on other ad hoc matters.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35"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 fiscal 2022, Compensia did not provide any services to us other than those described above. The Compensation Committee has evaluated Compensia’s independence pursuant to the listing standards of Nasdaq and the relevant SEC rules and has determined that no conflict of interest has arisen as a result of the work performed by Compensia.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each of the past nine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481965</wp:posOffset>
            </wp:positionV>
            <wp:extent cx="98615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34</w:t>
      </w:r>
    </w:p>
    <w:p>
      <w:pPr>
        <w:sectPr>
          <w:pgSz w:w="11900" w:h="16838" w:orient="portrait"/>
          <w:cols w:equalWidth="0" w:num="1">
            <w:col w:w="11240"/>
          </w:cols>
          <w:pgMar w:left="320" w:top="2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program in fiscal 2022, the Compensation Committee directed Compensia to update the compensation peer group reflecting the competitive market for executive talent based on the following criteria:</w:t>
      </w:r>
    </w:p>
    <w:p>
      <w:pPr>
        <w:spacing w:after="0" w:line="75" w:lineRule="exact"/>
        <w:rPr>
          <w:sz w:val="20"/>
          <w:szCs w:val="20"/>
          <w:color w:val="auto"/>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Publicly-held, U.S. biotechnology companies;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Companies with lead assets that are in mid to late clinical stage or early commercialization stage;</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Companies with market capitalizations between 0.2x to 3.0x our market capitalization at the time of the peer selection;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Companies with between 133 to 1,453 employees.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fiscal 2022, the compensation peer group was generated in the first quarter of fiscal 2022 and consisted of the following companies: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3260" w:type="dxa"/>
            <w:vAlign w:val="bottom"/>
          </w:tcPr>
          <w:p>
            <w:pPr>
              <w:spacing w:after="0"/>
              <w:rPr>
                <w:sz w:val="20"/>
                <w:szCs w:val="20"/>
                <w:color w:val="auto"/>
              </w:rPr>
            </w:pPr>
            <w:r>
              <w:rPr>
                <w:rFonts w:ascii="Arial" w:cs="Arial" w:eastAsia="Arial" w:hAnsi="Arial"/>
                <w:sz w:val="16"/>
                <w:szCs w:val="16"/>
                <w:color w:val="auto"/>
              </w:rPr>
              <w:t>ACADIA Pharmaceuticals, Inc.</w:t>
            </w:r>
          </w:p>
        </w:tc>
        <w:tc>
          <w:tcPr>
            <w:tcW w:w="2360" w:type="dxa"/>
            <w:vAlign w:val="bottom"/>
          </w:tcPr>
          <w:p>
            <w:pPr>
              <w:ind w:left="100"/>
              <w:spacing w:after="0"/>
              <w:rPr>
                <w:sz w:val="20"/>
                <w:szCs w:val="20"/>
                <w:color w:val="auto"/>
              </w:rPr>
            </w:pPr>
            <w:r>
              <w:rPr>
                <w:rFonts w:ascii="Arial" w:cs="Arial" w:eastAsia="Arial" w:hAnsi="Arial"/>
                <w:sz w:val="16"/>
                <w:szCs w:val="16"/>
                <w:color w:val="auto"/>
              </w:rPr>
              <w:t>FibroGen</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Acceleron Pharma, Inc.</w:t>
            </w:r>
          </w:p>
        </w:tc>
        <w:tc>
          <w:tcPr>
            <w:tcW w:w="2360" w:type="dxa"/>
            <w:vAlign w:val="bottom"/>
          </w:tcPr>
          <w:p>
            <w:pPr>
              <w:ind w:left="100"/>
              <w:spacing w:after="0"/>
              <w:rPr>
                <w:sz w:val="20"/>
                <w:szCs w:val="20"/>
                <w:color w:val="auto"/>
              </w:rPr>
            </w:pPr>
            <w:r>
              <w:rPr>
                <w:rFonts w:ascii="Arial" w:cs="Arial" w:eastAsia="Arial" w:hAnsi="Arial"/>
                <w:sz w:val="16"/>
                <w:szCs w:val="16"/>
                <w:color w:val="auto"/>
              </w:rPr>
              <w:t>Global Blood Therapeutics, Inc.</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Alnylam Pharmaceuticals, Inc.</w:t>
            </w:r>
          </w:p>
        </w:tc>
        <w:tc>
          <w:tcPr>
            <w:tcW w:w="2360" w:type="dxa"/>
            <w:vAlign w:val="bottom"/>
          </w:tcPr>
          <w:p>
            <w:pPr>
              <w:ind w:left="100"/>
              <w:spacing w:after="0"/>
              <w:rPr>
                <w:sz w:val="20"/>
                <w:szCs w:val="20"/>
                <w:color w:val="auto"/>
              </w:rPr>
            </w:pPr>
            <w:r>
              <w:rPr>
                <w:rFonts w:ascii="Arial" w:cs="Arial" w:eastAsia="Arial" w:hAnsi="Arial"/>
                <w:sz w:val="16"/>
                <w:szCs w:val="16"/>
                <w:color w:val="auto"/>
              </w:rPr>
              <w:t>Intellia Theraputics</w:t>
            </w:r>
          </w:p>
        </w:tc>
        <w:tc>
          <w:tcPr>
            <w:tcW w:w="0" w:type="dxa"/>
            <w:vAlign w:val="bottom"/>
          </w:tcPr>
          <w:p>
            <w:pPr>
              <w:spacing w:after="0"/>
              <w:rPr>
                <w:sz w:val="1"/>
                <w:szCs w:val="1"/>
                <w:color w:val="auto"/>
              </w:rPr>
            </w:pPr>
          </w:p>
        </w:tc>
      </w:tr>
      <w:tr>
        <w:trPr>
          <w:trHeight w:val="164"/>
        </w:trPr>
        <w:tc>
          <w:tcPr>
            <w:tcW w:w="3260" w:type="dxa"/>
            <w:vAlign w:val="bottom"/>
          </w:tcPr>
          <w:p>
            <w:pPr>
              <w:spacing w:after="0" w:line="164" w:lineRule="exact"/>
              <w:rPr>
                <w:sz w:val="20"/>
                <w:szCs w:val="20"/>
                <w:color w:val="auto"/>
              </w:rPr>
            </w:pPr>
            <w:r>
              <w:rPr>
                <w:rFonts w:ascii="Arial" w:cs="Arial" w:eastAsia="Arial" w:hAnsi="Arial"/>
                <w:sz w:val="16"/>
                <w:szCs w:val="16"/>
                <w:color w:val="auto"/>
              </w:rPr>
              <w:t>Biohaven Pharmaceutical Holding Company</w:t>
            </w:r>
          </w:p>
        </w:tc>
        <w:tc>
          <w:tcPr>
            <w:tcW w:w="2360" w:type="dxa"/>
            <w:vAlign w:val="bottom"/>
            <w:vMerge w:val="restart"/>
          </w:tcPr>
          <w:p>
            <w:pPr>
              <w:ind w:left="100"/>
              <w:spacing w:after="0"/>
              <w:rPr>
                <w:sz w:val="20"/>
                <w:szCs w:val="20"/>
                <w:color w:val="auto"/>
              </w:rPr>
            </w:pPr>
            <w:r>
              <w:rPr>
                <w:rFonts w:ascii="Arial" w:cs="Arial" w:eastAsia="Arial" w:hAnsi="Arial"/>
                <w:sz w:val="16"/>
                <w:szCs w:val="16"/>
                <w:color w:val="auto"/>
              </w:rPr>
              <w:t>Mirati Therapeutcis</w:t>
            </w: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6"/>
                <w:szCs w:val="16"/>
                <w:color w:val="auto"/>
              </w:rPr>
              <w:t>Ltd.</w:t>
            </w: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6"/>
                <w:szCs w:val="16"/>
                <w:color w:val="auto"/>
              </w:rPr>
              <w:t>bluebird bio, Inc.,</w:t>
            </w:r>
          </w:p>
        </w:tc>
        <w:tc>
          <w:tcPr>
            <w:tcW w:w="2360" w:type="dxa"/>
            <w:vAlign w:val="bottom"/>
          </w:tcPr>
          <w:p>
            <w:pPr>
              <w:ind w:left="100"/>
              <w:spacing w:after="0"/>
              <w:rPr>
                <w:sz w:val="20"/>
                <w:szCs w:val="20"/>
                <w:color w:val="auto"/>
              </w:rPr>
            </w:pPr>
            <w:r>
              <w:rPr>
                <w:rFonts w:ascii="Arial" w:cs="Arial" w:eastAsia="Arial" w:hAnsi="Arial"/>
                <w:sz w:val="16"/>
                <w:szCs w:val="16"/>
                <w:color w:val="auto"/>
              </w:rPr>
              <w:t>Novavax</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Blueprint Medicines</w:t>
            </w:r>
          </w:p>
        </w:tc>
        <w:tc>
          <w:tcPr>
            <w:tcW w:w="2360" w:type="dxa"/>
            <w:vAlign w:val="bottom"/>
          </w:tcPr>
          <w:p>
            <w:pPr>
              <w:ind w:left="100"/>
              <w:spacing w:after="0"/>
              <w:rPr>
                <w:sz w:val="20"/>
                <w:szCs w:val="20"/>
                <w:color w:val="auto"/>
              </w:rPr>
            </w:pPr>
            <w:r>
              <w:rPr>
                <w:rFonts w:ascii="Arial" w:cs="Arial" w:eastAsia="Arial" w:hAnsi="Arial"/>
                <w:sz w:val="16"/>
                <w:szCs w:val="16"/>
                <w:color w:val="auto"/>
              </w:rPr>
              <w:t>Reata Pharmaceuticals</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BridgeBio Pharma</w:t>
            </w:r>
          </w:p>
        </w:tc>
        <w:tc>
          <w:tcPr>
            <w:tcW w:w="2360" w:type="dxa"/>
            <w:vAlign w:val="bottom"/>
          </w:tcPr>
          <w:p>
            <w:pPr>
              <w:ind w:left="100"/>
              <w:spacing w:after="0"/>
              <w:rPr>
                <w:sz w:val="20"/>
                <w:szCs w:val="20"/>
                <w:color w:val="auto"/>
              </w:rPr>
            </w:pPr>
            <w:r>
              <w:rPr>
                <w:rFonts w:ascii="Arial" w:cs="Arial" w:eastAsia="Arial" w:hAnsi="Arial"/>
                <w:sz w:val="16"/>
                <w:szCs w:val="16"/>
                <w:color w:val="auto"/>
              </w:rPr>
              <w:t>Sarepta Therapeutics</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ChemoCentryx</w:t>
            </w:r>
          </w:p>
        </w:tc>
        <w:tc>
          <w:tcPr>
            <w:tcW w:w="2360" w:type="dxa"/>
            <w:vAlign w:val="bottom"/>
          </w:tcPr>
          <w:p>
            <w:pPr>
              <w:ind w:left="100"/>
              <w:spacing w:after="0"/>
              <w:rPr>
                <w:sz w:val="20"/>
                <w:szCs w:val="20"/>
                <w:color w:val="auto"/>
              </w:rPr>
            </w:pPr>
            <w:r>
              <w:rPr>
                <w:rFonts w:ascii="Arial" w:cs="Arial" w:eastAsia="Arial" w:hAnsi="Arial"/>
                <w:sz w:val="16"/>
                <w:szCs w:val="16"/>
                <w:color w:val="auto"/>
              </w:rPr>
              <w:t>Ultragenyx Pharmaceuticals</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CRISPR Therapeutics AG</w:t>
            </w:r>
          </w:p>
        </w:tc>
        <w:tc>
          <w:tcPr>
            <w:tcW w:w="2360" w:type="dxa"/>
            <w:vAlign w:val="bottom"/>
          </w:tcPr>
          <w:p>
            <w:pPr>
              <w:ind w:left="100"/>
              <w:spacing w:after="0"/>
              <w:rPr>
                <w:sz w:val="20"/>
                <w:szCs w:val="20"/>
                <w:color w:val="auto"/>
              </w:rPr>
            </w:pPr>
            <w:r>
              <w:rPr>
                <w:rFonts w:ascii="Arial" w:cs="Arial" w:eastAsia="Arial" w:hAnsi="Arial"/>
                <w:sz w:val="16"/>
                <w:szCs w:val="16"/>
                <w:color w:val="auto"/>
              </w:rPr>
              <w:t>Vir Biotechnology</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Denali Therapeutics</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Acceleron Pharma, Alnylam Pharmaceuticals, Biohaven Pharmaceutical, bluebird bio, and Global Blood Therapeutics were added to the compensation peer group due to changes in our business complexity, employee base and market capitalization, as well as mergers, changes to business complexity, employee base and market capitalization among our prior peer group.</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study prepared by Compensia and presented in December 2021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 2022, the principal elements of our executive compensation program were as follows:</w:t>
      </w:r>
    </w:p>
    <w:p>
      <w:pPr>
        <w:spacing w:after="0" w:line="140" w:lineRule="exact"/>
        <w:rPr>
          <w:sz w:val="20"/>
          <w:szCs w:val="20"/>
          <w:color w:val="auto"/>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NEOs, and is an important element of compensation intended to attract and retain highly-talented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458470</wp:posOffset>
            </wp:positionV>
            <wp:extent cx="98615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35</w:t>
      </w:r>
    </w:p>
    <w:p>
      <w:pPr>
        <w:sectPr>
          <w:pgSz w:w="11900" w:h="16838" w:orient="portrait"/>
          <w:cols w:equalWidth="0" w:num="1">
            <w:col w:w="11240"/>
          </w:cols>
          <w:pgMar w:left="320" w:top="2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external compensation consultant, the Compensation Committee reviews and determines adjustments to the base salaries for each of our executive officers, including our NEOs,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NEOs for fiscal 2021 and fiscal 2022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2100" w:type="dxa"/>
            <w:vAlign w:val="bottom"/>
            <w:shd w:val="clear" w:color="auto" w:fill="0071CE"/>
          </w:tcPr>
          <w:p>
            <w:pPr>
              <w:jc w:val="center"/>
              <w:ind w:left="582"/>
              <w:spacing w:after="0"/>
              <w:rPr>
                <w:sz w:val="20"/>
                <w:szCs w:val="20"/>
                <w:color w:val="auto"/>
              </w:rPr>
            </w:pPr>
            <w:r>
              <w:rPr>
                <w:rFonts w:ascii="Arial" w:cs="Arial" w:eastAsia="Arial" w:hAnsi="Arial"/>
                <w:sz w:val="14"/>
                <w:szCs w:val="14"/>
                <w:b w:val="1"/>
                <w:bCs w:val="1"/>
                <w:color w:val="FFFFFF"/>
              </w:rPr>
              <w:t>Fiscal 2022</w:t>
            </w:r>
          </w:p>
        </w:tc>
        <w:tc>
          <w:tcPr>
            <w:tcW w:w="1780" w:type="dxa"/>
            <w:vAlign w:val="bottom"/>
            <w:shd w:val="clear" w:color="auto" w:fill="0071CE"/>
          </w:tcPr>
          <w:p>
            <w:pPr>
              <w:jc w:val="center"/>
              <w:ind w:right="2"/>
              <w:spacing w:after="0"/>
              <w:rPr>
                <w:sz w:val="20"/>
                <w:szCs w:val="20"/>
                <w:color w:val="auto"/>
              </w:rPr>
            </w:pPr>
            <w:r>
              <w:rPr>
                <w:rFonts w:ascii="Arial" w:cs="Arial" w:eastAsia="Arial" w:hAnsi="Arial"/>
                <w:sz w:val="14"/>
                <w:szCs w:val="14"/>
                <w:b w:val="1"/>
                <w:bCs w:val="1"/>
                <w:color w:val="FFFFFF"/>
              </w:rPr>
              <w:t>Fiscal 2022 Base</w:t>
            </w:r>
          </w:p>
        </w:tc>
        <w:tc>
          <w:tcPr>
            <w:tcW w:w="1360" w:type="dxa"/>
            <w:vAlign w:val="bottom"/>
            <w:shd w:val="clear" w:color="auto" w:fill="0071CE"/>
          </w:tcPr>
          <w:p>
            <w:pPr>
              <w:jc w:val="center"/>
              <w:ind w:right="2"/>
              <w:spacing w:after="0"/>
              <w:rPr>
                <w:sz w:val="20"/>
                <w:szCs w:val="20"/>
                <w:color w:val="auto"/>
              </w:rPr>
            </w:pPr>
            <w:r>
              <w:rPr>
                <w:rFonts w:ascii="Times New Roman" w:cs="Times New Roman" w:eastAsia="Times New Roman" w:hAnsi="Times New Roman"/>
                <w:sz w:val="14"/>
                <w:szCs w:val="14"/>
                <w:b w:val="1"/>
                <w:bCs w:val="1"/>
                <w:color w:val="FFFFFF"/>
              </w:rPr>
              <w:t>Fiscal 2021</w:t>
            </w:r>
          </w:p>
        </w:tc>
        <w:tc>
          <w:tcPr>
            <w:tcW w:w="1620" w:type="dxa"/>
            <w:vAlign w:val="bottom"/>
            <w:shd w:val="clear" w:color="auto" w:fill="0071CE"/>
          </w:tcPr>
          <w:p>
            <w:pPr>
              <w:ind w:left="4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35"/>
        </w:trPr>
        <w:tc>
          <w:tcPr>
            <w:tcW w:w="4180" w:type="dxa"/>
            <w:vAlign w:val="bottom"/>
            <w:shd w:val="clear" w:color="auto" w:fill="0071CE"/>
          </w:tcPr>
          <w:p>
            <w:pPr>
              <w:ind w:left="140"/>
              <w:spacing w:after="0" w:line="135" w:lineRule="exact"/>
              <w:rPr>
                <w:sz w:val="20"/>
                <w:szCs w:val="20"/>
                <w:color w:val="auto"/>
              </w:rPr>
            </w:pPr>
            <w:r>
              <w:rPr>
                <w:rFonts w:ascii="Arial" w:cs="Arial" w:eastAsia="Arial" w:hAnsi="Arial"/>
                <w:sz w:val="14"/>
                <w:szCs w:val="14"/>
                <w:b w:val="1"/>
                <w:bCs w:val="1"/>
                <w:color w:val="FFFFFF"/>
              </w:rPr>
              <w:t>Officer</w:t>
            </w:r>
          </w:p>
        </w:tc>
        <w:tc>
          <w:tcPr>
            <w:tcW w:w="2100" w:type="dxa"/>
            <w:vAlign w:val="bottom"/>
            <w:shd w:val="clear" w:color="auto" w:fill="0071CE"/>
          </w:tcPr>
          <w:p>
            <w:pPr>
              <w:jc w:val="center"/>
              <w:ind w:left="582"/>
              <w:spacing w:after="0" w:line="135" w:lineRule="exact"/>
              <w:rPr>
                <w:sz w:val="20"/>
                <w:szCs w:val="20"/>
                <w:color w:val="auto"/>
              </w:rPr>
            </w:pPr>
            <w:r>
              <w:rPr>
                <w:rFonts w:ascii="Arial" w:cs="Arial" w:eastAsia="Arial" w:hAnsi="Arial"/>
                <w:sz w:val="14"/>
                <w:szCs w:val="14"/>
                <w:b w:val="1"/>
                <w:bCs w:val="1"/>
                <w:color w:val="FFFFFF"/>
              </w:rPr>
              <w:t>Base Salary (2)</w:t>
            </w:r>
          </w:p>
        </w:tc>
        <w:tc>
          <w:tcPr>
            <w:tcW w:w="1780" w:type="dxa"/>
            <w:vAlign w:val="bottom"/>
            <w:shd w:val="clear" w:color="auto" w:fill="0071CE"/>
          </w:tcPr>
          <w:p>
            <w:pPr>
              <w:jc w:val="center"/>
              <w:ind w:right="22"/>
              <w:spacing w:after="0" w:line="135" w:lineRule="exact"/>
              <w:rPr>
                <w:sz w:val="20"/>
                <w:szCs w:val="20"/>
                <w:color w:val="auto"/>
              </w:rPr>
            </w:pPr>
            <w:r>
              <w:rPr>
                <w:rFonts w:ascii="Arial" w:cs="Arial" w:eastAsia="Arial" w:hAnsi="Arial"/>
                <w:sz w:val="14"/>
                <w:szCs w:val="14"/>
                <w:b w:val="1"/>
                <w:bCs w:val="1"/>
                <w:color w:val="FFFFFF"/>
              </w:rPr>
              <w:t>Salary (after July 1,</w:t>
            </w:r>
          </w:p>
        </w:tc>
        <w:tc>
          <w:tcPr>
            <w:tcW w:w="1360" w:type="dxa"/>
            <w:vAlign w:val="bottom"/>
            <w:shd w:val="clear" w:color="auto" w:fill="0071CE"/>
          </w:tcPr>
          <w:p>
            <w:pPr>
              <w:jc w:val="center"/>
              <w:ind w:right="2"/>
              <w:spacing w:after="0" w:line="135" w:lineRule="exact"/>
              <w:rPr>
                <w:sz w:val="20"/>
                <w:szCs w:val="20"/>
                <w:color w:val="auto"/>
              </w:rPr>
            </w:pPr>
            <w:r>
              <w:rPr>
                <w:rFonts w:ascii="Times New Roman" w:cs="Times New Roman" w:eastAsia="Times New Roman" w:hAnsi="Times New Roman"/>
                <w:sz w:val="14"/>
                <w:szCs w:val="14"/>
                <w:b w:val="1"/>
                <w:bCs w:val="1"/>
                <w:color w:val="FFFFFF"/>
              </w:rPr>
              <w:t>Base Salary</w:t>
            </w:r>
          </w:p>
        </w:tc>
        <w:tc>
          <w:tcPr>
            <w:tcW w:w="1620" w:type="dxa"/>
            <w:vAlign w:val="bottom"/>
            <w:shd w:val="clear" w:color="auto" w:fill="0071CE"/>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Adjustment (3)</w:t>
            </w:r>
          </w:p>
        </w:tc>
      </w:tr>
      <w:tr>
        <w:trPr>
          <w:trHeight w:val="149"/>
        </w:trPr>
        <w:tc>
          <w:tcPr>
            <w:tcW w:w="4180" w:type="dxa"/>
            <w:vAlign w:val="bottom"/>
            <w:shd w:val="clear" w:color="auto" w:fill="0071CE"/>
          </w:tcPr>
          <w:p>
            <w:pPr>
              <w:spacing w:after="0"/>
              <w:rPr>
                <w:sz w:val="12"/>
                <w:szCs w:val="12"/>
                <w:color w:val="auto"/>
              </w:rPr>
            </w:pPr>
          </w:p>
        </w:tc>
        <w:tc>
          <w:tcPr>
            <w:tcW w:w="2100" w:type="dxa"/>
            <w:vAlign w:val="bottom"/>
            <w:shd w:val="clear" w:color="auto" w:fill="0071CE"/>
          </w:tcPr>
          <w:p>
            <w:pPr>
              <w:spacing w:after="0"/>
              <w:rPr>
                <w:sz w:val="12"/>
                <w:szCs w:val="12"/>
                <w:color w:val="auto"/>
              </w:rPr>
            </w:pPr>
          </w:p>
        </w:tc>
        <w:tc>
          <w:tcPr>
            <w:tcW w:w="1780" w:type="dxa"/>
            <w:vAlign w:val="bottom"/>
            <w:shd w:val="clear" w:color="auto" w:fill="0071CE"/>
          </w:tcPr>
          <w:p>
            <w:pPr>
              <w:jc w:val="center"/>
              <w:ind w:right="2"/>
              <w:spacing w:after="0" w:line="149" w:lineRule="exact"/>
              <w:rPr>
                <w:sz w:val="20"/>
                <w:szCs w:val="20"/>
                <w:color w:val="auto"/>
              </w:rPr>
            </w:pPr>
            <w:r>
              <w:rPr>
                <w:rFonts w:ascii="Arial" w:cs="Arial" w:eastAsia="Arial" w:hAnsi="Arial"/>
                <w:sz w:val="14"/>
                <w:szCs w:val="14"/>
                <w:b w:val="1"/>
                <w:bCs w:val="1"/>
                <w:color w:val="FFFFFF"/>
              </w:rPr>
              <w:t>2022 adjustment)</w:t>
            </w:r>
          </w:p>
        </w:tc>
        <w:tc>
          <w:tcPr>
            <w:tcW w:w="1360" w:type="dxa"/>
            <w:vAlign w:val="bottom"/>
            <w:shd w:val="clear" w:color="auto" w:fill="0071CE"/>
          </w:tcPr>
          <w:p>
            <w:pPr>
              <w:spacing w:after="0"/>
              <w:rPr>
                <w:sz w:val="12"/>
                <w:szCs w:val="12"/>
                <w:color w:val="auto"/>
              </w:rPr>
            </w:pPr>
          </w:p>
        </w:tc>
        <w:tc>
          <w:tcPr>
            <w:tcW w:w="1620" w:type="dxa"/>
            <w:vAlign w:val="bottom"/>
            <w:shd w:val="clear" w:color="auto" w:fill="0071CE"/>
          </w:tcPr>
          <w:p>
            <w:pPr>
              <w:spacing w:after="0"/>
              <w:rPr>
                <w:sz w:val="12"/>
                <w:szCs w:val="12"/>
                <w:color w:val="auto"/>
              </w:rPr>
            </w:pPr>
          </w:p>
        </w:tc>
      </w:tr>
      <w:tr>
        <w:trPr>
          <w:trHeight w:val="162"/>
        </w:trPr>
        <w:tc>
          <w:tcPr>
            <w:tcW w:w="4180" w:type="dxa"/>
            <w:vAlign w:val="bottom"/>
            <w:shd w:val="clear" w:color="auto" w:fill="E5E5E5"/>
          </w:tcPr>
          <w:p>
            <w:pPr>
              <w:ind w:left="40"/>
              <w:spacing w:after="0" w:line="162" w:lineRule="exact"/>
              <w:rPr>
                <w:sz w:val="20"/>
                <w:szCs w:val="20"/>
                <w:color w:val="auto"/>
              </w:rPr>
            </w:pPr>
            <w:r>
              <w:rPr>
                <w:rFonts w:ascii="Arial" w:cs="Arial" w:eastAsia="Arial" w:hAnsi="Arial"/>
                <w:sz w:val="16"/>
                <w:szCs w:val="16"/>
                <w:b w:val="1"/>
                <w:bCs w:val="1"/>
                <w:color w:val="auto"/>
              </w:rPr>
              <w:t>Christopher Anzalone</w:t>
            </w:r>
          </w:p>
        </w:tc>
        <w:tc>
          <w:tcPr>
            <w:tcW w:w="210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360" w:type="dxa"/>
            <w:vAlign w:val="bottom"/>
            <w:shd w:val="clear" w:color="auto" w:fill="E5E5E5"/>
          </w:tcPr>
          <w:p>
            <w:pPr>
              <w:spacing w:after="0"/>
              <w:rPr>
                <w:sz w:val="14"/>
                <w:szCs w:val="14"/>
                <w:color w:val="auto"/>
              </w:rPr>
            </w:pPr>
          </w:p>
        </w:tc>
        <w:tc>
          <w:tcPr>
            <w:tcW w:w="1620" w:type="dxa"/>
            <w:vAlign w:val="bottom"/>
            <w:shd w:val="clear" w:color="auto" w:fill="E5E5E5"/>
          </w:tcPr>
          <w:p>
            <w:pPr>
              <w:spacing w:after="0"/>
              <w:rPr>
                <w:sz w:val="14"/>
                <w:szCs w:val="14"/>
                <w:color w:val="auto"/>
              </w:rPr>
            </w:pPr>
          </w:p>
        </w:tc>
      </w:tr>
      <w:tr>
        <w:trPr>
          <w:trHeight w:val="229"/>
        </w:trPr>
        <w:tc>
          <w:tcPr>
            <w:tcW w:w="41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President &amp; CEO</w:t>
            </w:r>
          </w:p>
        </w:tc>
        <w:tc>
          <w:tcPr>
            <w:tcW w:w="2100" w:type="dxa"/>
            <w:vAlign w:val="bottom"/>
            <w:shd w:val="clear" w:color="auto" w:fill="E5E5E5"/>
          </w:tcPr>
          <w:p>
            <w:pPr>
              <w:jc w:val="center"/>
              <w:ind w:left="582"/>
              <w:spacing w:after="0"/>
              <w:rPr>
                <w:sz w:val="20"/>
                <w:szCs w:val="20"/>
                <w:color w:val="auto"/>
              </w:rPr>
            </w:pPr>
            <w:r>
              <w:rPr>
                <w:rFonts w:ascii="Arial" w:cs="Arial" w:eastAsia="Arial" w:hAnsi="Arial"/>
                <w:sz w:val="16"/>
                <w:szCs w:val="16"/>
                <w:color w:val="auto"/>
              </w:rPr>
              <w:t>$870,350</w:t>
            </w:r>
          </w:p>
        </w:tc>
        <w:tc>
          <w:tcPr>
            <w:tcW w:w="1780" w:type="dxa"/>
            <w:vAlign w:val="bottom"/>
            <w:shd w:val="clear" w:color="auto" w:fill="E5E5E5"/>
          </w:tcPr>
          <w:p>
            <w:pPr>
              <w:jc w:val="center"/>
              <w:ind w:right="22"/>
              <w:spacing w:after="0"/>
              <w:rPr>
                <w:sz w:val="20"/>
                <w:szCs w:val="20"/>
                <w:color w:val="auto"/>
              </w:rPr>
            </w:pPr>
            <w:r>
              <w:rPr>
                <w:rFonts w:ascii="Arial" w:cs="Arial" w:eastAsia="Arial" w:hAnsi="Arial"/>
                <w:sz w:val="16"/>
                <w:szCs w:val="16"/>
                <w:color w:val="auto"/>
              </w:rPr>
              <w:t>$870,350</w:t>
            </w:r>
          </w:p>
        </w:tc>
        <w:tc>
          <w:tcPr>
            <w:tcW w:w="1360" w:type="dxa"/>
            <w:vAlign w:val="bottom"/>
            <w:shd w:val="clear" w:color="auto" w:fill="E5E5E5"/>
          </w:tcPr>
          <w:p>
            <w:pPr>
              <w:jc w:val="center"/>
              <w:ind w:right="2"/>
              <w:spacing w:after="0"/>
              <w:rPr>
                <w:sz w:val="20"/>
                <w:szCs w:val="20"/>
                <w:color w:val="auto"/>
              </w:rPr>
            </w:pPr>
            <w:r>
              <w:rPr>
                <w:rFonts w:ascii="Arial" w:cs="Arial" w:eastAsia="Arial" w:hAnsi="Arial"/>
                <w:sz w:val="16"/>
                <w:szCs w:val="16"/>
                <w:color w:val="auto"/>
              </w:rPr>
              <w:t>$844,600</w:t>
            </w:r>
          </w:p>
        </w:tc>
        <w:tc>
          <w:tcPr>
            <w:tcW w:w="1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w:t>
            </w:r>
          </w:p>
        </w:tc>
      </w:tr>
      <w:tr>
        <w:trPr>
          <w:trHeight w:val="162"/>
        </w:trPr>
        <w:tc>
          <w:tcPr>
            <w:tcW w:w="41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Kenneth Myszkowski</w:t>
            </w:r>
          </w:p>
        </w:tc>
        <w:tc>
          <w:tcPr>
            <w:tcW w:w="2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418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2100" w:type="dxa"/>
            <w:vAlign w:val="bottom"/>
          </w:tcPr>
          <w:p>
            <w:pPr>
              <w:jc w:val="center"/>
              <w:ind w:left="582"/>
              <w:spacing w:after="0"/>
              <w:rPr>
                <w:sz w:val="20"/>
                <w:szCs w:val="20"/>
                <w:color w:val="auto"/>
              </w:rPr>
            </w:pPr>
            <w:r>
              <w:rPr>
                <w:rFonts w:ascii="Arial" w:cs="Arial" w:eastAsia="Arial" w:hAnsi="Arial"/>
                <w:sz w:val="16"/>
                <w:szCs w:val="16"/>
                <w:color w:val="auto"/>
              </w:rPr>
              <w:t>$503,928</w:t>
            </w:r>
          </w:p>
        </w:tc>
        <w:tc>
          <w:tcPr>
            <w:tcW w:w="1780" w:type="dxa"/>
            <w:vAlign w:val="bottom"/>
          </w:tcPr>
          <w:p>
            <w:pPr>
              <w:jc w:val="center"/>
              <w:ind w:right="22"/>
              <w:spacing w:after="0"/>
              <w:rPr>
                <w:sz w:val="20"/>
                <w:szCs w:val="20"/>
                <w:color w:val="auto"/>
              </w:rPr>
            </w:pPr>
            <w:r>
              <w:rPr>
                <w:rFonts w:ascii="Arial" w:cs="Arial" w:eastAsia="Arial" w:hAnsi="Arial"/>
                <w:sz w:val="16"/>
                <w:szCs w:val="16"/>
                <w:color w:val="auto"/>
              </w:rPr>
              <w:t>$529,124</w:t>
            </w:r>
          </w:p>
        </w:tc>
        <w:tc>
          <w:tcPr>
            <w:tcW w:w="1360" w:type="dxa"/>
            <w:vAlign w:val="bottom"/>
          </w:tcPr>
          <w:p>
            <w:pPr>
              <w:jc w:val="center"/>
              <w:ind w:right="2"/>
              <w:spacing w:after="0"/>
              <w:rPr>
                <w:sz w:val="20"/>
                <w:szCs w:val="20"/>
                <w:color w:val="auto"/>
              </w:rPr>
            </w:pPr>
            <w:r>
              <w:rPr>
                <w:rFonts w:ascii="Arial" w:cs="Arial" w:eastAsia="Arial" w:hAnsi="Arial"/>
                <w:sz w:val="16"/>
                <w:szCs w:val="16"/>
                <w:color w:val="auto"/>
              </w:rPr>
              <w:t>$489,250</w:t>
            </w:r>
          </w:p>
        </w:tc>
        <w:tc>
          <w:tcPr>
            <w:tcW w:w="162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163"/>
        </w:trPr>
        <w:tc>
          <w:tcPr>
            <w:tcW w:w="418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Patrick O’Brien</w:t>
            </w:r>
          </w:p>
        </w:tc>
        <w:tc>
          <w:tcPr>
            <w:tcW w:w="210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360" w:type="dxa"/>
            <w:vAlign w:val="bottom"/>
            <w:shd w:val="clear" w:color="auto" w:fill="E5E5E5"/>
          </w:tcPr>
          <w:p>
            <w:pPr>
              <w:spacing w:after="0"/>
              <w:rPr>
                <w:sz w:val="14"/>
                <w:szCs w:val="14"/>
                <w:color w:val="auto"/>
              </w:rPr>
            </w:pPr>
          </w:p>
        </w:tc>
        <w:tc>
          <w:tcPr>
            <w:tcW w:w="1620" w:type="dxa"/>
            <w:vAlign w:val="bottom"/>
            <w:shd w:val="clear" w:color="auto" w:fill="E5E5E5"/>
          </w:tcPr>
          <w:p>
            <w:pPr>
              <w:spacing w:after="0"/>
              <w:rPr>
                <w:sz w:val="14"/>
                <w:szCs w:val="14"/>
                <w:color w:val="auto"/>
              </w:rPr>
            </w:pPr>
          </w:p>
        </w:tc>
      </w:tr>
      <w:tr>
        <w:trPr>
          <w:trHeight w:val="230"/>
        </w:trPr>
        <w:tc>
          <w:tcPr>
            <w:tcW w:w="418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 Operating Officer and General Counsel</w:t>
            </w:r>
          </w:p>
        </w:tc>
        <w:tc>
          <w:tcPr>
            <w:tcW w:w="2100" w:type="dxa"/>
            <w:vAlign w:val="bottom"/>
            <w:shd w:val="clear" w:color="auto" w:fill="E5E5E5"/>
          </w:tcPr>
          <w:p>
            <w:pPr>
              <w:jc w:val="center"/>
              <w:ind w:left="582"/>
              <w:spacing w:after="0"/>
              <w:rPr>
                <w:sz w:val="20"/>
                <w:szCs w:val="20"/>
                <w:color w:val="auto"/>
              </w:rPr>
            </w:pPr>
            <w:r>
              <w:rPr>
                <w:rFonts w:ascii="Arial" w:cs="Arial" w:eastAsia="Arial" w:hAnsi="Arial"/>
                <w:sz w:val="16"/>
                <w:szCs w:val="16"/>
                <w:color w:val="auto"/>
              </w:rPr>
              <w:t>$498,623</w:t>
            </w:r>
          </w:p>
        </w:tc>
        <w:tc>
          <w:tcPr>
            <w:tcW w:w="1780" w:type="dxa"/>
            <w:vAlign w:val="bottom"/>
            <w:shd w:val="clear" w:color="auto" w:fill="E5E5E5"/>
          </w:tcPr>
          <w:p>
            <w:pPr>
              <w:jc w:val="center"/>
              <w:ind w:right="22"/>
              <w:spacing w:after="0"/>
              <w:rPr>
                <w:sz w:val="20"/>
                <w:szCs w:val="20"/>
                <w:color w:val="auto"/>
              </w:rPr>
            </w:pPr>
            <w:r>
              <w:rPr>
                <w:rFonts w:ascii="Arial" w:cs="Arial" w:eastAsia="Arial" w:hAnsi="Arial"/>
                <w:sz w:val="16"/>
                <w:szCs w:val="16"/>
                <w:color w:val="auto"/>
              </w:rPr>
              <w:t>$523,554</w:t>
            </w:r>
          </w:p>
        </w:tc>
        <w:tc>
          <w:tcPr>
            <w:tcW w:w="1360" w:type="dxa"/>
            <w:vAlign w:val="bottom"/>
            <w:shd w:val="clear" w:color="auto" w:fill="E5E5E5"/>
          </w:tcPr>
          <w:p>
            <w:pPr>
              <w:jc w:val="center"/>
              <w:ind w:right="2"/>
              <w:spacing w:after="0"/>
              <w:rPr>
                <w:sz w:val="20"/>
                <w:szCs w:val="20"/>
                <w:color w:val="auto"/>
              </w:rPr>
            </w:pPr>
            <w:r>
              <w:rPr>
                <w:rFonts w:ascii="Arial" w:cs="Arial" w:eastAsia="Arial" w:hAnsi="Arial"/>
                <w:sz w:val="16"/>
                <w:szCs w:val="16"/>
                <w:color w:val="auto"/>
              </w:rPr>
              <w:t>$484,100</w:t>
            </w:r>
          </w:p>
        </w:tc>
        <w:tc>
          <w:tcPr>
            <w:tcW w:w="1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w:t>
            </w:r>
          </w:p>
        </w:tc>
      </w:tr>
      <w:tr>
        <w:trPr>
          <w:trHeight w:val="162"/>
        </w:trPr>
        <w:tc>
          <w:tcPr>
            <w:tcW w:w="41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James Hamilton</w:t>
            </w:r>
          </w:p>
        </w:tc>
        <w:tc>
          <w:tcPr>
            <w:tcW w:w="2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4180" w:type="dxa"/>
            <w:vAlign w:val="bottom"/>
          </w:tcPr>
          <w:p>
            <w:pPr>
              <w:ind w:left="40"/>
              <w:spacing w:after="0"/>
              <w:rPr>
                <w:sz w:val="20"/>
                <w:szCs w:val="20"/>
                <w:color w:val="auto"/>
              </w:rPr>
            </w:pPr>
            <w:r>
              <w:rPr>
                <w:rFonts w:ascii="Arial" w:cs="Arial" w:eastAsia="Arial" w:hAnsi="Arial"/>
                <w:sz w:val="16"/>
                <w:szCs w:val="16"/>
                <w:color w:val="auto"/>
              </w:rPr>
              <w:t>Chief of Discovery and Translational Medicine</w:t>
            </w:r>
          </w:p>
        </w:tc>
        <w:tc>
          <w:tcPr>
            <w:tcW w:w="2100" w:type="dxa"/>
            <w:vAlign w:val="bottom"/>
          </w:tcPr>
          <w:p>
            <w:pPr>
              <w:jc w:val="center"/>
              <w:ind w:left="582"/>
              <w:spacing w:after="0"/>
              <w:rPr>
                <w:sz w:val="20"/>
                <w:szCs w:val="20"/>
                <w:color w:val="auto"/>
              </w:rPr>
            </w:pPr>
            <w:r>
              <w:rPr>
                <w:rFonts w:ascii="Arial" w:cs="Arial" w:eastAsia="Arial" w:hAnsi="Arial"/>
                <w:sz w:val="16"/>
                <w:szCs w:val="16"/>
                <w:color w:val="auto"/>
              </w:rPr>
              <w:t>$449,904</w:t>
            </w:r>
          </w:p>
        </w:tc>
        <w:tc>
          <w:tcPr>
            <w:tcW w:w="1780" w:type="dxa"/>
            <w:vAlign w:val="bottom"/>
          </w:tcPr>
          <w:p>
            <w:pPr>
              <w:jc w:val="center"/>
              <w:ind w:right="22"/>
              <w:spacing w:after="0"/>
              <w:rPr>
                <w:sz w:val="20"/>
                <w:szCs w:val="20"/>
                <w:color w:val="auto"/>
              </w:rPr>
            </w:pPr>
            <w:r>
              <w:rPr>
                <w:rFonts w:ascii="Arial" w:cs="Arial" w:eastAsia="Arial" w:hAnsi="Arial"/>
                <w:sz w:val="16"/>
                <w:szCs w:val="16"/>
                <w:color w:val="auto"/>
              </w:rPr>
              <w:t>$472,399</w:t>
            </w:r>
          </w:p>
        </w:tc>
        <w:tc>
          <w:tcPr>
            <w:tcW w:w="1360" w:type="dxa"/>
            <w:vAlign w:val="bottom"/>
          </w:tcPr>
          <w:p>
            <w:pPr>
              <w:jc w:val="center"/>
              <w:ind w:right="2"/>
              <w:spacing w:after="0"/>
              <w:rPr>
                <w:sz w:val="20"/>
                <w:szCs w:val="20"/>
                <w:color w:val="auto"/>
              </w:rPr>
            </w:pPr>
            <w:r>
              <w:rPr>
                <w:rFonts w:ascii="Arial" w:cs="Arial" w:eastAsia="Arial" w:hAnsi="Arial"/>
                <w:sz w:val="16"/>
                <w:szCs w:val="16"/>
                <w:color w:val="auto"/>
              </w:rPr>
              <w:t>$432,600</w:t>
            </w:r>
          </w:p>
        </w:tc>
        <w:tc>
          <w:tcPr>
            <w:tcW w:w="162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163"/>
        </w:trPr>
        <w:tc>
          <w:tcPr>
            <w:tcW w:w="418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Tracie Oliver (1)</w:t>
            </w:r>
          </w:p>
        </w:tc>
        <w:tc>
          <w:tcPr>
            <w:tcW w:w="210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360" w:type="dxa"/>
            <w:vAlign w:val="bottom"/>
            <w:shd w:val="clear" w:color="auto" w:fill="E5E5E5"/>
          </w:tcPr>
          <w:p>
            <w:pPr>
              <w:spacing w:after="0"/>
              <w:rPr>
                <w:sz w:val="14"/>
                <w:szCs w:val="14"/>
                <w:color w:val="auto"/>
              </w:rPr>
            </w:pPr>
          </w:p>
        </w:tc>
        <w:tc>
          <w:tcPr>
            <w:tcW w:w="1620" w:type="dxa"/>
            <w:vAlign w:val="bottom"/>
            <w:shd w:val="clear" w:color="auto" w:fill="E5E5E5"/>
          </w:tcPr>
          <w:p>
            <w:pPr>
              <w:spacing w:after="0"/>
              <w:rPr>
                <w:sz w:val="14"/>
                <w:szCs w:val="14"/>
                <w:color w:val="auto"/>
              </w:rPr>
            </w:pPr>
          </w:p>
        </w:tc>
      </w:tr>
      <w:tr>
        <w:trPr>
          <w:trHeight w:val="228"/>
        </w:trPr>
        <w:tc>
          <w:tcPr>
            <w:tcW w:w="4180" w:type="dxa"/>
            <w:vAlign w:val="bottom"/>
            <w:tcBorders>
              <w:bottom w:val="single" w:sz="8" w:color="0071CE"/>
            </w:tcBorders>
            <w:shd w:val="clear" w:color="auto" w:fill="E5E5E5"/>
          </w:tcPr>
          <w:p>
            <w:pPr>
              <w:ind w:left="80"/>
              <w:spacing w:after="0"/>
              <w:rPr>
                <w:sz w:val="20"/>
                <w:szCs w:val="20"/>
                <w:color w:val="auto"/>
              </w:rPr>
            </w:pPr>
            <w:r>
              <w:rPr>
                <w:rFonts w:ascii="Arial" w:cs="Arial" w:eastAsia="Arial" w:hAnsi="Arial"/>
                <w:sz w:val="16"/>
                <w:szCs w:val="16"/>
                <w:color w:val="auto"/>
              </w:rPr>
              <w:t>Chief Commercial Officer</w:t>
            </w:r>
          </w:p>
        </w:tc>
        <w:tc>
          <w:tcPr>
            <w:tcW w:w="2100" w:type="dxa"/>
            <w:vAlign w:val="bottom"/>
            <w:tcBorders>
              <w:bottom w:val="single" w:sz="8" w:color="0071CE"/>
            </w:tcBorders>
            <w:shd w:val="clear" w:color="auto" w:fill="E5E5E5"/>
          </w:tcPr>
          <w:p>
            <w:pPr>
              <w:jc w:val="center"/>
              <w:ind w:left="582"/>
              <w:spacing w:after="0"/>
              <w:rPr>
                <w:sz w:val="20"/>
                <w:szCs w:val="20"/>
                <w:color w:val="auto"/>
              </w:rPr>
            </w:pPr>
            <w:r>
              <w:rPr>
                <w:rFonts w:ascii="Arial" w:cs="Arial" w:eastAsia="Arial" w:hAnsi="Arial"/>
                <w:sz w:val="16"/>
                <w:szCs w:val="16"/>
                <w:color w:val="auto"/>
              </w:rPr>
              <w:t>$437,750</w:t>
            </w:r>
          </w:p>
        </w:tc>
        <w:tc>
          <w:tcPr>
            <w:tcW w:w="1780" w:type="dxa"/>
            <w:vAlign w:val="bottom"/>
            <w:tcBorders>
              <w:bottom w:val="single" w:sz="8" w:color="0071CE"/>
            </w:tcBorders>
            <w:shd w:val="clear" w:color="auto" w:fill="E5E5E5"/>
          </w:tcPr>
          <w:p>
            <w:pPr>
              <w:jc w:val="center"/>
              <w:ind w:right="22"/>
              <w:spacing w:after="0"/>
              <w:rPr>
                <w:sz w:val="20"/>
                <w:szCs w:val="20"/>
                <w:color w:val="auto"/>
              </w:rPr>
            </w:pPr>
            <w:r>
              <w:rPr>
                <w:rFonts w:ascii="Arial" w:cs="Arial" w:eastAsia="Arial" w:hAnsi="Arial"/>
                <w:sz w:val="16"/>
                <w:szCs w:val="16"/>
                <w:color w:val="auto"/>
              </w:rPr>
              <w:t>$446,250</w:t>
            </w:r>
          </w:p>
        </w:tc>
        <w:tc>
          <w:tcPr>
            <w:tcW w:w="1360" w:type="dxa"/>
            <w:vAlign w:val="bottom"/>
            <w:tcBorders>
              <w:bottom w:val="single" w:sz="8" w:color="0071CE"/>
            </w:tcBorders>
            <w:shd w:val="clear" w:color="auto" w:fill="E5E5E5"/>
          </w:tcPr>
          <w:p>
            <w:pPr>
              <w:jc w:val="center"/>
              <w:ind w:right="22"/>
              <w:spacing w:after="0"/>
              <w:rPr>
                <w:sz w:val="20"/>
                <w:szCs w:val="20"/>
                <w:color w:val="auto"/>
              </w:rPr>
            </w:pPr>
            <w:r>
              <w:rPr>
                <w:rFonts w:ascii="Arial" w:cs="Arial" w:eastAsia="Arial" w:hAnsi="Arial"/>
                <w:sz w:val="16"/>
                <w:szCs w:val="16"/>
                <w:color w:val="auto"/>
                <w:w w:val="97"/>
              </w:rPr>
              <w:t>N/A</w:t>
            </w:r>
          </w:p>
        </w:tc>
        <w:tc>
          <w:tcPr>
            <w:tcW w:w="162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6"/>
                <w:szCs w:val="16"/>
                <w:color w:val="auto"/>
              </w:rPr>
              <w:t>N/A</w:t>
            </w:r>
          </w:p>
        </w:tc>
      </w:tr>
    </w:tbl>
    <w:p>
      <w:pPr>
        <w:spacing w:after="0" w:line="153"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Oliver joined the Company in June 2022 and the rate shown in column "Fiscal 2022 Base Salary" is her base salary on an annualized basis.</w:t>
      </w:r>
    </w:p>
    <w:p>
      <w:pPr>
        <w:spacing w:after="0" w:line="28" w:lineRule="exact"/>
        <w:rPr>
          <w:rFonts w:ascii="Arial" w:cs="Arial" w:eastAsia="Arial" w:hAnsi="Arial"/>
          <w:sz w:val="14"/>
          <w:szCs w:val="14"/>
          <w:color w:val="auto"/>
        </w:rPr>
      </w:pPr>
    </w:p>
    <w:p>
      <w:pPr>
        <w:ind w:left="340" w:right="360" w:hanging="332"/>
        <w:spacing w:after="0" w:line="225"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4"/>
          <w:szCs w:val="14"/>
          <w:color w:val="auto"/>
        </w:rPr>
        <w:t>Mr. Myszkowski, Mr. O’Brien, Dr. Hamilton, and Ms. Oliver received a 5% increase in base salary mid-year in accordance with a company-wide inflation and employee retention adjustment. Dr. Anzalone did not receive a mid-year adjustment.</w:t>
      </w:r>
    </w:p>
    <w:p>
      <w:pPr>
        <w:ind w:left="320" w:hanging="312"/>
        <w:spacing w:after="0" w:line="237"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portion of this percentage increase includes the 5% mid-year company-wide inflation adjustment referred to in footnote 2.</w:t>
      </w:r>
    </w:p>
    <w:p>
      <w:pPr>
        <w:spacing w:after="0"/>
        <w:rPr>
          <w:sz w:val="20"/>
          <w:szCs w:val="20"/>
          <w:color w:val="auto"/>
        </w:rPr>
      </w:pPr>
      <w:r>
        <w:rPr>
          <w:rFonts w:ascii="Arial" w:cs="Arial" w:eastAsia="Arial" w:hAnsi="Arial"/>
          <w:sz w:val="16"/>
          <w:szCs w:val="16"/>
          <w:color w:val="auto"/>
        </w:rPr>
        <w:t>The actual base salaries paid to our NEOs in fiscal 2022 are set forth in the “Fiscal 2022 Summary Compensation Table”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 Compensation</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provide our executive officers, including our NEOs,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cash incentive compensation opportunity. Through a collaborative planning process involving our Board and management, corporate performance objectives are established at the beginning of each year and evaluated regularly by our Board for their continued relevance to our status.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Incentive Award Opportunities</w:t>
      </w:r>
    </w:p>
    <w:p>
      <w:pPr>
        <w:spacing w:after="0" w:line="25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For purposes of the fiscal 2022 performance-based incentive awards, each of our NEOs was assigned a target annual cash incentive award opportunity based upon a percentage of his or her base salary. The target annual cash incentive award opportunities for our executive officers, including our NEOs, were recommended by our CEO (except with respect to his own target annual cash incentive award opportunity) based on each executive officer’s accountability, scope of responsibilities, and potential impact on our performance, and approved by the Compensation Committee. The determination of target annual cash incentive award opportunities was also based on the factors described in “Governance of Executive Compensation Program — Compensation-Setting Process” above. For our NEOs other than Ms. Oliver, who joined the Company in June 2022, target annual cash incentive award opportunities did not change from fiscal 2021. In some instances the cash incentive award to our NEOs was a cash equivalent in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target cash annual incentive award opportunities for our NEOs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663575</wp:posOffset>
            </wp:positionV>
            <wp:extent cx="98615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36</w:t>
      </w:r>
    </w:p>
    <w:p>
      <w:pPr>
        <w:sectPr>
          <w:pgSz w:w="11900" w:h="16838" w:orient="portrait"/>
          <w:cols w:equalWidth="0" w:num="1">
            <w:col w:w="11240"/>
          </w:cols>
          <w:pgMar w:left="320" w:top="2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shd w:val="clear" w:color="auto" w:fill="0071CE"/>
          </w:tcPr>
          <w:p>
            <w:pPr>
              <w:spacing w:after="0"/>
              <w:rPr>
                <w:sz w:val="16"/>
                <w:szCs w:val="16"/>
                <w:color w:val="auto"/>
              </w:rPr>
            </w:pPr>
          </w:p>
        </w:tc>
        <w:tc>
          <w:tcPr>
            <w:tcW w:w="4400" w:type="dxa"/>
            <w:vAlign w:val="bottom"/>
            <w:shd w:val="clear" w:color="auto" w:fill="0071CE"/>
          </w:tcPr>
          <w:p>
            <w:pPr>
              <w:jc w:val="center"/>
              <w:ind w:left="1379"/>
              <w:spacing w:after="0"/>
              <w:rPr>
                <w:sz w:val="20"/>
                <w:szCs w:val="20"/>
                <w:color w:val="auto"/>
              </w:rPr>
            </w:pPr>
            <w:r>
              <w:rPr>
                <w:rFonts w:ascii="Arial" w:cs="Arial" w:eastAsia="Arial" w:hAnsi="Arial"/>
                <w:sz w:val="16"/>
                <w:szCs w:val="16"/>
                <w:b w:val="1"/>
                <w:bCs w:val="1"/>
                <w:color w:val="FFFFFF"/>
              </w:rPr>
              <w:t>Fiscal 2022 Target Annual</w:t>
            </w:r>
          </w:p>
        </w:tc>
        <w:tc>
          <w:tcPr>
            <w:tcW w:w="29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Fiscal 2021 Target Annual</w:t>
            </w:r>
          </w:p>
        </w:tc>
        <w:tc>
          <w:tcPr>
            <w:tcW w:w="0" w:type="dxa"/>
            <w:vAlign w:val="bottom"/>
          </w:tcPr>
          <w:p>
            <w:pPr>
              <w:spacing w:after="0"/>
              <w:rPr>
                <w:sz w:val="1"/>
                <w:szCs w:val="1"/>
                <w:color w:val="auto"/>
              </w:rPr>
            </w:pPr>
          </w:p>
        </w:tc>
      </w:tr>
      <w:tr>
        <w:trPr>
          <w:trHeight w:val="162"/>
        </w:trPr>
        <w:tc>
          <w:tcPr>
            <w:tcW w:w="3860" w:type="dxa"/>
            <w:vAlign w:val="bottom"/>
            <w:shd w:val="clear" w:color="auto" w:fill="0071CE"/>
          </w:tcPr>
          <w:p>
            <w:pPr>
              <w:spacing w:after="0"/>
              <w:rPr>
                <w:sz w:val="14"/>
                <w:szCs w:val="14"/>
                <w:color w:val="auto"/>
              </w:rPr>
            </w:pP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w w:val="99"/>
              </w:rPr>
              <w:t>Incentive Award</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Incentive Award</w:t>
            </w:r>
          </w:p>
        </w:tc>
        <w:tc>
          <w:tcPr>
            <w:tcW w:w="0" w:type="dxa"/>
            <w:vAlign w:val="bottom"/>
          </w:tcPr>
          <w:p>
            <w:pPr>
              <w:spacing w:after="0"/>
              <w:rPr>
                <w:sz w:val="1"/>
                <w:szCs w:val="1"/>
                <w:color w:val="auto"/>
              </w:rPr>
            </w:pPr>
          </w:p>
        </w:tc>
      </w:tr>
      <w:tr>
        <w:trPr>
          <w:trHeight w:val="162"/>
        </w:trPr>
        <w:tc>
          <w:tcPr>
            <w:tcW w:w="3860" w:type="dxa"/>
            <w:vAlign w:val="bottom"/>
            <w:shd w:val="clear" w:color="auto" w:fill="0071CE"/>
          </w:tcPr>
          <w:p>
            <w:pPr>
              <w:spacing w:after="0"/>
              <w:rPr>
                <w:sz w:val="14"/>
                <w:szCs w:val="14"/>
                <w:color w:val="auto"/>
              </w:rPr>
            </w:pP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rPr>
              <w:t>Opportunity (as a</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Opportunity (as a</w:t>
            </w: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0071CE"/>
          </w:tcPr>
          <w:p>
            <w:pPr>
              <w:ind w:left="20"/>
              <w:spacing w:after="0"/>
              <w:rPr>
                <w:sz w:val="20"/>
                <w:szCs w:val="20"/>
                <w:color w:val="auto"/>
              </w:rPr>
            </w:pPr>
            <w:r>
              <w:rPr>
                <w:rFonts w:ascii="Arial" w:cs="Arial" w:eastAsia="Arial" w:hAnsi="Arial"/>
                <w:sz w:val="16"/>
                <w:szCs w:val="16"/>
                <w:b w:val="1"/>
                <w:bCs w:val="1"/>
                <w:color w:val="FFFFFF"/>
              </w:rPr>
              <w:t>Named Executive Officer</w:t>
            </w: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rPr>
              <w:t>percentage of base</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percentage of base</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0071CE"/>
          </w:tcPr>
          <w:p>
            <w:pPr>
              <w:spacing w:after="0"/>
              <w:rPr>
                <w:sz w:val="18"/>
                <w:szCs w:val="18"/>
                <w:color w:val="auto"/>
              </w:rPr>
            </w:pPr>
          </w:p>
        </w:tc>
        <w:tc>
          <w:tcPr>
            <w:tcW w:w="4400" w:type="dxa"/>
            <w:vAlign w:val="bottom"/>
            <w:shd w:val="clear" w:color="auto" w:fill="0071CE"/>
          </w:tcPr>
          <w:p>
            <w:pPr>
              <w:jc w:val="center"/>
              <w:ind w:left="1359"/>
              <w:spacing w:after="0"/>
              <w:rPr>
                <w:sz w:val="20"/>
                <w:szCs w:val="20"/>
                <w:color w:val="auto"/>
              </w:rPr>
            </w:pPr>
            <w:r>
              <w:rPr>
                <w:rFonts w:ascii="Arial" w:cs="Arial" w:eastAsia="Arial" w:hAnsi="Arial"/>
                <w:sz w:val="16"/>
                <w:szCs w:val="16"/>
                <w:b w:val="1"/>
                <w:bCs w:val="1"/>
                <w:color w:val="FFFFFF"/>
              </w:rPr>
              <w:t>salary)</w:t>
            </w:r>
          </w:p>
        </w:tc>
        <w:tc>
          <w:tcPr>
            <w:tcW w:w="29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salary)</w:t>
            </w:r>
          </w:p>
        </w:tc>
        <w:tc>
          <w:tcPr>
            <w:tcW w:w="0" w:type="dxa"/>
            <w:vAlign w:val="bottom"/>
          </w:tcPr>
          <w:p>
            <w:pPr>
              <w:spacing w:after="0"/>
              <w:rPr>
                <w:sz w:val="1"/>
                <w:szCs w:val="1"/>
                <w:color w:val="auto"/>
              </w:rPr>
            </w:pPr>
          </w:p>
        </w:tc>
      </w:tr>
      <w:tr>
        <w:trPr>
          <w:trHeight w:val="216"/>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Dr. Anzalone</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100%</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Mr. Myszkowski</w:t>
            </w:r>
          </w:p>
        </w:tc>
        <w:tc>
          <w:tcPr>
            <w:tcW w:w="4400" w:type="dxa"/>
            <w:vAlign w:val="bottom"/>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7"/>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O’Brien</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Dr. Hamilton</w:t>
            </w:r>
          </w:p>
        </w:tc>
        <w:tc>
          <w:tcPr>
            <w:tcW w:w="4400" w:type="dxa"/>
            <w:vAlign w:val="bottom"/>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6"/>
                <w:szCs w:val="16"/>
                <w:color w:val="auto"/>
              </w:rPr>
              <w:t>Ms. Oliver (1)</w:t>
            </w:r>
          </w:p>
        </w:tc>
        <w:tc>
          <w:tcPr>
            <w:tcW w:w="4400" w:type="dxa"/>
            <w:vAlign w:val="bottom"/>
            <w:tcBorders>
              <w:bottom w:val="single" w:sz="8" w:color="0071CE"/>
            </w:tcBorders>
            <w:shd w:val="clear" w:color="auto" w:fill="E5E5E5"/>
          </w:tcPr>
          <w:p>
            <w:pPr>
              <w:jc w:val="center"/>
              <w:ind w:left="1379"/>
              <w:spacing w:after="0"/>
              <w:rPr>
                <w:sz w:val="20"/>
                <w:szCs w:val="20"/>
                <w:color w:val="auto"/>
              </w:rPr>
            </w:pPr>
            <w:r>
              <w:rPr>
                <w:rFonts w:ascii="Arial" w:cs="Arial" w:eastAsia="Arial" w:hAnsi="Arial"/>
                <w:sz w:val="16"/>
                <w:szCs w:val="16"/>
                <w:color w:val="auto"/>
              </w:rPr>
              <w:t>40%</w:t>
            </w:r>
          </w:p>
        </w:tc>
        <w:tc>
          <w:tcPr>
            <w:tcW w:w="296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(1)  Ms. Oliver joined the Company in June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Objectives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determining the amount of the annual cash incentive award for each of our executive officers, including each of our NEOs,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2022, the Compensation Committee determined that we had largely achieved or exceeded our primary business objectives set for calendar 2022,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649605</wp:posOffset>
            </wp:positionV>
            <wp:extent cx="98615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37</w:t>
      </w:r>
    </w:p>
    <w:p>
      <w:pPr>
        <w:sectPr>
          <w:pgSz w:w="11900" w:h="16838" w:orient="portrait"/>
          <w:cols w:equalWidth="0" w:num="1">
            <w:col w:w="11240"/>
          </w:cols>
          <w:pgMar w:left="320" w:top="2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Goal</w:t>
            </w:r>
          </w:p>
        </w:tc>
        <w:tc>
          <w:tcPr>
            <w:tcW w:w="4440" w:type="dxa"/>
            <w:vAlign w:val="bottom"/>
            <w:shd w:val="clear" w:color="auto" w:fill="0071CE"/>
          </w:tcPr>
          <w:p>
            <w:pPr>
              <w:spacing w:after="0"/>
              <w:rPr>
                <w:sz w:val="20"/>
                <w:szCs w:val="20"/>
                <w:color w:val="auto"/>
              </w:rPr>
            </w:pPr>
          </w:p>
        </w:tc>
        <w:tc>
          <w:tcPr>
            <w:tcW w:w="5700" w:type="dxa"/>
            <w:vAlign w:val="bottom"/>
            <w:shd w:val="clear" w:color="auto" w:fill="0071CE"/>
          </w:tcPr>
          <w:p>
            <w:pPr>
              <w:ind w:left="2100"/>
              <w:spacing w:after="0"/>
              <w:rPr>
                <w:sz w:val="20"/>
                <w:szCs w:val="20"/>
                <w:color w:val="auto"/>
              </w:rPr>
            </w:pPr>
            <w:r>
              <w:rPr>
                <w:rFonts w:ascii="Arial" w:cs="Arial" w:eastAsia="Arial" w:hAnsi="Arial"/>
                <w:sz w:val="14"/>
                <w:szCs w:val="14"/>
                <w:b w:val="1"/>
                <w:bCs w:val="1"/>
                <w:color w:val="FFFFFF"/>
              </w:rPr>
              <w:t>Achievement Highlights</w:t>
            </w:r>
          </w:p>
        </w:tc>
      </w:tr>
      <w:tr>
        <w:trPr>
          <w:trHeight w:val="70"/>
        </w:trPr>
        <w:tc>
          <w:tcPr>
            <w:tcW w:w="1080" w:type="dxa"/>
            <w:vAlign w:val="bottom"/>
            <w:shd w:val="clear" w:color="auto" w:fill="0071CE"/>
          </w:tcPr>
          <w:p>
            <w:pPr>
              <w:spacing w:after="0"/>
              <w:rPr>
                <w:sz w:val="6"/>
                <w:szCs w:val="6"/>
                <w:color w:val="auto"/>
              </w:rPr>
            </w:pPr>
          </w:p>
        </w:tc>
        <w:tc>
          <w:tcPr>
            <w:tcW w:w="4440" w:type="dxa"/>
            <w:vAlign w:val="bottom"/>
            <w:shd w:val="clear" w:color="auto" w:fill="0071CE"/>
          </w:tcPr>
          <w:p>
            <w:pPr>
              <w:spacing w:after="0"/>
              <w:rPr>
                <w:sz w:val="6"/>
                <w:szCs w:val="6"/>
                <w:color w:val="auto"/>
              </w:rPr>
            </w:pPr>
          </w:p>
        </w:tc>
        <w:tc>
          <w:tcPr>
            <w:tcW w:w="5700" w:type="dxa"/>
            <w:vAlign w:val="bottom"/>
            <w:shd w:val="clear" w:color="auto" w:fill="0071CE"/>
          </w:tcPr>
          <w:p>
            <w:pPr>
              <w:spacing w:after="0"/>
              <w:rPr>
                <w:sz w:val="6"/>
                <w:szCs w:val="6"/>
                <w:color w:val="auto"/>
              </w:rPr>
            </w:pPr>
          </w:p>
        </w:tc>
      </w:tr>
      <w:tr>
        <w:trPr>
          <w:trHeight w:val="254"/>
        </w:trPr>
        <w:tc>
          <w:tcPr>
            <w:tcW w:w="108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Corporate</w:t>
            </w:r>
          </w:p>
        </w:tc>
        <w:tc>
          <w:tcPr>
            <w:tcW w:w="4440" w:type="dxa"/>
            <w:vAlign w:val="bottom"/>
            <w:shd w:val="clear" w:color="auto" w:fill="E5E5E5"/>
          </w:tcPr>
          <w:p>
            <w:pPr>
              <w:ind w:left="180"/>
              <w:spacing w:after="0"/>
              <w:rPr>
                <w:sz w:val="20"/>
                <w:szCs w:val="20"/>
                <w:color w:val="auto"/>
              </w:rPr>
            </w:pPr>
            <w:r>
              <w:rPr>
                <w:rFonts w:ascii="Arial" w:cs="Arial" w:eastAsia="Arial" w:hAnsi="Arial"/>
                <w:sz w:val="16"/>
                <w:szCs w:val="16"/>
                <w:color w:val="auto"/>
              </w:rPr>
              <w:t>Weight: 20%</w:t>
            </w:r>
          </w:p>
        </w:tc>
        <w:tc>
          <w:tcPr>
            <w:tcW w:w="57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Met, including some stretch goals</w:t>
            </w:r>
          </w:p>
        </w:tc>
      </w:tr>
      <w:tr>
        <w:trPr>
          <w:trHeight w:val="326"/>
        </w:trPr>
        <w:tc>
          <w:tcPr>
            <w:tcW w:w="5520" w:type="dxa"/>
            <w:vAlign w:val="bottom"/>
            <w:gridSpan w:val="2"/>
            <w:shd w:val="clear" w:color="auto" w:fill="E5E5E5"/>
          </w:tcPr>
          <w:p>
            <w:pPr>
              <w:ind w:left="120"/>
              <w:spacing w:after="0"/>
              <w:rPr>
                <w:sz w:val="20"/>
                <w:szCs w:val="20"/>
                <w:color w:val="auto"/>
              </w:rPr>
            </w:pPr>
            <w:r>
              <w:rPr>
                <w:rFonts w:ascii="Arial" w:cs="Arial" w:eastAsia="Arial" w:hAnsi="Arial"/>
                <w:sz w:val="16"/>
                <w:szCs w:val="16"/>
                <w:i w:val="1"/>
                <w:iCs w:val="1"/>
                <w:color w:val="auto"/>
              </w:rPr>
              <w:t>Meet certain goals related to capital formation, market capitalization; board</w:t>
            </w:r>
          </w:p>
        </w:tc>
        <w:tc>
          <w:tcPr>
            <w:tcW w:w="57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Ended fiscal 2022 with more than $700 million cash Generated more than</w:t>
            </w:r>
          </w:p>
        </w:tc>
      </w:tr>
      <w:tr>
        <w:trPr>
          <w:trHeight w:val="215"/>
        </w:trPr>
        <w:tc>
          <w:tcPr>
            <w:tcW w:w="5520" w:type="dxa"/>
            <w:vAlign w:val="bottom"/>
            <w:gridSpan w:val="2"/>
            <w:shd w:val="clear" w:color="auto" w:fill="E5E5E5"/>
          </w:tcPr>
          <w:p>
            <w:pPr>
              <w:ind w:left="120"/>
              <w:spacing w:after="0"/>
              <w:rPr>
                <w:sz w:val="20"/>
                <w:szCs w:val="20"/>
                <w:color w:val="auto"/>
              </w:rPr>
            </w:pPr>
            <w:r>
              <w:rPr>
                <w:rFonts w:ascii="Arial" w:cs="Arial" w:eastAsia="Arial" w:hAnsi="Arial"/>
                <w:sz w:val="16"/>
                <w:szCs w:val="16"/>
                <w:i w:val="1"/>
                <w:iCs w:val="1"/>
                <w:color w:val="auto"/>
              </w:rPr>
              <w:t>interface with scientific leaders</w:t>
            </w:r>
          </w:p>
        </w:tc>
        <w:tc>
          <w:tcPr>
            <w:tcW w:w="57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$100 million in non-dilutive capital</w:t>
            </w:r>
          </w:p>
        </w:tc>
      </w:tr>
      <w:tr>
        <w:trPr>
          <w:trHeight w:val="82"/>
        </w:trPr>
        <w:tc>
          <w:tcPr>
            <w:tcW w:w="1080" w:type="dxa"/>
            <w:vAlign w:val="bottom"/>
            <w:shd w:val="clear" w:color="auto" w:fill="E5E5E5"/>
          </w:tcPr>
          <w:p>
            <w:pPr>
              <w:spacing w:after="0"/>
              <w:rPr>
                <w:sz w:val="7"/>
                <w:szCs w:val="7"/>
                <w:color w:val="auto"/>
              </w:rPr>
            </w:pPr>
          </w:p>
        </w:tc>
        <w:tc>
          <w:tcPr>
            <w:tcW w:w="4440" w:type="dxa"/>
            <w:vAlign w:val="bottom"/>
            <w:shd w:val="clear" w:color="auto" w:fill="E5E5E5"/>
          </w:tcPr>
          <w:p>
            <w:pPr>
              <w:spacing w:after="0"/>
              <w:rPr>
                <w:sz w:val="7"/>
                <w:szCs w:val="7"/>
                <w:color w:val="auto"/>
              </w:rPr>
            </w:pPr>
          </w:p>
        </w:tc>
        <w:tc>
          <w:tcPr>
            <w:tcW w:w="5700" w:type="dxa"/>
            <w:vAlign w:val="bottom"/>
            <w:shd w:val="clear" w:color="auto" w:fill="E5E5E5"/>
          </w:tcPr>
          <w:p>
            <w:pPr>
              <w:spacing w:after="0"/>
              <w:rPr>
                <w:sz w:val="7"/>
                <w:szCs w:val="7"/>
                <w:color w:val="auto"/>
              </w:rPr>
            </w:pPr>
          </w:p>
        </w:tc>
      </w:tr>
    </w:tbl>
    <w:p>
      <w:pPr>
        <w:spacing w:after="0" w:line="40" w:lineRule="exact"/>
        <w:rPr>
          <w:sz w:val="20"/>
          <w:szCs w:val="20"/>
          <w:color w:val="auto"/>
        </w:rPr>
      </w:pPr>
    </w:p>
    <w:p>
      <w:pPr>
        <w:sectPr>
          <w:pgSz w:w="11900" w:h="16838" w:orient="portrait"/>
          <w:cols w:equalWidth="0" w:num="1">
            <w:col w:w="11240"/>
          </w:cols>
          <w:pgMar w:left="320" w:top="212" w:right="339" w:bottom="1440" w:gutter="0" w:footer="0" w:header="0"/>
        </w:sectPr>
      </w:pPr>
    </w:p>
    <w:p>
      <w:pPr>
        <w:ind w:left="120"/>
        <w:spacing w:after="0"/>
        <w:tabs>
          <w:tab w:leader="none" w:pos="2620" w:val="left"/>
        </w:tabs>
        <w:rPr>
          <w:sz w:val="20"/>
          <w:szCs w:val="20"/>
          <w:color w:val="auto"/>
        </w:rPr>
      </w:pPr>
      <w:r>
        <w:rPr>
          <w:rFonts w:ascii="Arial" w:cs="Arial" w:eastAsia="Arial" w:hAnsi="Arial"/>
          <w:sz w:val="16"/>
          <w:szCs w:val="16"/>
          <w:b w:val="1"/>
          <w:bCs w:val="1"/>
          <w:color w:val="auto"/>
        </w:rPr>
        <w:t>New Business Development</w:t>
      </w:r>
      <w:r>
        <w:rPr>
          <w:sz w:val="20"/>
          <w:szCs w:val="20"/>
          <w:color w:val="auto"/>
        </w:rPr>
        <w:tab/>
      </w:r>
      <w:r>
        <w:rPr>
          <w:rFonts w:ascii="Arial" w:cs="Arial" w:eastAsia="Arial" w:hAnsi="Arial"/>
          <w:sz w:val="16"/>
          <w:szCs w:val="16"/>
          <w:color w:val="auto"/>
        </w:rPr>
        <w:t>Weight: 15%</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Meet certain goals with regard to new pharma collaborations</w:t>
      </w:r>
    </w:p>
    <w:p>
      <w:pPr>
        <w:spacing w:after="0" w:line="327"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6"/>
          <w:szCs w:val="16"/>
          <w:b w:val="1"/>
          <w:bCs w:val="1"/>
          <w:color w:val="auto"/>
        </w:rPr>
        <w:t>Manufacturing</w:t>
      </w:r>
      <w:r>
        <w:rPr>
          <w:sz w:val="20"/>
          <w:szCs w:val="20"/>
          <w:color w:val="auto"/>
        </w:rPr>
        <w:tab/>
      </w:r>
      <w:r>
        <w:rPr>
          <w:rFonts w:ascii="Arial" w:cs="Arial" w:eastAsia="Arial" w:hAnsi="Arial"/>
          <w:sz w:val="16"/>
          <w:szCs w:val="16"/>
          <w:color w:val="auto"/>
        </w:rPr>
        <w:t>Weight: 10%</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Meet certain requirements pursuant to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tabs>
          <w:tab w:leader="none" w:pos="3080" w:val="left"/>
        </w:tabs>
        <w:rPr>
          <w:sz w:val="20"/>
          <w:szCs w:val="20"/>
          <w:color w:val="auto"/>
        </w:rPr>
      </w:pPr>
      <w:r>
        <w:rPr>
          <w:rFonts w:ascii="Arial" w:cs="Arial" w:eastAsia="Arial" w:hAnsi="Arial"/>
          <w:sz w:val="16"/>
          <w:szCs w:val="16"/>
          <w:b w:val="1"/>
          <w:bCs w:val="1"/>
          <w:color w:val="auto"/>
        </w:rPr>
        <w:t>Discovery and Early Development</w:t>
      </w:r>
      <w:r>
        <w:rPr>
          <w:sz w:val="20"/>
          <w:szCs w:val="20"/>
          <w:color w:val="auto"/>
        </w:rPr>
        <w:tab/>
      </w:r>
      <w:r>
        <w:rPr>
          <w:rFonts w:ascii="Arial" w:cs="Arial" w:eastAsia="Arial" w:hAnsi="Arial"/>
          <w:sz w:val="15"/>
          <w:szCs w:val="15"/>
          <w:color w:val="auto"/>
        </w:rPr>
        <w:t>Weight: 25%</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i w:val="1"/>
          <w:iCs w:val="1"/>
          <w:color w:val="auto"/>
        </w:rPr>
        <w:t>Meet certain goals with regard to progress on our pre-clinical and early clinical programs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Met</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Formed joint venture in China to develop and commercialize certain assets in China; raised more than $50 million for China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55880</wp:posOffset>
            </wp:positionV>
            <wp:extent cx="7115175" cy="925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92583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Met, including stretch goals</w:t>
      </w:r>
    </w:p>
    <w:p>
      <w:pPr>
        <w:spacing w:after="0" w:line="194"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Increased in-house production of clinical drug substance supply by more than 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Meaningful breakthrough in drug substance process development.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Met, including some stretch goals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Nomination of a first drug candidate in a not-yet-disclosed new tissue.</w:t>
      </w:r>
    </w:p>
    <w:p>
      <w:pPr>
        <w:spacing w:after="0" w:line="248"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Achieve target knock-down in non-human primate study for a pulmonary drug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Submit new clinical trial applications for four new studies.</w:t>
      </w:r>
    </w:p>
    <w:p>
      <w:pPr>
        <w:spacing w:after="0" w:line="221" w:lineRule="exact"/>
        <w:rPr>
          <w:sz w:val="20"/>
          <w:szCs w:val="20"/>
          <w:color w:val="auto"/>
        </w:rPr>
      </w:pPr>
    </w:p>
    <w:p>
      <w:pPr>
        <w:ind w:right="840"/>
        <w:spacing w:after="0" w:line="251" w:lineRule="auto"/>
        <w:rPr>
          <w:sz w:val="20"/>
          <w:szCs w:val="20"/>
          <w:color w:val="auto"/>
        </w:rPr>
      </w:pPr>
      <w:r>
        <w:rPr>
          <w:rFonts w:ascii="Arial" w:cs="Arial" w:eastAsia="Arial" w:hAnsi="Arial"/>
          <w:sz w:val="16"/>
          <w:szCs w:val="16"/>
          <w:color w:val="auto"/>
        </w:rPr>
        <w:t>Establish pre-clinical proof-of-concept evidence in an entirely new (undisclosed) cell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-3175</wp:posOffset>
            </wp:positionV>
            <wp:extent cx="7115175" cy="1183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18300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5180" w:space="520"/>
            <w:col w:w="5540"/>
          </w:cols>
          <w:pgMar w:left="320" w:top="212" w:right="3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1820" w:type="dxa"/>
            <w:vAlign w:val="bottom"/>
          </w:tcPr>
          <w:p>
            <w:pPr>
              <w:spacing w:after="0"/>
              <w:rPr>
                <w:sz w:val="20"/>
                <w:szCs w:val="20"/>
                <w:color w:val="auto"/>
              </w:rPr>
            </w:pPr>
            <w:r>
              <w:rPr>
                <w:rFonts w:ascii="Arial" w:cs="Arial" w:eastAsia="Arial" w:hAnsi="Arial"/>
                <w:sz w:val="16"/>
                <w:szCs w:val="16"/>
                <w:b w:val="1"/>
                <w:bCs w:val="1"/>
                <w:color w:val="auto"/>
              </w:rPr>
              <w:t>Clinical Development</w:t>
            </w:r>
          </w:p>
        </w:tc>
        <w:tc>
          <w:tcPr>
            <w:tcW w:w="3320" w:type="dxa"/>
            <w:vAlign w:val="bottom"/>
          </w:tcPr>
          <w:p>
            <w:pPr>
              <w:ind w:left="180"/>
              <w:spacing w:after="0"/>
              <w:rPr>
                <w:sz w:val="20"/>
                <w:szCs w:val="20"/>
                <w:color w:val="auto"/>
              </w:rPr>
            </w:pPr>
            <w:r>
              <w:rPr>
                <w:rFonts w:ascii="Arial" w:cs="Arial" w:eastAsia="Arial" w:hAnsi="Arial"/>
                <w:sz w:val="16"/>
                <w:szCs w:val="16"/>
                <w:color w:val="auto"/>
              </w:rPr>
              <w:t>Weight: 25%</w:t>
            </w:r>
          </w:p>
        </w:tc>
        <w:tc>
          <w:tcPr>
            <w:tcW w:w="4000" w:type="dxa"/>
            <w:vAlign w:val="bottom"/>
            <w:vMerge w:val="restart"/>
          </w:tcPr>
          <w:p>
            <w:pPr>
              <w:ind w:left="440"/>
              <w:spacing w:after="0"/>
              <w:rPr>
                <w:sz w:val="20"/>
                <w:szCs w:val="20"/>
                <w:color w:val="auto"/>
              </w:rPr>
            </w:pPr>
            <w:r>
              <w:rPr>
                <w:rFonts w:ascii="Arial" w:cs="Arial" w:eastAsia="Arial" w:hAnsi="Arial"/>
                <w:sz w:val="16"/>
                <w:szCs w:val="16"/>
                <w:color w:val="auto"/>
              </w:rPr>
              <w:t>Met, including some stretch goals</w:t>
            </w:r>
          </w:p>
        </w:tc>
        <w:tc>
          <w:tcPr>
            <w:tcW w:w="0" w:type="dxa"/>
            <w:vAlign w:val="bottom"/>
          </w:tcPr>
          <w:p>
            <w:pPr>
              <w:spacing w:after="0"/>
              <w:rPr>
                <w:sz w:val="1"/>
                <w:szCs w:val="1"/>
                <w:color w:val="auto"/>
              </w:rPr>
            </w:pPr>
          </w:p>
        </w:tc>
      </w:tr>
      <w:tr>
        <w:trPr>
          <w:trHeight w:val="114"/>
        </w:trPr>
        <w:tc>
          <w:tcPr>
            <w:tcW w:w="51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Meet certain goals relating to Phase 2 and 3 studies in our clinical</w:t>
            </w: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140" w:type="dxa"/>
            <w:vAlign w:val="bottom"/>
            <w:gridSpan w:val="2"/>
            <w:vMerge w:val="continue"/>
          </w:tcPr>
          <w:p>
            <w:pPr>
              <w:spacing w:after="0"/>
              <w:rPr>
                <w:sz w:val="13"/>
                <w:szCs w:val="13"/>
                <w:color w:val="auto"/>
              </w:rPr>
            </w:pPr>
          </w:p>
        </w:tc>
        <w:tc>
          <w:tcPr>
            <w:tcW w:w="4000" w:type="dxa"/>
            <w:vAlign w:val="bottom"/>
            <w:vMerge w:val="restart"/>
          </w:tcPr>
          <w:p>
            <w:pPr>
              <w:ind w:left="440"/>
              <w:spacing w:after="0"/>
              <w:rPr>
                <w:sz w:val="20"/>
                <w:szCs w:val="20"/>
                <w:color w:val="auto"/>
              </w:rPr>
            </w:pPr>
            <w:r>
              <w:rPr>
                <w:rFonts w:ascii="Arial" w:cs="Arial" w:eastAsia="Arial" w:hAnsi="Arial"/>
                <w:sz w:val="16"/>
                <w:szCs w:val="16"/>
                <w:color w:val="auto"/>
              </w:rPr>
              <w:t>Complete enrollment for ARO-ANG2 Phase 2 trial</w:t>
            </w:r>
          </w:p>
        </w:tc>
        <w:tc>
          <w:tcPr>
            <w:tcW w:w="0" w:type="dxa"/>
            <w:vAlign w:val="bottom"/>
          </w:tcPr>
          <w:p>
            <w:pPr>
              <w:spacing w:after="0"/>
              <w:rPr>
                <w:sz w:val="1"/>
                <w:szCs w:val="1"/>
                <w:color w:val="auto"/>
              </w:rPr>
            </w:pPr>
          </w:p>
        </w:tc>
      </w:tr>
      <w:tr>
        <w:trPr>
          <w:trHeight w:val="213"/>
        </w:trPr>
        <w:tc>
          <w:tcPr>
            <w:tcW w:w="1820" w:type="dxa"/>
            <w:vAlign w:val="bottom"/>
          </w:tcPr>
          <w:p>
            <w:pPr>
              <w:spacing w:after="0"/>
              <w:rPr>
                <w:sz w:val="20"/>
                <w:szCs w:val="20"/>
                <w:color w:val="auto"/>
              </w:rPr>
            </w:pPr>
            <w:r>
              <w:rPr>
                <w:rFonts w:ascii="Arial" w:cs="Arial" w:eastAsia="Arial" w:hAnsi="Arial"/>
                <w:sz w:val="16"/>
                <w:szCs w:val="16"/>
                <w:i w:val="1"/>
                <w:iCs w:val="1"/>
                <w:color w:val="auto"/>
              </w:rPr>
              <w:t>programs.</w:t>
            </w:r>
          </w:p>
        </w:tc>
        <w:tc>
          <w:tcPr>
            <w:tcW w:w="33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Complete ARO-APOC3 sHTG Phase 2 trial</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Complete enrollment of ARO-APOC3 MD Phase 2 trial</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Significant number of patients dose in two cardiometabolic trials.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Early Commercial </w:t>
      </w:r>
      <w:r>
        <w:rPr>
          <w:rFonts w:ascii="Arial" w:cs="Arial" w:eastAsia="Arial" w:hAnsi="Arial"/>
          <w:sz w:val="16"/>
          <w:szCs w:val="16"/>
          <w:color w:val="auto"/>
        </w:rPr>
        <w:t>Weight: 5%</w:t>
      </w:r>
    </w:p>
    <w:p>
      <w:pPr>
        <w:jc w:val="center"/>
        <w:ind w:left="400"/>
        <w:spacing w:after="0"/>
        <w:rPr>
          <w:sz w:val="20"/>
          <w:szCs w:val="20"/>
          <w:color w:val="auto"/>
        </w:rPr>
      </w:pPr>
      <w:r>
        <w:rPr>
          <w:rFonts w:ascii="Arial" w:cs="Arial" w:eastAsia="Arial" w:hAnsi="Arial"/>
          <w:sz w:val="16"/>
          <w:szCs w:val="16"/>
          <w:color w:val="auto"/>
        </w:rPr>
        <w:t>Met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Meet certain goals for our early commercial capabilities</w:t>
      </w:r>
    </w:p>
    <w:p>
      <w:pPr>
        <w:spacing w:after="0" w:line="1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Optimize target product profiles for three early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actual annual cash incentive award payments earned by our incumbent NEOs ranged from 90%-100% of the respective target award opportunities. Except for the annual incentive award for our CEO, these awards were recommended by our CEO and approved by the Compensation Committee based on the overall achievement of our goals, their contributions to the goals and the overall performance of each executive officer during the year. The following table sets forth the target annual cash incentive award opportunities, the target award expressed as a percentage of each NEO’s base salary and the actual award payment made in cash or cash equivalents to each of our NEOs based on their performance in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803910</wp:posOffset>
            </wp:positionV>
            <wp:extent cx="98615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38</w:t>
      </w:r>
    </w:p>
    <w:p>
      <w:pPr>
        <w:sectPr>
          <w:pgSz w:w="11900" w:h="16838" w:orient="portrait"/>
          <w:cols w:equalWidth="0" w:num="1">
            <w:col w:w="11240"/>
          </w:cols>
          <w:pgMar w:left="320" w:top="212"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15175" cy="4889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1460"/>
        <w:spacing w:after="0"/>
        <w:rPr>
          <w:sz w:val="20"/>
          <w:szCs w:val="20"/>
          <w:color w:val="auto"/>
        </w:rPr>
      </w:pPr>
      <w:r>
        <w:rPr>
          <w:rFonts w:ascii="Arial" w:cs="Arial" w:eastAsia="Arial" w:hAnsi="Arial"/>
          <w:sz w:val="14"/>
          <w:szCs w:val="14"/>
          <w:b w:val="1"/>
          <w:bCs w:val="1"/>
          <w:color w:val="FFFFFF"/>
        </w:rPr>
        <w:t>Target Annual</w:t>
      </w:r>
    </w:p>
    <w:p>
      <w:pPr>
        <w:jc w:val="center"/>
        <w:ind w:left="1460"/>
        <w:spacing w:after="0" w:line="221" w:lineRule="auto"/>
        <w:rPr>
          <w:sz w:val="20"/>
          <w:szCs w:val="20"/>
          <w:color w:val="auto"/>
        </w:rPr>
      </w:pPr>
      <w:r>
        <w:rPr>
          <w:rFonts w:ascii="Arial" w:cs="Arial" w:eastAsia="Arial" w:hAnsi="Arial"/>
          <w:sz w:val="14"/>
          <w:szCs w:val="14"/>
          <w:b w:val="1"/>
          <w:bCs w:val="1"/>
          <w:color w:val="FFFFFF"/>
        </w:rPr>
        <w:t>Incentive Award</w:t>
      </w:r>
    </w:p>
    <w:tbl>
      <w:tblPr>
        <w:tblLayout w:type="fixed"/>
        <w:tblInd w:w="0" w:type="dxa"/>
        <w:tblCellMar>
          <w:top w:w="0" w:type="dxa"/>
          <w:left w:w="0" w:type="dxa"/>
          <w:bottom w:w="0" w:type="dxa"/>
          <w:right w:w="0" w:type="dxa"/>
        </w:tblCellMar>
      </w:tblPr>
      <w:tr>
        <w:trPr>
          <w:trHeight w:val="130"/>
        </w:trPr>
        <w:tc>
          <w:tcPr>
            <w:tcW w:w="3520" w:type="dxa"/>
            <w:vAlign w:val="bottom"/>
            <w:vMerge w:val="restart"/>
          </w:tcPr>
          <w:p>
            <w:pPr>
              <w:ind w:left="140"/>
              <w:spacing w:after="0"/>
              <w:rPr>
                <w:sz w:val="20"/>
                <w:szCs w:val="20"/>
                <w:color w:val="auto"/>
              </w:rPr>
            </w:pPr>
            <w:r>
              <w:rPr>
                <w:rFonts w:ascii="Arial" w:cs="Arial" w:eastAsia="Arial" w:hAnsi="Arial"/>
                <w:sz w:val="14"/>
                <w:szCs w:val="14"/>
                <w:b w:val="1"/>
                <w:bCs w:val="1"/>
                <w:color w:val="FFFFFF"/>
              </w:rPr>
              <w:t>Named Executive</w:t>
            </w:r>
          </w:p>
        </w:tc>
        <w:tc>
          <w:tcPr>
            <w:tcW w:w="3740" w:type="dxa"/>
            <w:vAlign w:val="bottom"/>
          </w:tcPr>
          <w:p>
            <w:pPr>
              <w:jc w:val="center"/>
              <w:ind w:left="1877"/>
              <w:spacing w:after="0" w:line="131" w:lineRule="exact"/>
              <w:rPr>
                <w:sz w:val="20"/>
                <w:szCs w:val="20"/>
                <w:color w:val="auto"/>
              </w:rPr>
            </w:pPr>
            <w:r>
              <w:rPr>
                <w:rFonts w:ascii="Arial" w:cs="Arial" w:eastAsia="Arial" w:hAnsi="Arial"/>
                <w:sz w:val="14"/>
                <w:szCs w:val="14"/>
                <w:b w:val="1"/>
                <w:bCs w:val="1"/>
                <w:color w:val="FFFFFF"/>
              </w:rPr>
              <w:t>Opportunity (as a</w:t>
            </w:r>
          </w:p>
        </w:tc>
        <w:tc>
          <w:tcPr>
            <w:tcW w:w="228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FFFFFF"/>
              </w:rPr>
              <w:t>Actual Annual</w:t>
            </w:r>
          </w:p>
        </w:tc>
        <w:tc>
          <w:tcPr>
            <w:tcW w:w="0" w:type="dxa"/>
            <w:vAlign w:val="bottom"/>
          </w:tcPr>
          <w:p>
            <w:pPr>
              <w:spacing w:after="0"/>
              <w:rPr>
                <w:sz w:val="1"/>
                <w:szCs w:val="1"/>
                <w:color w:val="auto"/>
              </w:rPr>
            </w:pPr>
          </w:p>
        </w:tc>
      </w:tr>
      <w:tr>
        <w:trPr>
          <w:trHeight w:val="148"/>
        </w:trPr>
        <w:tc>
          <w:tcPr>
            <w:tcW w:w="3520" w:type="dxa"/>
            <w:vAlign w:val="bottom"/>
            <w:vMerge w:val="continue"/>
          </w:tcPr>
          <w:p>
            <w:pPr>
              <w:spacing w:after="0"/>
              <w:rPr>
                <w:sz w:val="12"/>
                <w:szCs w:val="12"/>
                <w:color w:val="auto"/>
              </w:rPr>
            </w:pPr>
          </w:p>
        </w:tc>
        <w:tc>
          <w:tcPr>
            <w:tcW w:w="3740" w:type="dxa"/>
            <w:vAlign w:val="bottom"/>
          </w:tcPr>
          <w:p>
            <w:pPr>
              <w:jc w:val="center"/>
              <w:ind w:left="1877"/>
              <w:spacing w:after="0" w:line="149" w:lineRule="exact"/>
              <w:rPr>
                <w:sz w:val="20"/>
                <w:szCs w:val="20"/>
                <w:color w:val="auto"/>
              </w:rPr>
            </w:pPr>
            <w:r>
              <w:rPr>
                <w:rFonts w:ascii="Arial" w:cs="Arial" w:eastAsia="Arial" w:hAnsi="Arial"/>
                <w:sz w:val="14"/>
                <w:szCs w:val="14"/>
                <w:b w:val="1"/>
                <w:bCs w:val="1"/>
                <w:color w:val="FFFFFF"/>
              </w:rPr>
              <w:t>percentage of base</w:t>
            </w:r>
          </w:p>
        </w:tc>
        <w:tc>
          <w:tcPr>
            <w:tcW w:w="2280" w:type="dxa"/>
            <w:vAlign w:val="bottom"/>
            <w:vMerge w:val="restart"/>
          </w:tcPr>
          <w:p>
            <w:pPr>
              <w:ind w:left="220"/>
              <w:spacing w:after="0"/>
              <w:rPr>
                <w:sz w:val="20"/>
                <w:szCs w:val="20"/>
                <w:color w:val="auto"/>
              </w:rPr>
            </w:pPr>
            <w:r>
              <w:rPr>
                <w:rFonts w:ascii="Arial" w:cs="Arial" w:eastAsia="Arial" w:hAnsi="Arial"/>
                <w:sz w:val="14"/>
                <w:szCs w:val="14"/>
                <w:b w:val="1"/>
                <w:bCs w:val="1"/>
                <w:color w:val="FFFFFF"/>
              </w:rPr>
              <w:t>Achievement target bonus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Incentive Award</w:t>
            </w:r>
          </w:p>
        </w:tc>
        <w:tc>
          <w:tcPr>
            <w:tcW w:w="0" w:type="dxa"/>
            <w:vAlign w:val="bottom"/>
          </w:tcPr>
          <w:p>
            <w:pPr>
              <w:spacing w:after="0"/>
              <w:rPr>
                <w:sz w:val="1"/>
                <w:szCs w:val="1"/>
                <w:color w:val="auto"/>
              </w:rPr>
            </w:pPr>
          </w:p>
        </w:tc>
      </w:tr>
      <w:tr>
        <w:trPr>
          <w:trHeight w:val="189"/>
        </w:trPr>
        <w:tc>
          <w:tcPr>
            <w:tcW w:w="3520" w:type="dxa"/>
            <w:vAlign w:val="bottom"/>
          </w:tcPr>
          <w:p>
            <w:pPr>
              <w:ind w:left="140"/>
              <w:spacing w:after="0"/>
              <w:rPr>
                <w:sz w:val="20"/>
                <w:szCs w:val="20"/>
                <w:color w:val="auto"/>
              </w:rPr>
            </w:pPr>
            <w:r>
              <w:rPr>
                <w:rFonts w:ascii="Arial" w:cs="Arial" w:eastAsia="Arial" w:hAnsi="Arial"/>
                <w:sz w:val="14"/>
                <w:szCs w:val="14"/>
                <w:b w:val="1"/>
                <w:bCs w:val="1"/>
                <w:color w:val="FFFFFF"/>
              </w:rPr>
              <w:t>Officer</w:t>
            </w:r>
          </w:p>
        </w:tc>
        <w:tc>
          <w:tcPr>
            <w:tcW w:w="3740" w:type="dxa"/>
            <w:vAlign w:val="bottom"/>
          </w:tcPr>
          <w:p>
            <w:pPr>
              <w:jc w:val="center"/>
              <w:ind w:left="1877"/>
              <w:spacing w:after="0"/>
              <w:rPr>
                <w:sz w:val="20"/>
                <w:szCs w:val="20"/>
                <w:color w:val="auto"/>
              </w:rPr>
            </w:pPr>
            <w:r>
              <w:rPr>
                <w:rFonts w:ascii="Arial" w:cs="Arial" w:eastAsia="Arial" w:hAnsi="Arial"/>
                <w:sz w:val="14"/>
                <w:szCs w:val="14"/>
                <w:b w:val="1"/>
                <w:bCs w:val="1"/>
                <w:color w:val="FFFFFF"/>
              </w:rPr>
              <w:t>salary)</w:t>
            </w:r>
          </w:p>
        </w:tc>
        <w:tc>
          <w:tcPr>
            <w:tcW w:w="2280" w:type="dxa"/>
            <w:vAlign w:val="bottom"/>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29"/>
        </w:trPr>
        <w:tc>
          <w:tcPr>
            <w:tcW w:w="3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Dr. Anzalone</w:t>
            </w:r>
          </w:p>
        </w:tc>
        <w:tc>
          <w:tcPr>
            <w:tcW w:w="3740" w:type="dxa"/>
            <w:vAlign w:val="bottom"/>
            <w:shd w:val="clear" w:color="auto" w:fill="E5E5E5"/>
          </w:tcPr>
          <w:p>
            <w:pPr>
              <w:jc w:val="center"/>
              <w:ind w:left="1877"/>
              <w:spacing w:after="0"/>
              <w:rPr>
                <w:sz w:val="20"/>
                <w:szCs w:val="20"/>
                <w:color w:val="auto"/>
              </w:rPr>
            </w:pPr>
            <w:r>
              <w:rPr>
                <w:rFonts w:ascii="Arial" w:cs="Arial" w:eastAsia="Arial" w:hAnsi="Arial"/>
                <w:sz w:val="18"/>
                <w:szCs w:val="18"/>
                <w:color w:val="auto"/>
                <w:w w:val="99"/>
              </w:rPr>
              <w:t>100%</w:t>
            </w:r>
          </w:p>
        </w:tc>
        <w:tc>
          <w:tcPr>
            <w:tcW w:w="22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90%</w:t>
            </w:r>
          </w:p>
        </w:tc>
        <w:tc>
          <w:tcPr>
            <w:tcW w:w="16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$783,315</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Mr. Myszkowski</w:t>
            </w:r>
          </w:p>
        </w:tc>
        <w:tc>
          <w:tcPr>
            <w:tcW w:w="3740" w:type="dxa"/>
            <w:vAlign w:val="bottom"/>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tcPr>
          <w:p>
            <w:pPr>
              <w:jc w:val="right"/>
              <w:ind w:right="157"/>
              <w:spacing w:after="0"/>
              <w:rPr>
                <w:sz w:val="20"/>
                <w:szCs w:val="20"/>
                <w:color w:val="auto"/>
              </w:rPr>
            </w:pPr>
            <w:r>
              <w:rPr>
                <w:rFonts w:ascii="Arial" w:cs="Arial" w:eastAsia="Arial" w:hAnsi="Arial"/>
                <w:sz w:val="18"/>
                <w:szCs w:val="18"/>
                <w:color w:val="auto"/>
              </w:rPr>
              <w:t>$238,106</w:t>
            </w:r>
          </w:p>
        </w:tc>
        <w:tc>
          <w:tcPr>
            <w:tcW w:w="0" w:type="dxa"/>
            <w:vAlign w:val="bottom"/>
          </w:tcPr>
          <w:p>
            <w:pPr>
              <w:spacing w:after="0"/>
              <w:rPr>
                <w:sz w:val="1"/>
                <w:szCs w:val="1"/>
                <w:color w:val="auto"/>
              </w:rPr>
            </w:pPr>
          </w:p>
        </w:tc>
      </w:tr>
      <w:tr>
        <w:trPr>
          <w:trHeight w:val="230"/>
        </w:trPr>
        <w:tc>
          <w:tcPr>
            <w:tcW w:w="3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Mr. O’Brien</w:t>
            </w:r>
          </w:p>
        </w:tc>
        <w:tc>
          <w:tcPr>
            <w:tcW w:w="3740" w:type="dxa"/>
            <w:vAlign w:val="bottom"/>
            <w:shd w:val="clear" w:color="auto" w:fill="E5E5E5"/>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$235,599</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Dr. Hamilton</w:t>
            </w:r>
          </w:p>
        </w:tc>
        <w:tc>
          <w:tcPr>
            <w:tcW w:w="3740" w:type="dxa"/>
            <w:vAlign w:val="bottom"/>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tcPr>
          <w:p>
            <w:pPr>
              <w:jc w:val="right"/>
              <w:ind w:right="157"/>
              <w:spacing w:after="0"/>
              <w:rPr>
                <w:sz w:val="20"/>
                <w:szCs w:val="20"/>
                <w:color w:val="auto"/>
              </w:rPr>
            </w:pPr>
            <w:r>
              <w:rPr>
                <w:rFonts w:ascii="Arial" w:cs="Arial" w:eastAsia="Arial" w:hAnsi="Arial"/>
                <w:sz w:val="18"/>
                <w:szCs w:val="18"/>
                <w:color w:val="auto"/>
              </w:rPr>
              <w:t>$212,580</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8"/>
                <w:szCs w:val="18"/>
                <w:color w:val="auto"/>
              </w:rPr>
              <w:t>Ms. Oliver (1)</w:t>
            </w:r>
          </w:p>
        </w:tc>
        <w:tc>
          <w:tcPr>
            <w:tcW w:w="3740" w:type="dxa"/>
            <w:vAlign w:val="bottom"/>
            <w:tcBorders>
              <w:bottom w:val="single" w:sz="8" w:color="0071CE"/>
            </w:tcBorders>
            <w:shd w:val="clear" w:color="auto" w:fill="E5E5E5"/>
          </w:tcPr>
          <w:p>
            <w:pPr>
              <w:jc w:val="center"/>
              <w:ind w:left="1857"/>
              <w:spacing w:after="0"/>
              <w:rPr>
                <w:sz w:val="20"/>
                <w:szCs w:val="20"/>
                <w:color w:val="auto"/>
              </w:rPr>
            </w:pPr>
            <w:r>
              <w:rPr>
                <w:rFonts w:ascii="Arial" w:cs="Arial" w:eastAsia="Arial" w:hAnsi="Arial"/>
                <w:sz w:val="18"/>
                <w:szCs w:val="18"/>
                <w:color w:val="auto"/>
                <w:w w:val="99"/>
              </w:rPr>
              <w:t>40%</w:t>
            </w:r>
          </w:p>
        </w:tc>
        <w:tc>
          <w:tcPr>
            <w:tcW w:w="228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tcBorders>
              <w:bottom w:val="single" w:sz="8" w:color="0071CE"/>
            </w:tcBorders>
            <w:shd w:val="clear" w:color="auto" w:fill="E5E5E5"/>
          </w:tcPr>
          <w:p>
            <w:pPr>
              <w:jc w:val="right"/>
              <w:ind w:right="157"/>
              <w:spacing w:after="0"/>
              <w:rPr>
                <w:sz w:val="20"/>
                <w:szCs w:val="20"/>
                <w:color w:val="auto"/>
              </w:rPr>
            </w:pPr>
            <w:r>
              <w:rPr>
                <w:rFonts w:ascii="Arial" w:cs="Arial" w:eastAsia="Arial" w:hAnsi="Arial"/>
                <w:sz w:val="18"/>
                <w:szCs w:val="18"/>
                <w:color w:val="auto"/>
              </w:rPr>
              <w:t>$94,874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85" w:lineRule="auto"/>
        <w:tabs>
          <w:tab w:leader="none" w:pos="327" w:val="left"/>
        </w:tabs>
        <w:numPr>
          <w:ilvl w:val="0"/>
          <w:numId w:val="50"/>
        </w:numPr>
        <w:rPr>
          <w:rFonts w:ascii="Arial" w:cs="Arial" w:eastAsia="Arial" w:hAnsi="Arial"/>
          <w:sz w:val="14"/>
          <w:szCs w:val="14"/>
          <w:color w:val="auto"/>
        </w:rPr>
      </w:pPr>
      <w:r>
        <w:rPr>
          <w:rFonts w:ascii="Arial" w:cs="Arial" w:eastAsia="Arial" w:hAnsi="Arial"/>
          <w:sz w:val="14"/>
          <w:szCs w:val="14"/>
          <w:color w:val="auto"/>
        </w:rPr>
        <w:t>Ms. Oliver joined the Company in June 2022. Ms. Oliver received 100% of her target bonus, which was pro-rated to 53% of her target annual incentive opportunity based on her hire date.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incentive award payments made to our NEOs for fiscal 2022 are set forth in the “Fiscal 2022 Summary Compensation Table”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NEOs, to create value for our stockholders. Equity awards also help us retain qualified executive officers in a competitive market.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Long-Term Incentive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Annual equity awards granted to our executive officers are solely in the form of RSU awards that may be settled for shares of our common stock. Our CEO's award was initially designed entirely as a performance-based award. In July of 2022, in response to stockholder feedback and with the consent of Dr. Anzalone, our CEO’s fiscal 2022 compensation was revised to achieve a total, direct compensation equal to the median of his peers. This was achieved by significantly reducing the equity award and re-formulating the equity award to consist 60% of performance-based RSUs and 40% of time-based RSUs. Accordingly, Dr. Anzalone’s revised and recalculated equity award for fiscal 2022 consists of 248,803 RSUs, 40% (99,521) of which are time-based units that vest in four equal installments commencing on January 1, 2023, and 60% (149,282) of which are PRSU awards to be earned in three installments on the achievement of the following milestones:</w:t>
      </w:r>
    </w:p>
    <w:p>
      <w:pPr>
        <w:spacing w:after="0" w:line="162" w:lineRule="exact"/>
        <w:rPr>
          <w:sz w:val="20"/>
          <w:szCs w:val="20"/>
          <w:color w:val="auto"/>
        </w:rPr>
      </w:pPr>
    </w:p>
    <w:p>
      <w:pPr>
        <w:ind w:left="340" w:hanging="251"/>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Initiation by the Company of a Phase 3 clinical study of an investigational drug for a non-orphan indication (49,761 units);</w:t>
      </w:r>
    </w:p>
    <w:p>
      <w:pPr>
        <w:spacing w:after="0" w:line="221" w:lineRule="exact"/>
        <w:rPr>
          <w:rFonts w:ascii="Arial" w:cs="Arial" w:eastAsia="Arial" w:hAnsi="Arial"/>
          <w:sz w:val="16"/>
          <w:szCs w:val="16"/>
          <w:color w:val="auto"/>
        </w:rPr>
      </w:pPr>
    </w:p>
    <w:p>
      <w:pPr>
        <w:ind w:left="340" w:hanging="251"/>
        <w:spacing w:after="0" w:line="251"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Initiation of a Phase 2 study by the Company or one of its licensees for one of the Company’s non-hepatocyte targeted investigational drugs (49,761 units); and</w:t>
      </w:r>
    </w:p>
    <w:p>
      <w:pPr>
        <w:spacing w:after="0" w:line="176" w:lineRule="exact"/>
        <w:rPr>
          <w:rFonts w:ascii="Arial" w:cs="Arial" w:eastAsia="Arial" w:hAnsi="Arial"/>
          <w:sz w:val="16"/>
          <w:szCs w:val="16"/>
          <w:color w:val="auto"/>
        </w:rPr>
      </w:pPr>
    </w:p>
    <w:p>
      <w:pPr>
        <w:ind w:left="320" w:hanging="231"/>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Achievement of 15 Arrowhead-discovered drugs in clinical study or clinical use (inclusive of wholly-owned and out licensed drugs) (49,760 units).</w:t>
      </w:r>
    </w:p>
    <w:p>
      <w:pPr>
        <w:ind w:right="180"/>
        <w:spacing w:after="0" w:line="247" w:lineRule="auto"/>
        <w:rPr>
          <w:sz w:val="20"/>
          <w:szCs w:val="20"/>
          <w:color w:val="auto"/>
        </w:rPr>
      </w:pPr>
      <w:r>
        <w:rPr>
          <w:rFonts w:ascii="Arial" w:cs="Arial" w:eastAsia="Arial" w:hAnsi="Arial"/>
          <w:sz w:val="16"/>
          <w:szCs w:val="16"/>
          <w:color w:val="auto"/>
        </w:rPr>
        <w:t>The performance milestones must be achieved by January 1, 2026 or the portion of the PRSU tied to each specific milestone will expire. Each unit granted pursuant to the PRSU award represents a contingent right to receive one share of our common stock for each unit earned prior to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761365</wp:posOffset>
            </wp:positionV>
            <wp:extent cx="98615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39</w:t>
      </w:r>
    </w:p>
    <w:p>
      <w:pPr>
        <w:sectPr>
          <w:pgSz w:w="11900" w:h="16838" w:orient="portrait"/>
          <w:cols w:equalWidth="0" w:num="1">
            <w:col w:w="11240"/>
          </w:cols>
          <w:pgMar w:left="320" w:top="2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fiscal 2022, the Compensation Committee certified achievement of the performance milestones relating to the following PRSU awards: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shd w:val="clear" w:color="auto" w:fill="0071CE"/>
          </w:tcPr>
          <w:p>
            <w:pPr>
              <w:spacing w:after="0"/>
              <w:rPr>
                <w:sz w:val="16"/>
                <w:szCs w:val="16"/>
                <w:color w:val="auto"/>
              </w:rPr>
            </w:pPr>
          </w:p>
        </w:tc>
        <w:tc>
          <w:tcPr>
            <w:tcW w:w="1240" w:type="dxa"/>
            <w:vAlign w:val="bottom"/>
            <w:shd w:val="clear" w:color="auto" w:fill="0071CE"/>
          </w:tcPr>
          <w:p>
            <w:pPr>
              <w:spacing w:after="0"/>
              <w:rPr>
                <w:sz w:val="16"/>
                <w:szCs w:val="16"/>
                <w:color w:val="auto"/>
              </w:rPr>
            </w:pPr>
          </w:p>
        </w:tc>
        <w:tc>
          <w:tcPr>
            <w:tcW w:w="200" w:type="dxa"/>
            <w:vAlign w:val="bottom"/>
            <w:shd w:val="clear" w:color="auto" w:fill="0071CE"/>
          </w:tcPr>
          <w:p>
            <w:pPr>
              <w:spacing w:after="0"/>
              <w:rPr>
                <w:sz w:val="16"/>
                <w:szCs w:val="16"/>
                <w:color w:val="auto"/>
              </w:rPr>
            </w:pPr>
          </w:p>
        </w:tc>
        <w:tc>
          <w:tcPr>
            <w:tcW w:w="2040" w:type="dxa"/>
            <w:vAlign w:val="bottom"/>
            <w:shd w:val="clear" w:color="auto" w:fill="0071CE"/>
          </w:tcPr>
          <w:p>
            <w:pPr>
              <w:spacing w:after="0"/>
              <w:rPr>
                <w:sz w:val="16"/>
                <w:szCs w:val="16"/>
                <w:color w:val="auto"/>
              </w:rPr>
            </w:pPr>
          </w:p>
        </w:tc>
        <w:tc>
          <w:tcPr>
            <w:tcW w:w="200" w:type="dxa"/>
            <w:vAlign w:val="bottom"/>
            <w:shd w:val="clear" w:color="auto" w:fill="0071CE"/>
          </w:tcPr>
          <w:p>
            <w:pPr>
              <w:spacing w:after="0"/>
              <w:rPr>
                <w:sz w:val="16"/>
                <w:szCs w:val="16"/>
                <w:color w:val="auto"/>
              </w:rPr>
            </w:pPr>
          </w:p>
        </w:tc>
        <w:tc>
          <w:tcPr>
            <w:tcW w:w="2100" w:type="dxa"/>
            <w:vAlign w:val="bottom"/>
            <w:shd w:val="clear" w:color="auto" w:fill="0071CE"/>
          </w:tcPr>
          <w:p>
            <w:pPr>
              <w:ind w:left="600"/>
              <w:spacing w:after="0"/>
              <w:rPr>
                <w:sz w:val="20"/>
                <w:szCs w:val="20"/>
                <w:color w:val="auto"/>
              </w:rPr>
            </w:pPr>
            <w:r>
              <w:rPr>
                <w:rFonts w:ascii="Times New Roman" w:cs="Times New Roman" w:eastAsia="Times New Roman" w:hAnsi="Times New Roman"/>
                <w:sz w:val="14"/>
                <w:szCs w:val="14"/>
                <w:b w:val="1"/>
                <w:bCs w:val="1"/>
                <w:color w:val="auto"/>
              </w:rPr>
              <w:t>N</w:t>
            </w:r>
            <w:r>
              <w:rPr>
                <w:rFonts w:ascii="Arial" w:cs="Arial" w:eastAsia="Arial" w:hAnsi="Arial"/>
                <w:sz w:val="14"/>
                <w:szCs w:val="14"/>
                <w:b w:val="1"/>
                <w:bCs w:val="1"/>
                <w:color w:val="FFFFFF"/>
              </w:rPr>
              <w:t>o. of Shares</w:t>
            </w:r>
          </w:p>
        </w:tc>
        <w:tc>
          <w:tcPr>
            <w:tcW w:w="20" w:type="dxa"/>
            <w:vAlign w:val="bottom"/>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60" w:type="dxa"/>
            <w:vAlign w:val="bottom"/>
            <w:tcBorders>
              <w:bottom w:val="single" w:sz="8" w:color="0071CE"/>
            </w:tcBorders>
            <w:shd w:val="clear" w:color="auto" w:fill="0071CE"/>
          </w:tcPr>
          <w:p>
            <w:pPr>
              <w:ind w:left="20"/>
              <w:spacing w:after="0"/>
              <w:rPr>
                <w:sz w:val="20"/>
                <w:szCs w:val="20"/>
                <w:color w:val="auto"/>
              </w:rPr>
            </w:pPr>
            <w:r>
              <w:rPr>
                <w:rFonts w:ascii="Arial" w:cs="Arial" w:eastAsia="Arial" w:hAnsi="Arial"/>
                <w:sz w:val="14"/>
                <w:szCs w:val="14"/>
                <w:b w:val="1"/>
                <w:bCs w:val="1"/>
                <w:color w:val="FFFFFF"/>
              </w:rPr>
              <w:t>Performance Goal</w:t>
            </w:r>
          </w:p>
        </w:tc>
        <w:tc>
          <w:tcPr>
            <w:tcW w:w="1240" w:type="dxa"/>
            <w:vAlign w:val="bottom"/>
            <w:tcBorders>
              <w:bottom w:val="single" w:sz="8" w:color="0071CE"/>
            </w:tcBorders>
            <w:shd w:val="clear" w:color="auto" w:fill="0071CE"/>
          </w:tcPr>
          <w:p>
            <w:pPr>
              <w:spacing w:after="0"/>
              <w:rPr>
                <w:sz w:val="20"/>
                <w:szCs w:val="20"/>
                <w:color w:val="auto"/>
              </w:rPr>
            </w:pPr>
          </w:p>
        </w:tc>
        <w:tc>
          <w:tcPr>
            <w:tcW w:w="200" w:type="dxa"/>
            <w:vAlign w:val="bottom"/>
            <w:tcBorders>
              <w:bottom w:val="single" w:sz="8" w:color="0071CE"/>
            </w:tcBorders>
            <w:shd w:val="clear" w:color="auto" w:fill="0071CE"/>
          </w:tcPr>
          <w:p>
            <w:pPr>
              <w:spacing w:after="0"/>
              <w:rPr>
                <w:sz w:val="20"/>
                <w:szCs w:val="20"/>
                <w:color w:val="auto"/>
              </w:rPr>
            </w:pPr>
          </w:p>
        </w:tc>
        <w:tc>
          <w:tcPr>
            <w:tcW w:w="2240" w:type="dxa"/>
            <w:vAlign w:val="bottom"/>
            <w:tcBorders>
              <w:bottom w:val="single" w:sz="8" w:color="0071CE"/>
            </w:tcBorders>
            <w:gridSpan w:val="2"/>
            <w:shd w:val="clear" w:color="auto" w:fill="0071CE"/>
          </w:tcPr>
          <w:p>
            <w:pPr>
              <w:ind w:left="560"/>
              <w:spacing w:after="0"/>
              <w:rPr>
                <w:sz w:val="20"/>
                <w:szCs w:val="20"/>
                <w:color w:val="auto"/>
              </w:rPr>
            </w:pPr>
            <w:r>
              <w:rPr>
                <w:rFonts w:ascii="Arial" w:cs="Arial" w:eastAsia="Arial" w:hAnsi="Arial"/>
                <w:sz w:val="14"/>
                <w:szCs w:val="14"/>
                <w:b w:val="1"/>
                <w:bCs w:val="1"/>
                <w:color w:val="FFFFFF"/>
              </w:rPr>
              <w:t>Achievement</w:t>
            </w:r>
          </w:p>
        </w:tc>
        <w:tc>
          <w:tcPr>
            <w:tcW w:w="2100" w:type="dxa"/>
            <w:vAlign w:val="bottom"/>
            <w:tcBorders>
              <w:bottom w:val="single" w:sz="8" w:color="0071CE"/>
            </w:tcBorders>
            <w:shd w:val="clear" w:color="auto" w:fill="0071CE"/>
          </w:tcPr>
          <w:p>
            <w:pPr>
              <w:ind w:left="420"/>
              <w:spacing w:after="0"/>
              <w:rPr>
                <w:sz w:val="20"/>
                <w:szCs w:val="20"/>
                <w:color w:val="auto"/>
              </w:rPr>
            </w:pPr>
            <w:r>
              <w:rPr>
                <w:rFonts w:ascii="Arial" w:cs="Arial" w:eastAsia="Arial" w:hAnsi="Arial"/>
                <w:sz w:val="14"/>
                <w:szCs w:val="14"/>
                <w:b w:val="1"/>
                <w:bCs w:val="1"/>
                <w:color w:val="FFFFFF"/>
              </w:rPr>
              <w:t>Certified as Vested</w:t>
            </w:r>
          </w:p>
        </w:tc>
        <w:tc>
          <w:tcPr>
            <w:tcW w:w="20" w:type="dxa"/>
            <w:vAlign w:val="bottom"/>
            <w:tcBorders>
              <w:bottom w:val="single" w:sz="8" w:color="0071CE"/>
            </w:tcBorders>
            <w:shd w:val="clear" w:color="auto" w:fill="0071C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Achieve the largest active clinical pipeline of RNAi therapeutics</w:t>
            </w:r>
          </w:p>
        </w:tc>
        <w:tc>
          <w:tcPr>
            <w:tcW w:w="12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24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Certified in October 2021</w:t>
            </w:r>
          </w:p>
        </w:tc>
        <w:tc>
          <w:tcPr>
            <w:tcW w:w="2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100,000 shares pursuant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0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 PRSU award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546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i w:val="1"/>
                <w:iCs w:val="1"/>
                <w:color w:val="auto"/>
              </w:rPr>
              <w:t>Issued 01/2020</w:t>
            </w:r>
          </w:p>
        </w:tc>
        <w:tc>
          <w:tcPr>
            <w:tcW w:w="1240" w:type="dxa"/>
            <w:vAlign w:val="bottom"/>
            <w:tcBorders>
              <w:bottom w:val="single" w:sz="8" w:color="E5E5E5"/>
            </w:tcBorders>
            <w:shd w:val="clear" w:color="auto" w:fill="E5E5E5"/>
          </w:tcPr>
          <w:p>
            <w:pPr>
              <w:spacing w:after="0"/>
              <w:rPr>
                <w:sz w:val="24"/>
                <w:szCs w:val="24"/>
                <w:color w:val="auto"/>
              </w:rPr>
            </w:pPr>
          </w:p>
        </w:tc>
        <w:tc>
          <w:tcPr>
            <w:tcW w:w="200" w:type="dxa"/>
            <w:vAlign w:val="bottom"/>
            <w:tcBorders>
              <w:bottom w:val="single" w:sz="8" w:color="E5E5E5"/>
            </w:tcBorders>
            <w:shd w:val="clear" w:color="auto" w:fill="E5E5E5"/>
          </w:tcPr>
          <w:p>
            <w:pPr>
              <w:spacing w:after="0"/>
              <w:rPr>
                <w:sz w:val="24"/>
                <w:szCs w:val="24"/>
                <w:color w:val="auto"/>
              </w:rPr>
            </w:pPr>
          </w:p>
        </w:tc>
        <w:tc>
          <w:tcPr>
            <w:tcW w:w="2040" w:type="dxa"/>
            <w:vAlign w:val="bottom"/>
            <w:tcBorders>
              <w:bottom w:val="single" w:sz="8" w:color="E5E5E5"/>
            </w:tcBorders>
            <w:shd w:val="clear" w:color="auto" w:fill="E5E5E5"/>
          </w:tcPr>
          <w:p>
            <w:pPr>
              <w:spacing w:after="0"/>
              <w:rPr>
                <w:sz w:val="24"/>
                <w:szCs w:val="24"/>
                <w:color w:val="auto"/>
              </w:rPr>
            </w:pPr>
          </w:p>
        </w:tc>
        <w:tc>
          <w:tcPr>
            <w:tcW w:w="200" w:type="dxa"/>
            <w:vAlign w:val="bottom"/>
            <w:tcBorders>
              <w:bottom w:val="single" w:sz="8" w:color="E5E5E5"/>
            </w:tcBorders>
            <w:shd w:val="clear" w:color="auto" w:fill="E5E5E5"/>
          </w:tcPr>
          <w:p>
            <w:pPr>
              <w:spacing w:after="0"/>
              <w:rPr>
                <w:sz w:val="24"/>
                <w:szCs w:val="24"/>
                <w:color w:val="auto"/>
              </w:rPr>
            </w:pPr>
          </w:p>
        </w:tc>
        <w:tc>
          <w:tcPr>
            <w:tcW w:w="2100" w:type="dxa"/>
            <w:vAlign w:val="bottom"/>
            <w:tcBorders>
              <w:bottom w:val="single" w:sz="8" w:color="E5E5E5"/>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0071CE"/>
            </w:tcBorders>
            <w:shd w:val="clear" w:color="auto" w:fill="E5E5E5"/>
          </w:tcPr>
          <w:p>
            <w:pPr>
              <w:ind w:left="20"/>
              <w:spacing w:after="0"/>
              <w:rPr>
                <w:sz w:val="20"/>
                <w:szCs w:val="20"/>
                <w:color w:val="auto"/>
              </w:rPr>
            </w:pPr>
            <w:r>
              <w:rPr>
                <w:rFonts w:ascii="Arial" w:cs="Arial" w:eastAsia="Arial" w:hAnsi="Arial"/>
                <w:sz w:val="16"/>
                <w:szCs w:val="16"/>
                <w:color w:val="auto"/>
              </w:rPr>
              <w:t>Complete Sequoia enrollment and maintain leadership in the field</w:t>
            </w:r>
          </w:p>
        </w:tc>
        <w:tc>
          <w:tcPr>
            <w:tcW w:w="1240" w:type="dxa"/>
            <w:vAlign w:val="bottom"/>
            <w:tcBorders>
              <w:top w:val="single" w:sz="8" w:color="0071CE"/>
            </w:tcBorders>
            <w:shd w:val="clear" w:color="auto" w:fill="E5E5E5"/>
          </w:tcPr>
          <w:p>
            <w:pPr>
              <w:spacing w:after="0"/>
              <w:rPr>
                <w:sz w:val="17"/>
                <w:szCs w:val="17"/>
                <w:color w:val="auto"/>
              </w:rPr>
            </w:pPr>
          </w:p>
        </w:tc>
        <w:tc>
          <w:tcPr>
            <w:tcW w:w="200" w:type="dxa"/>
            <w:vAlign w:val="bottom"/>
            <w:tcBorders>
              <w:top w:val="single" w:sz="8" w:color="E5E5E5"/>
            </w:tcBorders>
            <w:shd w:val="clear" w:color="auto" w:fill="E5E5E5"/>
          </w:tcPr>
          <w:p>
            <w:pPr>
              <w:spacing w:after="0"/>
              <w:rPr>
                <w:sz w:val="17"/>
                <w:szCs w:val="17"/>
                <w:color w:val="auto"/>
              </w:rPr>
            </w:pPr>
          </w:p>
        </w:tc>
        <w:tc>
          <w:tcPr>
            <w:tcW w:w="2040" w:type="dxa"/>
            <w:vAlign w:val="bottom"/>
            <w:tcBorders>
              <w:top w:val="single" w:sz="8" w:color="0071CE"/>
            </w:tcBorders>
            <w:shd w:val="clear" w:color="auto" w:fill="E5E5E5"/>
          </w:tcPr>
          <w:p>
            <w:pPr>
              <w:ind w:left="20"/>
              <w:spacing w:after="0"/>
              <w:rPr>
                <w:sz w:val="20"/>
                <w:szCs w:val="20"/>
                <w:color w:val="auto"/>
              </w:rPr>
            </w:pPr>
            <w:r>
              <w:rPr>
                <w:rFonts w:ascii="Arial" w:cs="Arial" w:eastAsia="Arial" w:hAnsi="Arial"/>
                <w:sz w:val="16"/>
                <w:szCs w:val="16"/>
                <w:color w:val="auto"/>
              </w:rPr>
              <w:t>Certified in December 2021</w:t>
            </w:r>
          </w:p>
        </w:tc>
        <w:tc>
          <w:tcPr>
            <w:tcW w:w="200" w:type="dxa"/>
            <w:vAlign w:val="bottom"/>
            <w:tcBorders>
              <w:top w:val="single" w:sz="8" w:color="E5E5E5"/>
            </w:tcBorders>
            <w:shd w:val="clear" w:color="auto" w:fill="E5E5E5"/>
          </w:tcPr>
          <w:p>
            <w:pPr>
              <w:spacing w:after="0"/>
              <w:rPr>
                <w:sz w:val="17"/>
                <w:szCs w:val="17"/>
                <w:color w:val="auto"/>
              </w:rPr>
            </w:pPr>
          </w:p>
        </w:tc>
        <w:tc>
          <w:tcPr>
            <w:tcW w:w="2100" w:type="dxa"/>
            <w:vAlign w:val="bottom"/>
            <w:tcBorders>
              <w:top w:val="single" w:sz="8" w:color="0071CE"/>
            </w:tcBorders>
            <w:shd w:val="clear" w:color="auto" w:fill="E5E5E5"/>
          </w:tcPr>
          <w:p>
            <w:pPr>
              <w:ind w:left="20"/>
              <w:spacing w:after="0"/>
              <w:rPr>
                <w:sz w:val="20"/>
                <w:szCs w:val="20"/>
                <w:color w:val="auto"/>
              </w:rPr>
            </w:pPr>
            <w:r>
              <w:rPr>
                <w:rFonts w:ascii="Arial" w:cs="Arial" w:eastAsia="Arial" w:hAnsi="Arial"/>
                <w:sz w:val="16"/>
                <w:szCs w:val="16"/>
                <w:color w:val="auto"/>
              </w:rPr>
              <w:t>100,000 shares pursuant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0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 PRSU award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vMerge w:val="restart"/>
            <w:shd w:val="clear" w:color="auto" w:fill="E5E5E5"/>
          </w:tcPr>
          <w:p>
            <w:pPr>
              <w:ind w:left="20"/>
              <w:spacing w:after="0"/>
              <w:rPr>
                <w:sz w:val="20"/>
                <w:szCs w:val="20"/>
                <w:color w:val="auto"/>
              </w:rPr>
            </w:pPr>
            <w:r>
              <w:rPr>
                <w:rFonts w:ascii="Arial" w:cs="Arial" w:eastAsia="Arial" w:hAnsi="Arial"/>
                <w:sz w:val="16"/>
                <w:szCs w:val="16"/>
                <w:i w:val="1"/>
                <w:iCs w:val="1"/>
                <w:color w:val="auto"/>
              </w:rPr>
              <w:t>01/2020</w:t>
            </w:r>
          </w:p>
        </w:tc>
        <w:tc>
          <w:tcPr>
            <w:tcW w:w="1240" w:type="dxa"/>
            <w:vAlign w:val="bottom"/>
            <w:shd w:val="clear" w:color="auto" w:fill="E5E5E5"/>
          </w:tcPr>
          <w:p>
            <w:pPr>
              <w:ind w:left="740"/>
              <w:spacing w:after="0"/>
              <w:rPr>
                <w:sz w:val="20"/>
                <w:szCs w:val="20"/>
                <w:color w:val="auto"/>
              </w:rPr>
            </w:pPr>
            <w:r>
              <w:rPr>
                <w:rFonts w:ascii="Arial" w:cs="Arial" w:eastAsia="Arial" w:hAnsi="Arial"/>
                <w:sz w:val="16"/>
                <w:szCs w:val="16"/>
                <w:i w:val="1"/>
                <w:iCs w:val="1"/>
                <w:color w:val="auto"/>
              </w:rPr>
              <w:t>Issued</w:t>
            </w:r>
          </w:p>
        </w:tc>
        <w:tc>
          <w:tcPr>
            <w:tcW w:w="200" w:type="dxa"/>
            <w:vAlign w:val="bottom"/>
            <w:shd w:val="clear" w:color="auto" w:fill="E5E5E5"/>
          </w:tcPr>
          <w:p>
            <w:pPr>
              <w:spacing w:after="0"/>
              <w:rPr>
                <w:sz w:val="18"/>
                <w:szCs w:val="18"/>
                <w:color w:val="auto"/>
              </w:rPr>
            </w:pPr>
          </w:p>
        </w:tc>
        <w:tc>
          <w:tcPr>
            <w:tcW w:w="20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1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60" w:type="dxa"/>
            <w:vAlign w:val="bottom"/>
            <w:tcBorders>
              <w:bottom w:val="single" w:sz="8" w:color="0071CE"/>
            </w:tcBorders>
            <w:vMerge w:val="continue"/>
            <w:shd w:val="clear" w:color="auto" w:fill="E5E5E5"/>
          </w:tcPr>
          <w:p>
            <w:pPr>
              <w:spacing w:after="0"/>
              <w:rPr>
                <w:sz w:val="13"/>
                <w:szCs w:val="13"/>
                <w:color w:val="auto"/>
              </w:rPr>
            </w:pPr>
          </w:p>
        </w:tc>
        <w:tc>
          <w:tcPr>
            <w:tcW w:w="1240" w:type="dxa"/>
            <w:vAlign w:val="bottom"/>
            <w:tcBorders>
              <w:bottom w:val="single" w:sz="8" w:color="0071CE"/>
            </w:tcBorders>
            <w:shd w:val="clear" w:color="auto" w:fill="E5E5E5"/>
          </w:tcPr>
          <w:p>
            <w:pPr>
              <w:spacing w:after="0"/>
              <w:rPr>
                <w:sz w:val="13"/>
                <w:szCs w:val="13"/>
                <w:color w:val="auto"/>
              </w:rPr>
            </w:pPr>
          </w:p>
        </w:tc>
        <w:tc>
          <w:tcPr>
            <w:tcW w:w="200" w:type="dxa"/>
            <w:vAlign w:val="bottom"/>
            <w:tcBorders>
              <w:bottom w:val="single" w:sz="8" w:color="E5E5E5"/>
            </w:tcBorders>
            <w:shd w:val="clear" w:color="auto" w:fill="E5E5E5"/>
          </w:tcPr>
          <w:p>
            <w:pPr>
              <w:spacing w:after="0"/>
              <w:rPr>
                <w:sz w:val="13"/>
                <w:szCs w:val="13"/>
                <w:color w:val="auto"/>
              </w:rPr>
            </w:pPr>
          </w:p>
        </w:tc>
        <w:tc>
          <w:tcPr>
            <w:tcW w:w="2040" w:type="dxa"/>
            <w:vAlign w:val="bottom"/>
            <w:tcBorders>
              <w:bottom w:val="single" w:sz="8" w:color="E5E5E5"/>
            </w:tcBorders>
            <w:shd w:val="clear" w:color="auto" w:fill="E5E5E5"/>
          </w:tcPr>
          <w:p>
            <w:pPr>
              <w:spacing w:after="0"/>
              <w:rPr>
                <w:sz w:val="13"/>
                <w:szCs w:val="13"/>
                <w:color w:val="auto"/>
              </w:rPr>
            </w:pPr>
          </w:p>
        </w:tc>
        <w:tc>
          <w:tcPr>
            <w:tcW w:w="200" w:type="dxa"/>
            <w:vAlign w:val="bottom"/>
            <w:tcBorders>
              <w:bottom w:val="single" w:sz="8" w:color="E5E5E5"/>
            </w:tcBorders>
            <w:shd w:val="clear" w:color="auto" w:fill="E5E5E5"/>
          </w:tcPr>
          <w:p>
            <w:pPr>
              <w:spacing w:after="0"/>
              <w:rPr>
                <w:sz w:val="13"/>
                <w:szCs w:val="13"/>
                <w:color w:val="auto"/>
              </w:rPr>
            </w:pPr>
          </w:p>
        </w:tc>
        <w:tc>
          <w:tcPr>
            <w:tcW w:w="2100" w:type="dxa"/>
            <w:vAlign w:val="bottom"/>
            <w:tcBorders>
              <w:bottom w:val="single" w:sz="8" w:color="E5E5E5"/>
            </w:tcBorders>
            <w:shd w:val="clear" w:color="auto" w:fill="E5E5E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 for Other Named Executive Officers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the following aggregate RSU awards for our other NEOs for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4740" w:type="dxa"/>
            <w:vAlign w:val="bottom"/>
            <w:shd w:val="clear" w:color="auto" w:fill="0071CE"/>
          </w:tcPr>
          <w:p>
            <w:pPr>
              <w:jc w:val="center"/>
              <w:ind w:left="1758"/>
              <w:spacing w:after="0"/>
              <w:rPr>
                <w:sz w:val="20"/>
                <w:szCs w:val="20"/>
                <w:color w:val="auto"/>
              </w:rPr>
            </w:pPr>
            <w:r>
              <w:rPr>
                <w:rFonts w:ascii="Arial" w:cs="Arial" w:eastAsia="Arial" w:hAnsi="Arial"/>
                <w:sz w:val="14"/>
                <w:szCs w:val="14"/>
                <w:b w:val="1"/>
                <w:bCs w:val="1"/>
                <w:color w:val="FFFFFF"/>
              </w:rPr>
              <w:t>Restricted Stock Unit</w:t>
            </w:r>
          </w:p>
        </w:tc>
        <w:tc>
          <w:tcPr>
            <w:tcW w:w="2560" w:type="dxa"/>
            <w:vAlign w:val="bottom"/>
            <w:shd w:val="clear" w:color="auto" w:fill="0071CE"/>
          </w:tcPr>
          <w:p>
            <w:pPr>
              <w:jc w:val="center"/>
              <w:ind w:left="298"/>
              <w:spacing w:after="0"/>
              <w:rPr>
                <w:sz w:val="20"/>
                <w:szCs w:val="20"/>
                <w:color w:val="auto"/>
              </w:rPr>
            </w:pPr>
            <w:r>
              <w:rPr>
                <w:rFonts w:ascii="Arial" w:cs="Arial" w:eastAsia="Arial" w:hAnsi="Arial"/>
                <w:sz w:val="14"/>
                <w:szCs w:val="14"/>
                <w:b w:val="1"/>
                <w:bCs w:val="1"/>
                <w:color w:val="FFFFFF"/>
              </w:rPr>
              <w:t>Restricted Stock Unit</w:t>
            </w:r>
          </w:p>
        </w:tc>
        <w:tc>
          <w:tcPr>
            <w:tcW w:w="0" w:type="dxa"/>
            <w:vAlign w:val="bottom"/>
          </w:tcPr>
          <w:p>
            <w:pPr>
              <w:spacing w:after="0"/>
              <w:rPr>
                <w:sz w:val="1"/>
                <w:szCs w:val="1"/>
                <w:color w:val="auto"/>
              </w:rPr>
            </w:pPr>
          </w:p>
        </w:tc>
      </w:tr>
      <w:tr>
        <w:trPr>
          <w:trHeight w:val="135"/>
        </w:trPr>
        <w:tc>
          <w:tcPr>
            <w:tcW w:w="3920" w:type="dxa"/>
            <w:vAlign w:val="bottom"/>
            <w:vMerge w:val="continue"/>
            <w:shd w:val="clear" w:color="auto" w:fill="0071CE"/>
          </w:tcPr>
          <w:p>
            <w:pPr>
              <w:spacing w:after="0"/>
              <w:rPr>
                <w:sz w:val="11"/>
                <w:szCs w:val="11"/>
                <w:color w:val="auto"/>
              </w:rPr>
            </w:pPr>
          </w:p>
        </w:tc>
        <w:tc>
          <w:tcPr>
            <w:tcW w:w="4740" w:type="dxa"/>
            <w:vAlign w:val="bottom"/>
            <w:shd w:val="clear" w:color="auto" w:fill="0071CE"/>
          </w:tcPr>
          <w:p>
            <w:pPr>
              <w:jc w:val="center"/>
              <w:ind w:left="1738"/>
              <w:spacing w:after="0" w:line="135" w:lineRule="exact"/>
              <w:rPr>
                <w:sz w:val="20"/>
                <w:szCs w:val="20"/>
                <w:color w:val="auto"/>
              </w:rPr>
            </w:pPr>
            <w:r>
              <w:rPr>
                <w:rFonts w:ascii="Arial" w:cs="Arial" w:eastAsia="Arial" w:hAnsi="Arial"/>
                <w:sz w:val="14"/>
                <w:szCs w:val="14"/>
                <w:b w:val="1"/>
                <w:bCs w:val="1"/>
                <w:color w:val="FFFFFF"/>
              </w:rPr>
              <w:t>Awards</w:t>
            </w:r>
          </w:p>
        </w:tc>
        <w:tc>
          <w:tcPr>
            <w:tcW w:w="2560" w:type="dxa"/>
            <w:vAlign w:val="bottom"/>
            <w:shd w:val="clear" w:color="auto" w:fill="0071CE"/>
          </w:tcPr>
          <w:p>
            <w:pPr>
              <w:jc w:val="center"/>
              <w:ind w:left="318"/>
              <w:spacing w:after="0" w:line="135"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03"/>
        </w:trPr>
        <w:tc>
          <w:tcPr>
            <w:tcW w:w="392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4740" w:type="dxa"/>
            <w:vAlign w:val="bottom"/>
            <w:shd w:val="clear" w:color="auto" w:fill="0071CE"/>
          </w:tcPr>
          <w:p>
            <w:pPr>
              <w:jc w:val="center"/>
              <w:ind w:left="1758"/>
              <w:spacing w:after="0"/>
              <w:rPr>
                <w:sz w:val="20"/>
                <w:szCs w:val="20"/>
                <w:color w:val="auto"/>
              </w:rPr>
            </w:pPr>
            <w:r>
              <w:rPr>
                <w:rFonts w:ascii="Arial" w:cs="Arial" w:eastAsia="Arial" w:hAnsi="Arial"/>
                <w:sz w:val="14"/>
                <w:szCs w:val="14"/>
                <w:b w:val="1"/>
                <w:bCs w:val="1"/>
                <w:color w:val="FFFFFF"/>
              </w:rPr>
              <w:t>(number of shares)</w:t>
            </w:r>
          </w:p>
        </w:tc>
        <w:tc>
          <w:tcPr>
            <w:tcW w:w="2560" w:type="dxa"/>
            <w:vAlign w:val="bottom"/>
            <w:shd w:val="clear" w:color="auto" w:fill="0071CE"/>
          </w:tcPr>
          <w:p>
            <w:pPr>
              <w:jc w:val="center"/>
              <w:ind w:left="33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Mr. Myszkowski</w:t>
            </w:r>
          </w:p>
        </w:tc>
        <w:tc>
          <w:tcPr>
            <w:tcW w:w="4740" w:type="dxa"/>
            <w:vAlign w:val="bottom"/>
            <w:shd w:val="clear" w:color="auto" w:fill="E5E5E5"/>
          </w:tcPr>
          <w:p>
            <w:pPr>
              <w:jc w:val="right"/>
              <w:ind w:right="738"/>
              <w:spacing w:after="0"/>
              <w:rPr>
                <w:sz w:val="20"/>
                <w:szCs w:val="20"/>
                <w:color w:val="auto"/>
              </w:rPr>
            </w:pPr>
            <w:r>
              <w:rPr>
                <w:rFonts w:ascii="Arial" w:cs="Arial" w:eastAsia="Arial" w:hAnsi="Arial"/>
                <w:sz w:val="18"/>
                <w:szCs w:val="18"/>
                <w:color w:val="auto"/>
              </w:rPr>
              <w:t>60,000</w:t>
            </w:r>
          </w:p>
        </w:tc>
        <w:tc>
          <w:tcPr>
            <w:tcW w:w="25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$3,978,000</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Mr. O’Brien</w:t>
            </w:r>
          </w:p>
        </w:tc>
        <w:tc>
          <w:tcPr>
            <w:tcW w:w="4740" w:type="dxa"/>
            <w:vAlign w:val="bottom"/>
          </w:tcPr>
          <w:p>
            <w:pPr>
              <w:jc w:val="right"/>
              <w:ind w:right="738"/>
              <w:spacing w:after="0"/>
              <w:rPr>
                <w:sz w:val="20"/>
                <w:szCs w:val="20"/>
                <w:color w:val="auto"/>
              </w:rPr>
            </w:pPr>
            <w:r>
              <w:rPr>
                <w:rFonts w:ascii="Arial" w:cs="Arial" w:eastAsia="Arial" w:hAnsi="Arial"/>
                <w:sz w:val="18"/>
                <w:szCs w:val="18"/>
                <w:color w:val="auto"/>
              </w:rPr>
              <w:t>60,000</w:t>
            </w:r>
          </w:p>
        </w:tc>
        <w:tc>
          <w:tcPr>
            <w:tcW w:w="2560" w:type="dxa"/>
            <w:vAlign w:val="bottom"/>
          </w:tcPr>
          <w:p>
            <w:pPr>
              <w:jc w:val="right"/>
              <w:ind w:right="258"/>
              <w:spacing w:after="0"/>
              <w:rPr>
                <w:sz w:val="20"/>
                <w:szCs w:val="20"/>
                <w:color w:val="auto"/>
              </w:rPr>
            </w:pPr>
            <w:r>
              <w:rPr>
                <w:rFonts w:ascii="Arial" w:cs="Arial" w:eastAsia="Arial" w:hAnsi="Arial"/>
                <w:sz w:val="18"/>
                <w:szCs w:val="18"/>
                <w:color w:val="auto"/>
              </w:rPr>
              <w:t>$3,978,000</w:t>
            </w:r>
          </w:p>
        </w:tc>
        <w:tc>
          <w:tcPr>
            <w:tcW w:w="0" w:type="dxa"/>
            <w:vAlign w:val="bottom"/>
          </w:tcPr>
          <w:p>
            <w:pPr>
              <w:spacing w:after="0"/>
              <w:rPr>
                <w:sz w:val="1"/>
                <w:szCs w:val="1"/>
                <w:color w:val="auto"/>
              </w:rPr>
            </w:pPr>
          </w:p>
        </w:tc>
      </w:tr>
      <w:tr>
        <w:trPr>
          <w:trHeight w:val="229"/>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Dr. Hamilton</w:t>
            </w:r>
          </w:p>
        </w:tc>
        <w:tc>
          <w:tcPr>
            <w:tcW w:w="4740" w:type="dxa"/>
            <w:vAlign w:val="bottom"/>
            <w:shd w:val="clear" w:color="auto" w:fill="E5E5E5"/>
          </w:tcPr>
          <w:p>
            <w:pPr>
              <w:jc w:val="right"/>
              <w:ind w:right="738"/>
              <w:spacing w:after="0"/>
              <w:rPr>
                <w:sz w:val="20"/>
                <w:szCs w:val="20"/>
                <w:color w:val="auto"/>
              </w:rPr>
            </w:pPr>
            <w:r>
              <w:rPr>
                <w:rFonts w:ascii="Arial" w:cs="Arial" w:eastAsia="Arial" w:hAnsi="Arial"/>
                <w:sz w:val="18"/>
                <w:szCs w:val="18"/>
                <w:color w:val="auto"/>
              </w:rPr>
              <w:t>55,000</w:t>
            </w:r>
          </w:p>
        </w:tc>
        <w:tc>
          <w:tcPr>
            <w:tcW w:w="25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$3,646,500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0071CE"/>
            </w:tcBorders>
          </w:tcPr>
          <w:p>
            <w:pPr>
              <w:ind w:left="120"/>
              <w:spacing w:after="0"/>
              <w:rPr>
                <w:sz w:val="20"/>
                <w:szCs w:val="20"/>
                <w:color w:val="auto"/>
              </w:rPr>
            </w:pPr>
            <w:r>
              <w:rPr>
                <w:rFonts w:ascii="Arial" w:cs="Arial" w:eastAsia="Arial" w:hAnsi="Arial"/>
                <w:sz w:val="18"/>
                <w:szCs w:val="18"/>
                <w:color w:val="auto"/>
              </w:rPr>
              <w:t>Ms. Oliver (1)</w:t>
            </w:r>
          </w:p>
        </w:tc>
        <w:tc>
          <w:tcPr>
            <w:tcW w:w="4740" w:type="dxa"/>
            <w:vAlign w:val="bottom"/>
            <w:tcBorders>
              <w:bottom w:val="single" w:sz="8" w:color="0071CE"/>
            </w:tcBorders>
          </w:tcPr>
          <w:p>
            <w:pPr>
              <w:jc w:val="right"/>
              <w:ind w:right="1078"/>
              <w:spacing w:after="0"/>
              <w:rPr>
                <w:sz w:val="20"/>
                <w:szCs w:val="20"/>
                <w:color w:val="auto"/>
              </w:rPr>
            </w:pPr>
            <w:r>
              <w:rPr>
                <w:rFonts w:ascii="Arial" w:cs="Arial" w:eastAsia="Arial" w:hAnsi="Arial"/>
                <w:sz w:val="18"/>
                <w:szCs w:val="18"/>
                <w:color w:val="auto"/>
              </w:rPr>
              <w:t>70,000</w:t>
            </w:r>
          </w:p>
        </w:tc>
        <w:tc>
          <w:tcPr>
            <w:tcW w:w="2560" w:type="dxa"/>
            <w:vAlign w:val="bottom"/>
            <w:tcBorders>
              <w:bottom w:val="single" w:sz="8" w:color="0071CE"/>
            </w:tcBorders>
          </w:tcPr>
          <w:p>
            <w:pPr>
              <w:jc w:val="right"/>
              <w:ind w:right="258"/>
              <w:spacing w:after="0"/>
              <w:rPr>
                <w:sz w:val="20"/>
                <w:szCs w:val="20"/>
                <w:color w:val="auto"/>
              </w:rPr>
            </w:pPr>
            <w:r>
              <w:rPr>
                <w:rFonts w:ascii="Arial" w:cs="Arial" w:eastAsia="Arial" w:hAnsi="Arial"/>
                <w:sz w:val="18"/>
                <w:szCs w:val="18"/>
                <w:color w:val="auto"/>
              </w:rPr>
              <w:t>$2,517,200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RSUs granted to our NEOs in fiscal 2022 vest over four years in equal annual installments, subject to the NEO’s continued employment on each applicable vesting date.</w:t>
      </w:r>
    </w:p>
    <w:p>
      <w:pPr>
        <w:spacing w:after="0" w:line="169"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The equity awards granted to our NEOs in fiscal 2022 are set forth in the “Fiscal 2022 Summary Compensation Table” and the “Fiscal 2022 Grants of Plan-Based Awards Table”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22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executive officers, including our NEOs, are eligible to participate in all of our employee benefit plans, including medical, dental, vision, life and disability insurance, in each case on the same basis as our other employees, subject to applicable law. In addition, we provide an additional life insurance benefit to our CEO for the benefit of his heirs. We also provide vacation and other paid holidays to all our employees, including our executive officers, all of which we believe to be comparable to those provided the companies in our compensation peer group.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NEOs is reflected in the “All Other Compensation” column of the “Fiscal 2022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921385</wp:posOffset>
            </wp:positionV>
            <wp:extent cx="9861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40</w:t>
      </w:r>
    </w:p>
    <w:p>
      <w:pPr>
        <w:sectPr>
          <w:pgSz w:w="11900" w:h="16838" w:orient="portrait"/>
          <w:cols w:equalWidth="0" w:num="1">
            <w:col w:w="11260"/>
          </w:cols>
          <w:pgMar w:left="320" w:top="21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8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detailed descriptions of the employment arrangements we maintained with our NEOs during fiscal 2022, see “Termination Benefits — Potential Payments Upon Termination or Change in Control” below.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entered into a written employment agreement with our CEO, and we also have agreements with our CFO and Chief Operating Officer &amp;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these to executive officers if they were to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our 2013 Incentive Plan and our 2021 Incentive Plan each provides for the acceleration of vesting of outstanding and unvested equity awards in the event of a change in control of the Company, as defined in the plans, except as otherwise determined by our Board. However, the agreements for equity awards granted to our CEO pursuant to our 2013 Incentive Plan and our 2021 Incentive Plan provide that, upon a change in control of the Company, the vesting of such awards will accelerate only in the event of a subsequent involuntary termination of employment (a “double-trigger” arrangement).</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during fiscal 2022, as well as an estimate of the potential payments and benefits payable under these arrangements, see “Termination Benefits — Potential Payments Upon Termination or Change in Control”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 Policy</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upon the commencement of their employment. We do not have any program, plan or practice to grant equity awards of our common stock to our executive officers in coordination with the release of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481965</wp:posOffset>
            </wp:positionV>
            <wp:extent cx="98615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41</w:t>
      </w:r>
    </w:p>
    <w:p>
      <w:pPr>
        <w:sectPr>
          <w:pgSz w:w="11900" w:h="16838" w:orient="portrait"/>
          <w:cols w:equalWidth="0" w:num="1">
            <w:col w:w="11240"/>
          </w:cols>
          <w:pgMar w:left="320" w:top="2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nonpublic information. Equity awards may occasionally be granted following a significant change in job responsibilities or to meet other special retention or performance objectives.</w:t>
      </w:r>
    </w:p>
    <w:p>
      <w:pPr>
        <w:spacing w:after="0" w:line="1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17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Under the terms of our 2021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Policy</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a stock ownership policy for our CEO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CFO to own a minimum number of shares of our common stock equal to a value of twice his annualized base salary. Our CEO and CFO have each achieved the respective required ownership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2017, our Board adopted a compensation recovery (“clawback”) policy as follows:</w:t>
      </w:r>
    </w:p>
    <w:p>
      <w:pPr>
        <w:spacing w:after="0" w:line="127" w:lineRule="exact"/>
        <w:rPr>
          <w:sz w:val="20"/>
          <w:szCs w:val="20"/>
          <w:color w:val="auto"/>
        </w:rPr>
      </w:pPr>
    </w:p>
    <w:p>
      <w:pPr>
        <w:jc w:val="both"/>
        <w:ind w:left="440"/>
        <w:spacing w:after="0" w:line="257" w:lineRule="auto"/>
        <w:rPr>
          <w:sz w:val="20"/>
          <w:szCs w:val="20"/>
          <w:color w:val="auto"/>
        </w:rPr>
      </w:pPr>
      <w:r>
        <w:rPr>
          <w:rFonts w:ascii="Arial" w:cs="Arial" w:eastAsia="Arial" w:hAnsi="Arial"/>
          <w:sz w:val="16"/>
          <w:szCs w:val="16"/>
          <w:color w:val="auto"/>
        </w:rPr>
        <w:t>“If Arrowhead Pharmaceuticals, Inc. (the “Company”) is required to materially restate any of its financial statements, the Board of Directors (the “Board”) shall assess the degree to which any fraud, negligence, or intentional misconduct by any executive officer of the Company was responsible for such restatement. If the Board determines that any executive officer was responsible for causing such restatement, the Board shall, in addition to any other lawful remedies the Board or the Company may take, seek recovery of all or a portion of the incentive compensation awarded to the executive officer for the performance period covered by the restated financial statement, provided that such recovery shall not extend to payments made more than three years prior to the date the financial record was restated. In addition, the Board may, in its absolute discretion, revoke any of the responsible executive officer’s unpaid or unvested incentive compensation outstanding as of the date of the Board’s determination of the executive officer’s responsibility for the financial restatement.”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2013 Incentive Plan and our 2021 Incentive Plan each provides for the recovery of awards made under the plan in accordance with any applicable compensation recovery or recoupment policy, including as required by law, regulation or national securities exchange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Prohibiting Hedging and Limiting Pledging</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Insider Trading Policy prohibits our employees, our executive officers, and the non-employee members of our Board from short-term trading, options trading, trading on margin, pledging our common stock as collateral, and all hedging transactions with respect to our securities, except our board members and executive officers may pledge up to 50% owned and vested stock as collateral for a loan subject to the approval of our Board.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41"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Section 162(m) of the Internal Revenue Code limits the federal income tax deductibility of certain compensation amounts in excess of $1 million paid to certain executive officers. While the Compensation Committee generally seeks to pay compensation that is tax-deductible, it reserves the right to pay non-deductible compensation to the extent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782320</wp:posOffset>
            </wp:positionV>
            <wp:extent cx="98615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42</w:t>
      </w:r>
    </w:p>
    <w:p>
      <w:pPr>
        <w:sectPr>
          <w:pgSz w:w="11900" w:h="16838" w:orient="portrait"/>
          <w:cols w:equalWidth="0" w:num="1">
            <w:col w:w="11240"/>
          </w:cols>
          <w:pgMar w:left="320" w:top="2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744220</wp:posOffset>
            </wp:positionV>
            <wp:extent cx="98615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43</w:t>
      </w:r>
    </w:p>
    <w:p>
      <w:pPr>
        <w:sectPr>
          <w:pgSz w:w="11900" w:h="16838" w:orient="portrait"/>
          <w:cols w:equalWidth="0" w:num="1">
            <w:col w:w="11240"/>
          </w:cols>
          <w:pgMar w:left="320" w:top="2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Compensation Risk Assessment</w:t>
      </w: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NEOs.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our Board that the foregoing Compensation Discussion and Analysis be included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Committee of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William Waddill, Committee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Marianne De Backer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Adeoye Olukotun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Michael Perry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2022, Dr. Perry, Dr. De Backer, Dr. Ferrari, Dr. Olukoton and Mr. Waddill served on the Compensation Committee. During fiscal year 2022 and through December 2022, there were no compensation committee interlocks between the Company and other entities involving the Company’s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640715</wp:posOffset>
            </wp:positionV>
            <wp:extent cx="98615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44</w:t>
      </w:r>
    </w:p>
    <w:p>
      <w:pPr>
        <w:sectPr>
          <w:pgSz w:w="11900" w:h="16838" w:orient="portrait"/>
          <w:cols w:equalWidth="0" w:num="1">
            <w:col w:w="11240"/>
          </w:cols>
          <w:pgMar w:left="320" w:top="2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2022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The following table summarizes compensation earned for services rendered during fiscal 2022, 2021, and 2020 by our Chief Executive Officer, our Chief Financial Officer, our Chief Operating Officer and General Counsel, our Chief of Discovery and Translational Medicine, and our Chief Commercial Officer, collectively our “Named Executive Officers”: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shd w:val="clear" w:color="auto" w:fill="0071CE"/>
          </w:tcPr>
          <w:p>
            <w:pPr>
              <w:spacing w:after="0"/>
              <w:rPr>
                <w:sz w:val="14"/>
                <w:szCs w:val="14"/>
                <w:color w:val="auto"/>
              </w:rPr>
            </w:pPr>
          </w:p>
        </w:tc>
        <w:tc>
          <w:tcPr>
            <w:tcW w:w="72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360" w:type="dxa"/>
            <w:vAlign w:val="bottom"/>
            <w:shd w:val="clear" w:color="auto" w:fill="0071CE"/>
          </w:tcPr>
          <w:p>
            <w:pPr>
              <w:spacing w:after="0"/>
              <w:rPr>
                <w:sz w:val="14"/>
                <w:szCs w:val="14"/>
                <w:color w:val="auto"/>
              </w:rPr>
            </w:pPr>
          </w:p>
        </w:tc>
        <w:tc>
          <w:tcPr>
            <w:tcW w:w="11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Non-Equity</w:t>
            </w:r>
          </w:p>
        </w:tc>
        <w:tc>
          <w:tcPr>
            <w:tcW w:w="146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0071CE"/>
          </w:tcPr>
          <w:p>
            <w:pPr>
              <w:spacing w:after="0"/>
              <w:rPr>
                <w:sz w:val="12"/>
                <w:szCs w:val="12"/>
                <w:color w:val="auto"/>
              </w:rPr>
            </w:pPr>
          </w:p>
        </w:tc>
        <w:tc>
          <w:tcPr>
            <w:tcW w:w="720" w:type="dxa"/>
            <w:vAlign w:val="bottom"/>
            <w:shd w:val="clear" w:color="auto" w:fill="0071CE"/>
          </w:tcPr>
          <w:p>
            <w:pPr>
              <w:spacing w:after="0"/>
              <w:rPr>
                <w:sz w:val="12"/>
                <w:szCs w:val="12"/>
                <w:color w:val="auto"/>
              </w:rPr>
            </w:pPr>
          </w:p>
        </w:tc>
        <w:tc>
          <w:tcPr>
            <w:tcW w:w="106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1040" w:type="dxa"/>
            <w:vAlign w:val="bottom"/>
            <w:vMerge w:val="restart"/>
            <w:shd w:val="clear" w:color="auto" w:fill="0071CE"/>
          </w:tcPr>
          <w:p>
            <w:pPr>
              <w:jc w:val="center"/>
              <w:ind w:left="41"/>
              <w:spacing w:after="0"/>
              <w:rPr>
                <w:sz w:val="20"/>
                <w:szCs w:val="20"/>
                <w:color w:val="auto"/>
              </w:rPr>
            </w:pPr>
            <w:r>
              <w:rPr>
                <w:rFonts w:ascii="Arial" w:cs="Arial" w:eastAsia="Arial" w:hAnsi="Arial"/>
                <w:sz w:val="14"/>
                <w:szCs w:val="14"/>
                <w:b w:val="1"/>
                <w:bCs w:val="1"/>
                <w:color w:val="FFFFFF"/>
              </w:rPr>
              <w:t>Stock</w:t>
            </w:r>
          </w:p>
        </w:tc>
        <w:tc>
          <w:tcPr>
            <w:tcW w:w="360" w:type="dxa"/>
            <w:vAlign w:val="bottom"/>
            <w:shd w:val="clear" w:color="auto" w:fill="0071CE"/>
          </w:tcPr>
          <w:p>
            <w:pPr>
              <w:spacing w:after="0"/>
              <w:rPr>
                <w:sz w:val="12"/>
                <w:szCs w:val="12"/>
                <w:color w:val="auto"/>
              </w:rPr>
            </w:pPr>
          </w:p>
        </w:tc>
        <w:tc>
          <w:tcPr>
            <w:tcW w:w="11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Incentive Plan</w:t>
            </w:r>
          </w:p>
        </w:tc>
        <w:tc>
          <w:tcPr>
            <w:tcW w:w="14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shd w:val="clear" w:color="auto" w:fill="0071CE"/>
          </w:tcPr>
          <w:p>
            <w:pPr>
              <w:spacing w:after="0"/>
              <w:rPr>
                <w:sz w:val="12"/>
                <w:szCs w:val="12"/>
                <w:color w:val="auto"/>
              </w:rPr>
            </w:pPr>
          </w:p>
        </w:tc>
        <w:tc>
          <w:tcPr>
            <w:tcW w:w="720" w:type="dxa"/>
            <w:vAlign w:val="bottom"/>
            <w:shd w:val="clear" w:color="auto" w:fill="0071CE"/>
          </w:tcPr>
          <w:p>
            <w:pPr>
              <w:spacing w:after="0"/>
              <w:rPr>
                <w:sz w:val="12"/>
                <w:szCs w:val="12"/>
                <w:color w:val="auto"/>
              </w:rPr>
            </w:pPr>
          </w:p>
        </w:tc>
        <w:tc>
          <w:tcPr>
            <w:tcW w:w="106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1040" w:type="dxa"/>
            <w:vAlign w:val="bottom"/>
            <w:vMerge w:val="continue"/>
            <w:shd w:val="clear" w:color="auto" w:fill="0071CE"/>
          </w:tcPr>
          <w:p>
            <w:pPr>
              <w:spacing w:after="0"/>
              <w:rPr>
                <w:sz w:val="12"/>
                <w:szCs w:val="12"/>
                <w:color w:val="auto"/>
              </w:rPr>
            </w:pPr>
          </w:p>
        </w:tc>
        <w:tc>
          <w:tcPr>
            <w:tcW w:w="360" w:type="dxa"/>
            <w:vAlign w:val="bottom"/>
            <w:shd w:val="clear" w:color="auto" w:fill="0071CE"/>
          </w:tcPr>
          <w:p>
            <w:pPr>
              <w:spacing w:after="0"/>
              <w:rPr>
                <w:sz w:val="12"/>
                <w:szCs w:val="12"/>
                <w:color w:val="auto"/>
              </w:rPr>
            </w:pPr>
          </w:p>
        </w:tc>
        <w:tc>
          <w:tcPr>
            <w:tcW w:w="11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460" w:type="dxa"/>
            <w:vAlign w:val="bottom"/>
            <w:vMerge w:val="continue"/>
            <w:shd w:val="clear" w:color="auto" w:fill="0071CE"/>
          </w:tcPr>
          <w:p>
            <w:pPr>
              <w:spacing w:after="0"/>
              <w:rPr>
                <w:sz w:val="12"/>
                <w:szCs w:val="12"/>
                <w:color w:val="auto"/>
              </w:rPr>
            </w:pPr>
          </w:p>
        </w:tc>
        <w:tc>
          <w:tcPr>
            <w:tcW w:w="102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Name and</w:t>
            </w:r>
          </w:p>
        </w:tc>
        <w:tc>
          <w:tcPr>
            <w:tcW w:w="7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060" w:type="dxa"/>
            <w:vAlign w:val="bottom"/>
            <w:shd w:val="clear" w:color="auto" w:fill="0071CE"/>
          </w:tcPr>
          <w:p>
            <w:pPr>
              <w:ind w:left="320"/>
              <w:spacing w:after="0"/>
              <w:rPr>
                <w:sz w:val="20"/>
                <w:szCs w:val="20"/>
                <w:color w:val="auto"/>
              </w:rPr>
            </w:pPr>
            <w:r>
              <w:rPr>
                <w:rFonts w:ascii="Arial" w:cs="Arial" w:eastAsia="Arial" w:hAnsi="Arial"/>
                <w:sz w:val="14"/>
                <w:szCs w:val="14"/>
                <w:b w:val="1"/>
                <w:bCs w:val="1"/>
                <w:color w:val="FFFFFF"/>
              </w:rPr>
              <w:t>Salary</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0071CE"/>
          </w:tcPr>
          <w:p>
            <w:pPr>
              <w:jc w:val="center"/>
              <w:ind w:left="41"/>
              <w:spacing w:after="0"/>
              <w:rPr>
                <w:sz w:val="20"/>
                <w:szCs w:val="20"/>
                <w:color w:val="auto"/>
              </w:rPr>
            </w:pPr>
            <w:r>
              <w:rPr>
                <w:rFonts w:ascii="Arial" w:cs="Arial" w:eastAsia="Arial" w:hAnsi="Arial"/>
                <w:sz w:val="14"/>
                <w:szCs w:val="14"/>
                <w:b w:val="1"/>
                <w:bCs w:val="1"/>
                <w:color w:val="FFFFFF"/>
              </w:rPr>
              <w:t>Awards (1)</w:t>
            </w:r>
          </w:p>
        </w:tc>
        <w:tc>
          <w:tcPr>
            <w:tcW w:w="360" w:type="dxa"/>
            <w:vAlign w:val="bottom"/>
            <w:shd w:val="clear" w:color="auto" w:fill="0071CE"/>
          </w:tcPr>
          <w:p>
            <w:pPr>
              <w:spacing w:after="0"/>
              <w:rPr>
                <w:sz w:val="14"/>
                <w:szCs w:val="14"/>
                <w:color w:val="auto"/>
              </w:rPr>
            </w:pPr>
          </w:p>
        </w:tc>
        <w:tc>
          <w:tcPr>
            <w:tcW w:w="11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(2)</w:t>
            </w:r>
          </w:p>
        </w:tc>
        <w:tc>
          <w:tcPr>
            <w:tcW w:w="14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 (3)</w:t>
            </w:r>
          </w:p>
        </w:tc>
        <w:tc>
          <w:tcPr>
            <w:tcW w:w="1020" w:type="dxa"/>
            <w:vAlign w:val="bottom"/>
            <w:vMerge w:val="restart"/>
            <w:shd w:val="clear" w:color="auto" w:fill="0071CE"/>
          </w:tcPr>
          <w:p>
            <w:pPr>
              <w:jc w:val="right"/>
              <w:ind w:right="2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342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Principal Position</w:t>
            </w:r>
          </w:p>
        </w:tc>
        <w:tc>
          <w:tcPr>
            <w:tcW w:w="720" w:type="dxa"/>
            <w:vAlign w:val="bottom"/>
            <w:vMerge w:val="continue"/>
            <w:shd w:val="clear" w:color="auto" w:fill="0071CE"/>
          </w:tcPr>
          <w:p>
            <w:pPr>
              <w:spacing w:after="0"/>
              <w:rPr>
                <w:sz w:val="16"/>
                <w:szCs w:val="16"/>
                <w:color w:val="auto"/>
              </w:rPr>
            </w:pPr>
          </w:p>
        </w:tc>
        <w:tc>
          <w:tcPr>
            <w:tcW w:w="10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6"/>
              </w:rPr>
              <w:t>(S)</w:t>
            </w:r>
          </w:p>
        </w:tc>
        <w:tc>
          <w:tcPr>
            <w:tcW w:w="1040" w:type="dxa"/>
            <w:vAlign w:val="bottom"/>
            <w:shd w:val="clear" w:color="auto" w:fill="0071CE"/>
          </w:tcPr>
          <w:p>
            <w:pPr>
              <w:jc w:val="center"/>
              <w:ind w:left="41"/>
              <w:spacing w:after="0"/>
              <w:rPr>
                <w:sz w:val="20"/>
                <w:szCs w:val="20"/>
                <w:color w:val="auto"/>
              </w:rPr>
            </w:pPr>
            <w:r>
              <w:rPr>
                <w:rFonts w:ascii="Arial" w:cs="Arial" w:eastAsia="Arial" w:hAnsi="Arial"/>
                <w:sz w:val="14"/>
                <w:szCs w:val="14"/>
                <w:b w:val="1"/>
                <w:bCs w:val="1"/>
                <w:color w:val="FFFFFF"/>
                <w:w w:val="93"/>
              </w:rPr>
              <w:t>($)</w:t>
            </w:r>
          </w:p>
        </w:tc>
        <w:tc>
          <w:tcPr>
            <w:tcW w:w="360" w:type="dxa"/>
            <w:vAlign w:val="bottom"/>
            <w:shd w:val="clear" w:color="auto" w:fill="0071CE"/>
          </w:tcPr>
          <w:p>
            <w:pPr>
              <w:spacing w:after="0"/>
              <w:rPr>
                <w:sz w:val="16"/>
                <w:szCs w:val="16"/>
                <w:color w:val="auto"/>
              </w:rPr>
            </w:pPr>
          </w:p>
        </w:tc>
        <w:tc>
          <w:tcPr>
            <w:tcW w:w="11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vMerge w:val="continue"/>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Christopher Anzalone</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863,417</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w w:val="99"/>
              </w:rPr>
              <w:t>10,382,549</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783,315</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2,688</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12,031,969</w:t>
            </w:r>
          </w:p>
        </w:tc>
        <w:tc>
          <w:tcPr>
            <w:tcW w:w="0" w:type="dxa"/>
            <w:vAlign w:val="bottom"/>
          </w:tcPr>
          <w:p>
            <w:pPr>
              <w:spacing w:after="0"/>
              <w:rPr>
                <w:sz w:val="1"/>
                <w:szCs w:val="1"/>
                <w:color w:val="auto"/>
              </w:rPr>
            </w:pPr>
          </w:p>
        </w:tc>
      </w:tr>
      <w:tr>
        <w:trPr>
          <w:trHeight w:val="215"/>
        </w:trPr>
        <w:tc>
          <w:tcPr>
            <w:tcW w:w="34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President and Chief Executive Officer</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2021</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837,031</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w w:val="99"/>
              </w:rPr>
              <w:t>23,019,000</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845,000</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2,824</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24,703,855</w:t>
            </w:r>
          </w:p>
        </w:tc>
        <w:tc>
          <w:tcPr>
            <w:tcW w:w="0" w:type="dxa"/>
            <w:vAlign w:val="bottom"/>
          </w:tcPr>
          <w:p>
            <w:pPr>
              <w:spacing w:after="0"/>
              <w:rPr>
                <w:sz w:val="1"/>
                <w:szCs w:val="1"/>
                <w:color w:val="auto"/>
              </w:rPr>
            </w:pPr>
          </w:p>
        </w:tc>
      </w:tr>
      <w:tr>
        <w:trPr>
          <w:trHeight w:val="217"/>
        </w:trPr>
        <w:tc>
          <w:tcPr>
            <w:tcW w:w="3420" w:type="dxa"/>
            <w:vAlign w:val="bottom"/>
            <w:shd w:val="clear" w:color="auto" w:fill="E5E5E5"/>
          </w:tcPr>
          <w:p>
            <w:pPr>
              <w:spacing w:after="0"/>
              <w:rPr>
                <w:sz w:val="18"/>
                <w:szCs w:val="18"/>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2020</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785,625</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w w:val="99"/>
              </w:rPr>
              <w:t>12,686,000</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820,000</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2,892</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14,294,517</w:t>
            </w:r>
          </w:p>
        </w:tc>
        <w:tc>
          <w:tcPr>
            <w:tcW w:w="0" w:type="dxa"/>
            <w:vAlign w:val="bottom"/>
          </w:tcPr>
          <w:p>
            <w:pPr>
              <w:spacing w:after="0"/>
              <w:rPr>
                <w:sz w:val="1"/>
                <w:szCs w:val="1"/>
                <w:color w:val="auto"/>
              </w:rPr>
            </w:pPr>
          </w:p>
        </w:tc>
      </w:tr>
      <w:tr>
        <w:trPr>
          <w:trHeight w:val="256"/>
        </w:trPr>
        <w:tc>
          <w:tcPr>
            <w:tcW w:w="3420" w:type="dxa"/>
            <w:vAlign w:val="bottom"/>
          </w:tcPr>
          <w:p>
            <w:pPr>
              <w:ind w:left="100"/>
              <w:spacing w:after="0"/>
              <w:rPr>
                <w:sz w:val="20"/>
                <w:szCs w:val="20"/>
                <w:color w:val="auto"/>
              </w:rPr>
            </w:pPr>
            <w:r>
              <w:rPr>
                <w:rFonts w:ascii="Arial" w:cs="Arial" w:eastAsia="Arial" w:hAnsi="Arial"/>
                <w:sz w:val="16"/>
                <w:szCs w:val="16"/>
                <w:b w:val="1"/>
                <w:bCs w:val="1"/>
                <w:color w:val="0071CE"/>
              </w:rPr>
              <w:t>Kenneth Myszkowski</w:t>
            </w:r>
          </w:p>
        </w:tc>
        <w:tc>
          <w:tcPr>
            <w:tcW w:w="720" w:type="dxa"/>
            <w:vAlign w:val="bottom"/>
          </w:tcPr>
          <w:p>
            <w:pPr>
              <w:jc w:val="center"/>
              <w:spacing w:after="0"/>
              <w:rPr>
                <w:sz w:val="20"/>
                <w:szCs w:val="20"/>
                <w:color w:val="auto"/>
              </w:rPr>
            </w:pPr>
            <w:r>
              <w:rPr>
                <w:rFonts w:ascii="Arial" w:cs="Arial" w:eastAsia="Arial" w:hAnsi="Arial"/>
                <w:sz w:val="16"/>
                <w:szCs w:val="16"/>
                <w:color w:val="auto"/>
              </w:rPr>
              <w:t>2022</w:t>
            </w:r>
          </w:p>
        </w:tc>
        <w:tc>
          <w:tcPr>
            <w:tcW w:w="1060" w:type="dxa"/>
            <w:vAlign w:val="bottom"/>
          </w:tcPr>
          <w:p>
            <w:pPr>
              <w:jc w:val="center"/>
              <w:spacing w:after="0"/>
              <w:rPr>
                <w:sz w:val="20"/>
                <w:szCs w:val="20"/>
                <w:color w:val="auto"/>
              </w:rPr>
            </w:pPr>
            <w:r>
              <w:rPr>
                <w:rFonts w:ascii="Arial" w:cs="Arial" w:eastAsia="Arial" w:hAnsi="Arial"/>
                <w:sz w:val="16"/>
                <w:szCs w:val="16"/>
                <w:color w:val="auto"/>
              </w:rPr>
              <w:t>509,648</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rPr>
              <w:t>3,978,000</w:t>
            </w:r>
          </w:p>
        </w:tc>
        <w:tc>
          <w:tcPr>
            <w:tcW w:w="3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238,106</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13,798</w:t>
            </w:r>
          </w:p>
        </w:tc>
        <w:tc>
          <w:tcPr>
            <w:tcW w:w="1020" w:type="dxa"/>
            <w:vAlign w:val="bottom"/>
          </w:tcPr>
          <w:p>
            <w:pPr>
              <w:jc w:val="right"/>
              <w:spacing w:after="0"/>
              <w:rPr>
                <w:sz w:val="20"/>
                <w:szCs w:val="20"/>
                <w:color w:val="auto"/>
              </w:rPr>
            </w:pPr>
            <w:r>
              <w:rPr>
                <w:rFonts w:ascii="Arial" w:cs="Arial" w:eastAsia="Arial" w:hAnsi="Arial"/>
                <w:sz w:val="16"/>
                <w:szCs w:val="16"/>
                <w:color w:val="auto"/>
              </w:rPr>
              <w:t>4,739,552</w:t>
            </w:r>
          </w:p>
        </w:tc>
        <w:tc>
          <w:tcPr>
            <w:tcW w:w="0" w:type="dxa"/>
            <w:vAlign w:val="bottom"/>
          </w:tcPr>
          <w:p>
            <w:pPr>
              <w:spacing w:after="0"/>
              <w:rPr>
                <w:sz w:val="1"/>
                <w:szCs w:val="1"/>
                <w:color w:val="auto"/>
              </w:rPr>
            </w:pPr>
          </w:p>
        </w:tc>
      </w:tr>
      <w:tr>
        <w:trPr>
          <w:trHeight w:val="215"/>
        </w:trPr>
        <w:tc>
          <w:tcPr>
            <w:tcW w:w="342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720" w:type="dxa"/>
            <w:vAlign w:val="bottom"/>
          </w:tcPr>
          <w:p>
            <w:pPr>
              <w:jc w:val="center"/>
              <w:spacing w:after="0"/>
              <w:rPr>
                <w:sz w:val="20"/>
                <w:szCs w:val="20"/>
                <w:color w:val="auto"/>
              </w:rPr>
            </w:pPr>
            <w:r>
              <w:rPr>
                <w:rFonts w:ascii="Arial" w:cs="Arial" w:eastAsia="Arial" w:hAnsi="Arial"/>
                <w:sz w:val="16"/>
                <w:szCs w:val="16"/>
                <w:color w:val="auto"/>
              </w:rPr>
              <w:t>2021</w:t>
            </w:r>
          </w:p>
        </w:tc>
        <w:tc>
          <w:tcPr>
            <w:tcW w:w="1060" w:type="dxa"/>
            <w:vAlign w:val="bottom"/>
          </w:tcPr>
          <w:p>
            <w:pPr>
              <w:jc w:val="center"/>
              <w:spacing w:after="0"/>
              <w:rPr>
                <w:sz w:val="20"/>
                <w:szCs w:val="20"/>
                <w:color w:val="auto"/>
              </w:rPr>
            </w:pPr>
            <w:r>
              <w:rPr>
                <w:rFonts w:ascii="Arial" w:cs="Arial" w:eastAsia="Arial" w:hAnsi="Arial"/>
                <w:sz w:val="16"/>
                <w:szCs w:val="16"/>
                <w:color w:val="auto"/>
              </w:rPr>
              <w:t>484,865</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rPr>
              <w:t>4,603,800</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231,171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13,734</w:t>
            </w:r>
          </w:p>
        </w:tc>
        <w:tc>
          <w:tcPr>
            <w:tcW w:w="1020" w:type="dxa"/>
            <w:vAlign w:val="bottom"/>
          </w:tcPr>
          <w:p>
            <w:pPr>
              <w:jc w:val="right"/>
              <w:spacing w:after="0"/>
              <w:rPr>
                <w:sz w:val="20"/>
                <w:szCs w:val="20"/>
                <w:color w:val="auto"/>
              </w:rPr>
            </w:pPr>
            <w:r>
              <w:rPr>
                <w:rFonts w:ascii="Arial" w:cs="Arial" w:eastAsia="Arial" w:hAnsi="Arial"/>
                <w:sz w:val="16"/>
                <w:szCs w:val="16"/>
                <w:color w:val="auto"/>
              </w:rPr>
              <w:t>5,333,570</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2020</w:t>
            </w:r>
          </w:p>
        </w:tc>
        <w:tc>
          <w:tcPr>
            <w:tcW w:w="1060" w:type="dxa"/>
            <w:vAlign w:val="bottom"/>
          </w:tcPr>
          <w:p>
            <w:pPr>
              <w:jc w:val="center"/>
              <w:spacing w:after="0"/>
              <w:rPr>
                <w:sz w:val="20"/>
                <w:szCs w:val="20"/>
                <w:color w:val="auto"/>
              </w:rPr>
            </w:pPr>
            <w:r>
              <w:rPr>
                <w:rFonts w:ascii="Arial" w:cs="Arial" w:eastAsia="Arial" w:hAnsi="Arial"/>
                <w:sz w:val="16"/>
                <w:szCs w:val="16"/>
                <w:color w:val="auto"/>
              </w:rPr>
              <w:t>463,750</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rPr>
              <w:t>5,391,550</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213,750</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12,802</w:t>
            </w:r>
          </w:p>
        </w:tc>
        <w:tc>
          <w:tcPr>
            <w:tcW w:w="1020" w:type="dxa"/>
            <w:vAlign w:val="bottom"/>
          </w:tcPr>
          <w:p>
            <w:pPr>
              <w:jc w:val="right"/>
              <w:spacing w:after="0"/>
              <w:rPr>
                <w:sz w:val="20"/>
                <w:szCs w:val="20"/>
                <w:color w:val="auto"/>
              </w:rPr>
            </w:pPr>
            <w:r>
              <w:rPr>
                <w:rFonts w:ascii="Arial" w:cs="Arial" w:eastAsia="Arial" w:hAnsi="Arial"/>
                <w:sz w:val="16"/>
                <w:szCs w:val="16"/>
                <w:color w:val="auto"/>
              </w:rPr>
              <w:t>6,081,852</w:t>
            </w:r>
          </w:p>
        </w:tc>
        <w:tc>
          <w:tcPr>
            <w:tcW w:w="0" w:type="dxa"/>
            <w:vAlign w:val="bottom"/>
          </w:tcPr>
          <w:p>
            <w:pPr>
              <w:spacing w:after="0"/>
              <w:rPr>
                <w:sz w:val="1"/>
                <w:szCs w:val="1"/>
                <w:color w:val="auto"/>
              </w:rPr>
            </w:pPr>
          </w:p>
        </w:tc>
      </w:tr>
      <w:tr>
        <w:trPr>
          <w:trHeight w:val="264"/>
        </w:trPr>
        <w:tc>
          <w:tcPr>
            <w:tcW w:w="342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Patrick O’Brien</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500,466</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rPr>
              <w:t>3,978,000</w:t>
            </w:r>
          </w:p>
        </w:tc>
        <w:tc>
          <w:tcPr>
            <w:tcW w:w="360" w:type="dxa"/>
            <w:vAlign w:val="bottom"/>
            <w:shd w:val="clear" w:color="auto" w:fill="E5E5E5"/>
          </w:tcPr>
          <w:p>
            <w:pPr>
              <w:spacing w:after="0"/>
              <w:rPr>
                <w:sz w:val="22"/>
                <w:szCs w:val="22"/>
                <w:color w:val="auto"/>
              </w:rPr>
            </w:pP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235,599</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13,798</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4,727,863</w:t>
            </w:r>
          </w:p>
        </w:tc>
        <w:tc>
          <w:tcPr>
            <w:tcW w:w="0" w:type="dxa"/>
            <w:vAlign w:val="bottom"/>
          </w:tcPr>
          <w:p>
            <w:pPr>
              <w:spacing w:after="0"/>
              <w:rPr>
                <w:sz w:val="1"/>
                <w:szCs w:val="1"/>
                <w:color w:val="auto"/>
              </w:rPr>
            </w:pPr>
          </w:p>
        </w:tc>
      </w:tr>
      <w:tr>
        <w:trPr>
          <w:trHeight w:val="464"/>
        </w:trPr>
        <w:tc>
          <w:tcPr>
            <w:tcW w:w="34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Chief Operating Officer and General Counsel</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2021</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479,762</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rPr>
              <w:t>4,603,800</w:t>
            </w:r>
          </w:p>
        </w:tc>
        <w:tc>
          <w:tcPr>
            <w:tcW w:w="360" w:type="dxa"/>
            <w:vAlign w:val="bottom"/>
            <w:shd w:val="clear" w:color="auto" w:fill="E5E5E5"/>
          </w:tcPr>
          <w:p>
            <w:pPr>
              <w:spacing w:after="0"/>
              <w:rPr>
                <w:sz w:val="24"/>
                <w:szCs w:val="24"/>
                <w:color w:val="auto"/>
              </w:rPr>
            </w:pP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239,630</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13,734</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5,336,926</w:t>
            </w:r>
          </w:p>
        </w:tc>
        <w:tc>
          <w:tcPr>
            <w:tcW w:w="0" w:type="dxa"/>
            <w:vAlign w:val="bottom"/>
          </w:tcPr>
          <w:p>
            <w:pPr>
              <w:spacing w:after="0"/>
              <w:rPr>
                <w:sz w:val="1"/>
                <w:szCs w:val="1"/>
                <w:color w:val="auto"/>
              </w:rPr>
            </w:pPr>
          </w:p>
        </w:tc>
      </w:tr>
      <w:tr>
        <w:trPr>
          <w:trHeight w:val="218"/>
        </w:trPr>
        <w:tc>
          <w:tcPr>
            <w:tcW w:w="3420" w:type="dxa"/>
            <w:vAlign w:val="bottom"/>
            <w:shd w:val="clear" w:color="auto" w:fill="E5E5E5"/>
          </w:tcPr>
          <w:p>
            <w:pPr>
              <w:spacing w:after="0"/>
              <w:rPr>
                <w:sz w:val="18"/>
                <w:szCs w:val="18"/>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2020</w:t>
            </w:r>
          </w:p>
        </w:tc>
        <w:tc>
          <w:tcPr>
            <w:tcW w:w="10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459,100</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rPr>
              <w:t>4,440,100</w:t>
            </w:r>
          </w:p>
        </w:tc>
        <w:tc>
          <w:tcPr>
            <w:tcW w:w="360" w:type="dxa"/>
            <w:vAlign w:val="bottom"/>
            <w:shd w:val="clear" w:color="auto" w:fill="E5E5E5"/>
          </w:tcPr>
          <w:p>
            <w:pPr>
              <w:spacing w:after="0"/>
              <w:rPr>
                <w:sz w:val="18"/>
                <w:szCs w:val="18"/>
                <w:color w:val="auto"/>
              </w:rPr>
            </w:pP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211,500</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12,802</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5,123,502</w:t>
            </w:r>
          </w:p>
        </w:tc>
        <w:tc>
          <w:tcPr>
            <w:tcW w:w="0" w:type="dxa"/>
            <w:vAlign w:val="bottom"/>
          </w:tcPr>
          <w:p>
            <w:pPr>
              <w:spacing w:after="0"/>
              <w:rPr>
                <w:sz w:val="1"/>
                <w:szCs w:val="1"/>
                <w:color w:val="auto"/>
              </w:rPr>
            </w:pPr>
          </w:p>
        </w:tc>
      </w:tr>
      <w:tr>
        <w:trPr>
          <w:trHeight w:val="256"/>
        </w:trPr>
        <w:tc>
          <w:tcPr>
            <w:tcW w:w="3420" w:type="dxa"/>
            <w:vAlign w:val="bottom"/>
          </w:tcPr>
          <w:p>
            <w:pPr>
              <w:ind w:left="100"/>
              <w:spacing w:after="0"/>
              <w:rPr>
                <w:sz w:val="20"/>
                <w:szCs w:val="20"/>
                <w:color w:val="auto"/>
              </w:rPr>
            </w:pPr>
            <w:r>
              <w:rPr>
                <w:rFonts w:ascii="Arial" w:cs="Arial" w:eastAsia="Arial" w:hAnsi="Arial"/>
                <w:sz w:val="16"/>
                <w:szCs w:val="16"/>
                <w:b w:val="1"/>
                <w:bCs w:val="1"/>
                <w:color w:val="0071CE"/>
              </w:rPr>
              <w:t>James Hamilton</w:t>
            </w:r>
          </w:p>
        </w:tc>
        <w:tc>
          <w:tcPr>
            <w:tcW w:w="720" w:type="dxa"/>
            <w:vAlign w:val="bottom"/>
          </w:tcPr>
          <w:p>
            <w:pPr>
              <w:jc w:val="center"/>
              <w:spacing w:after="0"/>
              <w:rPr>
                <w:sz w:val="20"/>
                <w:szCs w:val="20"/>
                <w:color w:val="auto"/>
              </w:rPr>
            </w:pPr>
            <w:r>
              <w:rPr>
                <w:rFonts w:ascii="Arial" w:cs="Arial" w:eastAsia="Arial" w:hAnsi="Arial"/>
                <w:sz w:val="16"/>
                <w:szCs w:val="16"/>
                <w:color w:val="auto"/>
              </w:rPr>
              <w:t>2022</w:t>
            </w:r>
          </w:p>
        </w:tc>
        <w:tc>
          <w:tcPr>
            <w:tcW w:w="1060" w:type="dxa"/>
            <w:vAlign w:val="bottom"/>
          </w:tcPr>
          <w:p>
            <w:pPr>
              <w:jc w:val="center"/>
              <w:spacing w:after="0"/>
              <w:rPr>
                <w:sz w:val="20"/>
                <w:szCs w:val="20"/>
                <w:color w:val="auto"/>
              </w:rPr>
            </w:pPr>
            <w:r>
              <w:rPr>
                <w:rFonts w:ascii="Arial" w:cs="Arial" w:eastAsia="Arial" w:hAnsi="Arial"/>
                <w:sz w:val="16"/>
                <w:szCs w:val="16"/>
                <w:color w:val="auto"/>
              </w:rPr>
              <w:t>450,436</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rPr>
              <w:t>3,646,500</w:t>
            </w:r>
          </w:p>
        </w:tc>
        <w:tc>
          <w:tcPr>
            <w:tcW w:w="3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212,580</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13,798</w:t>
            </w:r>
          </w:p>
        </w:tc>
        <w:tc>
          <w:tcPr>
            <w:tcW w:w="1020" w:type="dxa"/>
            <w:vAlign w:val="bottom"/>
          </w:tcPr>
          <w:p>
            <w:pPr>
              <w:jc w:val="right"/>
              <w:spacing w:after="0"/>
              <w:rPr>
                <w:sz w:val="20"/>
                <w:szCs w:val="20"/>
                <w:color w:val="auto"/>
              </w:rPr>
            </w:pPr>
            <w:r>
              <w:rPr>
                <w:rFonts w:ascii="Arial" w:cs="Arial" w:eastAsia="Arial" w:hAnsi="Arial"/>
                <w:sz w:val="16"/>
                <w:szCs w:val="16"/>
                <w:color w:val="auto"/>
              </w:rPr>
              <w:t>4,323,314</w:t>
            </w:r>
          </w:p>
        </w:tc>
        <w:tc>
          <w:tcPr>
            <w:tcW w:w="0" w:type="dxa"/>
            <w:vAlign w:val="bottom"/>
          </w:tcPr>
          <w:p>
            <w:pPr>
              <w:spacing w:after="0"/>
              <w:rPr>
                <w:sz w:val="1"/>
                <w:szCs w:val="1"/>
                <w:color w:val="auto"/>
              </w:rPr>
            </w:pPr>
          </w:p>
        </w:tc>
      </w:tr>
      <w:tr>
        <w:trPr>
          <w:trHeight w:val="215"/>
        </w:trPr>
        <w:tc>
          <w:tcPr>
            <w:tcW w:w="3420" w:type="dxa"/>
            <w:vAlign w:val="bottom"/>
          </w:tcPr>
          <w:p>
            <w:pPr>
              <w:ind w:left="100"/>
              <w:spacing w:after="0"/>
              <w:rPr>
                <w:sz w:val="20"/>
                <w:szCs w:val="20"/>
                <w:color w:val="auto"/>
              </w:rPr>
            </w:pPr>
            <w:r>
              <w:rPr>
                <w:rFonts w:ascii="Arial" w:cs="Arial" w:eastAsia="Arial" w:hAnsi="Arial"/>
                <w:sz w:val="16"/>
                <w:szCs w:val="16"/>
                <w:color w:val="auto"/>
              </w:rPr>
              <w:t>Chief of Discovery and Translational Medicine</w:t>
            </w:r>
          </w:p>
        </w:tc>
        <w:tc>
          <w:tcPr>
            <w:tcW w:w="720" w:type="dxa"/>
            <w:vAlign w:val="bottom"/>
          </w:tcPr>
          <w:p>
            <w:pPr>
              <w:jc w:val="center"/>
              <w:spacing w:after="0"/>
              <w:rPr>
                <w:sz w:val="20"/>
                <w:szCs w:val="20"/>
                <w:color w:val="auto"/>
              </w:rPr>
            </w:pPr>
            <w:r>
              <w:rPr>
                <w:rFonts w:ascii="Arial" w:cs="Arial" w:eastAsia="Arial" w:hAnsi="Arial"/>
                <w:sz w:val="16"/>
                <w:szCs w:val="16"/>
                <w:color w:val="auto"/>
              </w:rPr>
              <w:t>2021</w:t>
            </w:r>
          </w:p>
        </w:tc>
        <w:tc>
          <w:tcPr>
            <w:tcW w:w="1060" w:type="dxa"/>
            <w:vAlign w:val="bottom"/>
          </w:tcPr>
          <w:p>
            <w:pPr>
              <w:jc w:val="center"/>
              <w:spacing w:after="0"/>
              <w:rPr>
                <w:sz w:val="20"/>
                <w:szCs w:val="20"/>
                <w:color w:val="auto"/>
              </w:rPr>
            </w:pPr>
            <w:r>
              <w:rPr>
                <w:rFonts w:ascii="Arial" w:cs="Arial" w:eastAsia="Arial" w:hAnsi="Arial"/>
                <w:sz w:val="16"/>
                <w:szCs w:val="16"/>
                <w:color w:val="auto"/>
              </w:rPr>
              <w:t>426,109</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rPr>
              <w:t>3,836,500</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233,604</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13,734</w:t>
            </w:r>
          </w:p>
        </w:tc>
        <w:tc>
          <w:tcPr>
            <w:tcW w:w="1020" w:type="dxa"/>
            <w:vAlign w:val="bottom"/>
          </w:tcPr>
          <w:p>
            <w:pPr>
              <w:jc w:val="right"/>
              <w:spacing w:after="0"/>
              <w:rPr>
                <w:sz w:val="20"/>
                <w:szCs w:val="20"/>
                <w:color w:val="auto"/>
              </w:rPr>
            </w:pPr>
            <w:r>
              <w:rPr>
                <w:rFonts w:ascii="Arial" w:cs="Arial" w:eastAsia="Arial" w:hAnsi="Arial"/>
                <w:sz w:val="16"/>
                <w:szCs w:val="16"/>
                <w:color w:val="auto"/>
              </w:rPr>
              <w:t>4,509,947</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2020</w:t>
            </w:r>
          </w:p>
        </w:tc>
        <w:tc>
          <w:tcPr>
            <w:tcW w:w="1060" w:type="dxa"/>
            <w:vAlign w:val="bottom"/>
          </w:tcPr>
          <w:p>
            <w:pPr>
              <w:jc w:val="center"/>
              <w:spacing w:after="0"/>
              <w:rPr>
                <w:sz w:val="20"/>
                <w:szCs w:val="20"/>
                <w:color w:val="auto"/>
              </w:rPr>
            </w:pPr>
            <w:r>
              <w:rPr>
                <w:rFonts w:ascii="Arial" w:cs="Arial" w:eastAsia="Arial" w:hAnsi="Arial"/>
                <w:sz w:val="16"/>
                <w:szCs w:val="16"/>
                <w:color w:val="auto"/>
              </w:rPr>
              <w:t>376,362</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rPr>
              <w:t>2,854,350</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169,363</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12,802</w:t>
            </w:r>
          </w:p>
        </w:tc>
        <w:tc>
          <w:tcPr>
            <w:tcW w:w="1020" w:type="dxa"/>
            <w:vAlign w:val="bottom"/>
          </w:tcPr>
          <w:p>
            <w:pPr>
              <w:jc w:val="right"/>
              <w:spacing w:after="0"/>
              <w:rPr>
                <w:sz w:val="20"/>
                <w:szCs w:val="20"/>
                <w:color w:val="auto"/>
              </w:rPr>
            </w:pPr>
            <w:r>
              <w:rPr>
                <w:rFonts w:ascii="Arial" w:cs="Arial" w:eastAsia="Arial" w:hAnsi="Arial"/>
                <w:sz w:val="16"/>
                <w:szCs w:val="16"/>
                <w:color w:val="auto"/>
              </w:rPr>
              <w:t>3,412,877</w:t>
            </w:r>
          </w:p>
        </w:tc>
        <w:tc>
          <w:tcPr>
            <w:tcW w:w="0" w:type="dxa"/>
            <w:vAlign w:val="bottom"/>
          </w:tcPr>
          <w:p>
            <w:pPr>
              <w:spacing w:after="0"/>
              <w:rPr>
                <w:sz w:val="1"/>
                <w:szCs w:val="1"/>
                <w:color w:val="auto"/>
              </w:rPr>
            </w:pPr>
          </w:p>
        </w:tc>
      </w:tr>
      <w:tr>
        <w:trPr>
          <w:trHeight w:val="258"/>
        </w:trPr>
        <w:tc>
          <w:tcPr>
            <w:tcW w:w="342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0071CE"/>
              </w:rPr>
              <w:t>Tracie Oliver (7)</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2022</w:t>
            </w:r>
          </w:p>
        </w:tc>
        <w:tc>
          <w:tcPr>
            <w:tcW w:w="10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111,154</w:t>
            </w:r>
          </w:p>
        </w:tc>
        <w:tc>
          <w:tcPr>
            <w:tcW w:w="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16,344</w:t>
            </w:r>
          </w:p>
        </w:tc>
        <w:tc>
          <w:tcPr>
            <w:tcW w:w="1040" w:type="dxa"/>
            <w:vAlign w:val="bottom"/>
            <w:shd w:val="clear" w:color="auto" w:fill="DBDBDB"/>
          </w:tcPr>
          <w:p>
            <w:pPr>
              <w:jc w:val="center"/>
              <w:ind w:left="41"/>
              <w:spacing w:after="0"/>
              <w:rPr>
                <w:sz w:val="20"/>
                <w:szCs w:val="20"/>
                <w:color w:val="auto"/>
              </w:rPr>
            </w:pPr>
            <w:r>
              <w:rPr>
                <w:rFonts w:ascii="Arial" w:cs="Arial" w:eastAsia="Arial" w:hAnsi="Arial"/>
                <w:sz w:val="16"/>
                <w:szCs w:val="16"/>
                <w:color w:val="auto"/>
              </w:rPr>
              <w:t>2,517,200</w:t>
            </w:r>
          </w:p>
        </w:tc>
        <w:tc>
          <w:tcPr>
            <w:tcW w:w="360" w:type="dxa"/>
            <w:vAlign w:val="bottom"/>
            <w:shd w:val="clear" w:color="auto" w:fill="DBDBDB"/>
          </w:tcPr>
          <w:p>
            <w:pPr>
              <w:spacing w:after="0"/>
              <w:rPr>
                <w:sz w:val="22"/>
                <w:szCs w:val="22"/>
                <w:color w:val="auto"/>
              </w:rPr>
            </w:pPr>
          </w:p>
        </w:tc>
        <w:tc>
          <w:tcPr>
            <w:tcW w:w="11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94,874</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4,899</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2,744,471</w:t>
            </w:r>
          </w:p>
        </w:tc>
        <w:tc>
          <w:tcPr>
            <w:tcW w:w="0" w:type="dxa"/>
            <w:vAlign w:val="bottom"/>
          </w:tcPr>
          <w:p>
            <w:pPr>
              <w:spacing w:after="0"/>
              <w:rPr>
                <w:sz w:val="1"/>
                <w:szCs w:val="1"/>
                <w:color w:val="auto"/>
              </w:rPr>
            </w:pPr>
          </w:p>
        </w:tc>
      </w:tr>
      <w:tr>
        <w:trPr>
          <w:trHeight w:val="215"/>
        </w:trPr>
        <w:tc>
          <w:tcPr>
            <w:tcW w:w="3420" w:type="dxa"/>
            <w:vAlign w:val="bottom"/>
            <w:shd w:val="clear" w:color="auto" w:fill="DBDBDB"/>
          </w:tcPr>
          <w:p>
            <w:pPr>
              <w:ind w:left="100"/>
              <w:spacing w:after="0"/>
              <w:rPr>
                <w:sz w:val="20"/>
                <w:szCs w:val="20"/>
                <w:color w:val="auto"/>
              </w:rPr>
            </w:pPr>
            <w:r>
              <w:rPr>
                <w:rFonts w:ascii="Arial" w:cs="Arial" w:eastAsia="Arial" w:hAnsi="Arial"/>
                <w:sz w:val="16"/>
                <w:szCs w:val="16"/>
                <w:color w:val="auto"/>
              </w:rPr>
              <w:t>Chief Commercial Officer</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2021</w:t>
            </w:r>
          </w:p>
        </w:tc>
        <w:tc>
          <w:tcPr>
            <w:tcW w:w="10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DBDBDB"/>
          </w:tcPr>
          <w:p>
            <w:pPr>
              <w:jc w:val="center"/>
              <w:ind w:left="41"/>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0071CE"/>
            </w:tcBorders>
            <w:shd w:val="clear" w:color="auto" w:fill="DBDBDB"/>
          </w:tcPr>
          <w:p>
            <w:pPr>
              <w:spacing w:after="0"/>
              <w:rPr>
                <w:sz w:val="18"/>
                <w:szCs w:val="18"/>
                <w:color w:val="auto"/>
              </w:rPr>
            </w:pPr>
          </w:p>
        </w:tc>
        <w:tc>
          <w:tcPr>
            <w:tcW w:w="72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rPr>
              <w:t>2020</w:t>
            </w:r>
          </w:p>
        </w:tc>
        <w:tc>
          <w:tcPr>
            <w:tcW w:w="106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0071CE"/>
            </w:tcBorders>
            <w:shd w:val="clear" w:color="auto" w:fill="DBDBDB"/>
          </w:tcPr>
          <w:p>
            <w:pPr>
              <w:jc w:val="center"/>
              <w:ind w:left="41"/>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0071CE"/>
            </w:tcBorders>
            <w:shd w:val="clear" w:color="auto" w:fill="DBDBDB"/>
          </w:tcPr>
          <w:p>
            <w:pPr>
              <w:spacing w:after="0"/>
              <w:rPr>
                <w:sz w:val="18"/>
                <w:szCs w:val="18"/>
                <w:color w:val="auto"/>
              </w:rPr>
            </w:pPr>
          </w:p>
        </w:tc>
        <w:tc>
          <w:tcPr>
            <w:tcW w:w="118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0071CE"/>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420" w:hanging="412"/>
        <w:spacing w:after="0" w:line="283" w:lineRule="auto"/>
        <w:tabs>
          <w:tab w:leader="none" w:pos="4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columns represent the total grant date fair value, computed in accordance with ASC 718, of restricted stock units granted during fiscal year 2022, 2021 and 2020. The assumptions used to calculate the value of the stock underlying the restricted stock unit awards are set forth in Note 9 of the Notes to the Consolidated Financial Statements included with the Company’s Annual Report on Form 10-K.</w:t>
      </w:r>
    </w:p>
    <w:p>
      <w:pPr>
        <w:spacing w:after="0" w:line="64" w:lineRule="exact"/>
        <w:rPr>
          <w:rFonts w:ascii="Arial" w:cs="Arial" w:eastAsia="Arial" w:hAnsi="Arial"/>
          <w:sz w:val="14"/>
          <w:szCs w:val="14"/>
          <w:color w:val="auto"/>
        </w:rPr>
      </w:pPr>
    </w:p>
    <w:p>
      <w:pPr>
        <w:ind w:left="420" w:right="20" w:hanging="412"/>
        <w:spacing w:after="0" w:line="285" w:lineRule="auto"/>
        <w:tabs>
          <w:tab w:leader="none" w:pos="4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 2022, 2021 and 2020 and paid in fiscal year 2023, 2022 and 2021, respectively. The Annual Bonuses are described in more detail in the “Bonus Incentive” section.</w:t>
      </w:r>
    </w:p>
    <w:p>
      <w:pPr>
        <w:spacing w:after="0" w:line="63" w:lineRule="exact"/>
        <w:rPr>
          <w:rFonts w:ascii="Arial" w:cs="Arial" w:eastAsia="Arial" w:hAnsi="Arial"/>
          <w:sz w:val="14"/>
          <w:szCs w:val="14"/>
          <w:color w:val="auto"/>
        </w:rPr>
      </w:pPr>
    </w:p>
    <w:p>
      <w:pPr>
        <w:ind w:left="400" w:hanging="392"/>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122" w:lineRule="exact"/>
        <w:rPr>
          <w:rFonts w:ascii="Arial" w:cs="Arial" w:eastAsia="Arial" w:hAnsi="Arial"/>
          <w:sz w:val="14"/>
          <w:szCs w:val="14"/>
          <w:color w:val="auto"/>
        </w:rPr>
      </w:pPr>
    </w:p>
    <w:p>
      <w:pPr>
        <w:jc w:val="both"/>
        <w:ind w:left="420" w:hanging="412"/>
        <w:spacing w:after="0"/>
        <w:tabs>
          <w:tab w:leader="none" w:pos="415" w:val="left"/>
        </w:tabs>
        <w:numPr>
          <w:ilvl w:val="0"/>
          <w:numId w:val="52"/>
        </w:numPr>
        <w:rPr>
          <w:rFonts w:ascii="Arial" w:cs="Arial" w:eastAsia="Arial" w:hAnsi="Arial"/>
          <w:sz w:val="16"/>
          <w:szCs w:val="16"/>
          <w:color w:val="auto"/>
        </w:rPr>
      </w:pPr>
      <w:r>
        <w:rPr>
          <w:rFonts w:ascii="Arial" w:cs="Arial" w:eastAsia="Arial" w:hAnsi="Arial"/>
          <w:sz w:val="14"/>
          <w:szCs w:val="14"/>
          <w:color w:val="auto"/>
        </w:rPr>
        <w:t>In July of 2022, our CEO’s fiscal 2022 compensation was revised by reducing his equity award and re-formulating the equity award to consist 60% of performance-based RSUs and 40% of time-based RSUs. The CEO's Stock Awards are described in more detail in the "Our CEO’s Fiscal 2022 Equity Award" section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amounts reported for Christopher Anzalone in the Stock Awards column reflect the grant date fair value of a July 2022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$6,229,538 based on this evaluation.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570230</wp:posOffset>
            </wp:positionV>
            <wp:extent cx="9861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45</w:t>
      </w:r>
    </w:p>
    <w:p>
      <w:pPr>
        <w:sectPr>
          <w:pgSz w:w="11900" w:h="16838" w:orient="portrait"/>
          <w:cols w:equalWidth="0" w:num="1">
            <w:col w:w="11240"/>
          </w:cols>
          <w:pgMar w:left="320" w:top="2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420" w:hanging="412"/>
        <w:spacing w:after="0" w:line="262" w:lineRule="auto"/>
        <w:tabs>
          <w:tab w:leader="none" w:pos="4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2021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$23,019,000 based on this evaluation. If we had determined that as of the date of the grant it was probable that 100% of the performance conditions would be achieved, we would have assigned a grant date fair value of $61,384,000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 Additionally, in December 2021, these awards were modified to change the vesting to be subject entirely based on market capitalization-based thresholds rather than performance conditions. This modification did not result in any incremental fair value associated with the award.</w:t>
      </w:r>
    </w:p>
    <w:p>
      <w:pPr>
        <w:spacing w:after="0" w:line="78" w:lineRule="exact"/>
        <w:rPr>
          <w:rFonts w:ascii="Arial" w:cs="Arial" w:eastAsia="Arial" w:hAnsi="Arial"/>
          <w:sz w:val="14"/>
          <w:szCs w:val="14"/>
          <w:color w:val="auto"/>
        </w:rPr>
      </w:pPr>
    </w:p>
    <w:p>
      <w:pPr>
        <w:jc w:val="both"/>
        <w:ind w:left="420" w:hanging="412"/>
        <w:spacing w:after="0" w:line="265" w:lineRule="auto"/>
        <w:tabs>
          <w:tab w:leader="none" w:pos="4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2020 restricted stock unit award that is subject to vesting upon the achievement of specific performance conditions, as described above in the Compensation and Analysis. We determined the performance conditions that were probable and not probable of being achieved as of the grant date, as defined under applicable accounting guidance, and assigned a grant date fair value of $12,686,000 based on this evaluation. If we had determined that as of the date of the grant it was probable that 100% of the performance conditions would be achieved, we would have assigned a grant date fair value of $57,087,000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65" w:lineRule="exact"/>
        <w:rPr>
          <w:rFonts w:ascii="Arial" w:cs="Arial" w:eastAsia="Arial" w:hAnsi="Arial"/>
          <w:sz w:val="14"/>
          <w:szCs w:val="14"/>
          <w:color w:val="auto"/>
        </w:rPr>
      </w:pPr>
    </w:p>
    <w:p>
      <w:pPr>
        <w:ind w:left="400" w:hanging="392"/>
        <w:spacing w:after="0"/>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Ms. Oliver's employment with us began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1223645</wp:posOffset>
            </wp:positionV>
            <wp:extent cx="98615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46</w:t>
      </w:r>
    </w:p>
    <w:p>
      <w:pPr>
        <w:sectPr>
          <w:pgSz w:w="11900" w:h="16838" w:orient="portrait"/>
          <w:cols w:equalWidth="0" w:num="1">
            <w:col w:w="11240"/>
          </w:cols>
          <w:pgMar w:left="320" w:top="2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2022 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cash bonus and equity grants made to the NEOs in fiscal 2022:</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00" w:type="dxa"/>
            <w:vAlign w:val="bottom"/>
            <w:shd w:val="clear" w:color="auto" w:fill="0071CE"/>
          </w:tcPr>
          <w:p>
            <w:pPr>
              <w:spacing w:after="0"/>
              <w:rPr>
                <w:sz w:val="19"/>
                <w:szCs w:val="19"/>
                <w:color w:val="auto"/>
              </w:rPr>
            </w:pPr>
          </w:p>
        </w:tc>
        <w:tc>
          <w:tcPr>
            <w:tcW w:w="4040" w:type="dxa"/>
            <w:vAlign w:val="bottom"/>
            <w:shd w:val="clear" w:color="auto" w:fill="0071CE"/>
          </w:tcPr>
          <w:p>
            <w:pPr>
              <w:spacing w:after="0"/>
              <w:rPr>
                <w:sz w:val="19"/>
                <w:szCs w:val="19"/>
                <w:color w:val="auto"/>
              </w:rPr>
            </w:pPr>
          </w:p>
        </w:tc>
        <w:tc>
          <w:tcPr>
            <w:tcW w:w="960" w:type="dxa"/>
            <w:vAlign w:val="bottom"/>
            <w:shd w:val="clear" w:color="auto" w:fill="0071CE"/>
          </w:tcPr>
          <w:p>
            <w:pPr>
              <w:spacing w:after="0"/>
              <w:rPr>
                <w:sz w:val="19"/>
                <w:szCs w:val="19"/>
                <w:color w:val="auto"/>
              </w:rPr>
            </w:pPr>
          </w:p>
        </w:tc>
        <w:tc>
          <w:tcPr>
            <w:tcW w:w="80" w:type="dxa"/>
            <w:vAlign w:val="bottom"/>
            <w:shd w:val="clear" w:color="auto" w:fill="0071CE"/>
          </w:tcPr>
          <w:p>
            <w:pPr>
              <w:spacing w:after="0"/>
              <w:rPr>
                <w:sz w:val="19"/>
                <w:szCs w:val="19"/>
                <w:color w:val="auto"/>
              </w:rPr>
            </w:pPr>
          </w:p>
        </w:tc>
        <w:tc>
          <w:tcPr>
            <w:tcW w:w="17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 Future</w:t>
            </w:r>
          </w:p>
        </w:tc>
        <w:tc>
          <w:tcPr>
            <w:tcW w:w="80" w:type="dxa"/>
            <w:vAlign w:val="bottom"/>
            <w:shd w:val="clear" w:color="auto" w:fill="0071CE"/>
          </w:tcPr>
          <w:p>
            <w:pPr>
              <w:spacing w:after="0"/>
              <w:rPr>
                <w:sz w:val="19"/>
                <w:szCs w:val="19"/>
                <w:color w:val="auto"/>
              </w:rPr>
            </w:pPr>
          </w:p>
        </w:tc>
        <w:tc>
          <w:tcPr>
            <w:tcW w:w="1420" w:type="dxa"/>
            <w:vAlign w:val="bottom"/>
            <w:shd w:val="clear" w:color="auto" w:fill="0071CE"/>
          </w:tcPr>
          <w:p>
            <w:pPr>
              <w:jc w:val="center"/>
              <w:ind w:right="3"/>
              <w:spacing w:after="0"/>
              <w:rPr>
                <w:sz w:val="20"/>
                <w:szCs w:val="20"/>
                <w:color w:val="auto"/>
              </w:rPr>
            </w:pPr>
            <w:r>
              <w:rPr>
                <w:rFonts w:ascii="Arial" w:cs="Arial" w:eastAsia="Arial" w:hAnsi="Arial"/>
                <w:sz w:val="14"/>
                <w:szCs w:val="14"/>
                <w:b w:val="1"/>
                <w:bCs w:val="1"/>
                <w:color w:val="FFFFFF"/>
              </w:rPr>
              <w:t>Estimated</w:t>
            </w:r>
          </w:p>
        </w:tc>
        <w:tc>
          <w:tcPr>
            <w:tcW w:w="1320" w:type="dxa"/>
            <w:vAlign w:val="bottom"/>
            <w:shd w:val="clear" w:color="auto" w:fill="0071CE"/>
          </w:tcPr>
          <w:p>
            <w:pPr>
              <w:spacing w:after="0"/>
              <w:rPr>
                <w:sz w:val="19"/>
                <w:szCs w:val="19"/>
                <w:color w:val="auto"/>
              </w:rPr>
            </w:pPr>
          </w:p>
        </w:tc>
        <w:tc>
          <w:tcPr>
            <w:tcW w:w="240" w:type="dxa"/>
            <w:vAlign w:val="bottom"/>
            <w:shd w:val="clear" w:color="auto" w:fill="0071CE"/>
          </w:tcPr>
          <w:p>
            <w:pPr>
              <w:spacing w:after="0"/>
              <w:rPr>
                <w:sz w:val="19"/>
                <w:szCs w:val="19"/>
                <w:color w:val="auto"/>
              </w:rPr>
            </w:pPr>
          </w:p>
        </w:tc>
        <w:tc>
          <w:tcPr>
            <w:tcW w:w="118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0071CE"/>
          </w:tcPr>
          <w:p>
            <w:pPr>
              <w:spacing w:after="0"/>
              <w:rPr>
                <w:sz w:val="12"/>
                <w:szCs w:val="12"/>
                <w:color w:val="auto"/>
              </w:rPr>
            </w:pPr>
          </w:p>
        </w:tc>
        <w:tc>
          <w:tcPr>
            <w:tcW w:w="404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1780" w:type="dxa"/>
            <w:vAlign w:val="bottom"/>
            <w:vMerge w:val="continue"/>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1420" w:type="dxa"/>
            <w:vAlign w:val="bottom"/>
            <w:shd w:val="clear" w:color="auto" w:fill="0071CE"/>
          </w:tcPr>
          <w:p>
            <w:pPr>
              <w:jc w:val="center"/>
              <w:ind w:right="23"/>
              <w:spacing w:after="0" w:line="139" w:lineRule="exact"/>
              <w:rPr>
                <w:sz w:val="20"/>
                <w:szCs w:val="20"/>
                <w:color w:val="auto"/>
              </w:rPr>
            </w:pPr>
            <w:r>
              <w:rPr>
                <w:rFonts w:ascii="Arial" w:cs="Arial" w:eastAsia="Arial" w:hAnsi="Arial"/>
                <w:sz w:val="14"/>
                <w:szCs w:val="14"/>
                <w:b w:val="1"/>
                <w:bCs w:val="1"/>
                <w:color w:val="FFFFFF"/>
              </w:rPr>
              <w:t>Future Payouts</w:t>
            </w:r>
          </w:p>
        </w:tc>
        <w:tc>
          <w:tcPr>
            <w:tcW w:w="1560" w:type="dxa"/>
            <w:vAlign w:val="bottom"/>
            <w:gridSpan w:val="2"/>
            <w:vMerge w:val="restart"/>
            <w:shd w:val="clear" w:color="auto" w:fill="0071CE"/>
          </w:tcPr>
          <w:p>
            <w:pPr>
              <w:jc w:val="center"/>
              <w:ind w:right="200"/>
              <w:spacing w:after="0"/>
              <w:rPr>
                <w:sz w:val="20"/>
                <w:szCs w:val="20"/>
                <w:color w:val="auto"/>
              </w:rPr>
            </w:pPr>
            <w:r>
              <w:rPr>
                <w:rFonts w:ascii="Arial" w:cs="Arial" w:eastAsia="Arial" w:hAnsi="Arial"/>
                <w:sz w:val="14"/>
                <w:szCs w:val="14"/>
                <w:b w:val="1"/>
                <w:bCs w:val="1"/>
                <w:color w:val="FFFFFF"/>
              </w:rPr>
              <w:t>All Other Stock</w:t>
            </w:r>
          </w:p>
        </w:tc>
        <w:tc>
          <w:tcPr>
            <w:tcW w:w="11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71CE"/>
          </w:tcPr>
          <w:p>
            <w:pPr>
              <w:spacing w:after="0"/>
              <w:rPr>
                <w:sz w:val="12"/>
                <w:szCs w:val="12"/>
                <w:color w:val="auto"/>
              </w:rPr>
            </w:pPr>
          </w:p>
        </w:tc>
        <w:tc>
          <w:tcPr>
            <w:tcW w:w="404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17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Payouts</w:t>
            </w:r>
          </w:p>
        </w:tc>
        <w:tc>
          <w:tcPr>
            <w:tcW w:w="80" w:type="dxa"/>
            <w:vAlign w:val="bottom"/>
            <w:shd w:val="clear" w:color="auto" w:fill="0071CE"/>
          </w:tcPr>
          <w:p>
            <w:pPr>
              <w:spacing w:after="0"/>
              <w:rPr>
                <w:sz w:val="12"/>
                <w:szCs w:val="12"/>
                <w:color w:val="auto"/>
              </w:rPr>
            </w:pPr>
          </w:p>
        </w:tc>
        <w:tc>
          <w:tcPr>
            <w:tcW w:w="1420" w:type="dxa"/>
            <w:vAlign w:val="bottom"/>
            <w:shd w:val="clear" w:color="auto" w:fill="0071CE"/>
          </w:tcPr>
          <w:p>
            <w:pPr>
              <w:jc w:val="center"/>
              <w:ind w:right="3"/>
              <w:spacing w:after="0" w:line="145" w:lineRule="exact"/>
              <w:rPr>
                <w:sz w:val="20"/>
                <w:szCs w:val="20"/>
                <w:color w:val="auto"/>
              </w:rPr>
            </w:pPr>
            <w:r>
              <w:rPr>
                <w:rFonts w:ascii="Arial" w:cs="Arial" w:eastAsia="Arial" w:hAnsi="Arial"/>
                <w:sz w:val="14"/>
                <w:szCs w:val="14"/>
                <w:b w:val="1"/>
                <w:bCs w:val="1"/>
                <w:color w:val="FFFFFF"/>
              </w:rPr>
              <w:t>Under Equity</w:t>
            </w:r>
          </w:p>
        </w:tc>
        <w:tc>
          <w:tcPr>
            <w:tcW w:w="1560" w:type="dxa"/>
            <w:vAlign w:val="bottom"/>
            <w:gridSpan w:val="2"/>
            <w:vMerge w:val="continue"/>
            <w:shd w:val="clear" w:color="auto" w:fill="0071CE"/>
          </w:tcPr>
          <w:p>
            <w:pPr>
              <w:spacing w:after="0"/>
              <w:rPr>
                <w:sz w:val="12"/>
                <w:szCs w:val="12"/>
                <w:color w:val="auto"/>
              </w:rPr>
            </w:pPr>
          </w:p>
        </w:tc>
        <w:tc>
          <w:tcPr>
            <w:tcW w:w="11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404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17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Under Non-Equity</w:t>
            </w:r>
          </w:p>
        </w:tc>
        <w:tc>
          <w:tcPr>
            <w:tcW w:w="80" w:type="dxa"/>
            <w:vAlign w:val="bottom"/>
            <w:shd w:val="clear" w:color="auto" w:fill="0071CE"/>
          </w:tcPr>
          <w:p>
            <w:pPr>
              <w:spacing w:after="0"/>
              <w:rPr>
                <w:sz w:val="12"/>
                <w:szCs w:val="12"/>
                <w:color w:val="auto"/>
              </w:rPr>
            </w:pPr>
          </w:p>
        </w:tc>
        <w:tc>
          <w:tcPr>
            <w:tcW w:w="1420" w:type="dxa"/>
            <w:vAlign w:val="bottom"/>
            <w:shd w:val="clear" w:color="auto" w:fill="0071CE"/>
          </w:tcPr>
          <w:p>
            <w:pPr>
              <w:jc w:val="center"/>
              <w:ind w:right="3"/>
              <w:spacing w:after="0" w:line="149" w:lineRule="exact"/>
              <w:rPr>
                <w:sz w:val="20"/>
                <w:szCs w:val="20"/>
                <w:color w:val="auto"/>
              </w:rPr>
            </w:pPr>
            <w:r>
              <w:rPr>
                <w:rFonts w:ascii="Arial" w:cs="Arial" w:eastAsia="Arial" w:hAnsi="Arial"/>
                <w:sz w:val="14"/>
                <w:szCs w:val="14"/>
                <w:b w:val="1"/>
                <w:bCs w:val="1"/>
                <w:color w:val="FFFFFF"/>
              </w:rPr>
              <w:t>Incentive Plan</w:t>
            </w:r>
          </w:p>
        </w:tc>
        <w:tc>
          <w:tcPr>
            <w:tcW w:w="1560" w:type="dxa"/>
            <w:vAlign w:val="bottom"/>
            <w:gridSpan w:val="2"/>
            <w:shd w:val="clear" w:color="auto" w:fill="0071CE"/>
          </w:tcPr>
          <w:p>
            <w:pPr>
              <w:jc w:val="center"/>
              <w:ind w:right="220"/>
              <w:spacing w:after="0" w:line="149" w:lineRule="exact"/>
              <w:rPr>
                <w:sz w:val="20"/>
                <w:szCs w:val="20"/>
                <w:color w:val="auto"/>
              </w:rPr>
            </w:pPr>
            <w:r>
              <w:rPr>
                <w:rFonts w:ascii="Arial" w:cs="Arial" w:eastAsia="Arial" w:hAnsi="Arial"/>
                <w:sz w:val="14"/>
                <w:szCs w:val="14"/>
                <w:b w:val="1"/>
                <w:bCs w:val="1"/>
                <w:color w:val="FFFFFF"/>
              </w:rPr>
              <w:t>Awards: Number</w:t>
            </w:r>
          </w:p>
        </w:tc>
        <w:tc>
          <w:tcPr>
            <w:tcW w:w="1180" w:type="dxa"/>
            <w:vAlign w:val="bottom"/>
            <w:vMerge w:val="restart"/>
            <w:shd w:val="clear" w:color="auto" w:fill="0071CE"/>
          </w:tcPr>
          <w:p>
            <w:pPr>
              <w:jc w:val="center"/>
              <w:ind w:right="41"/>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35"/>
        </w:trPr>
        <w:tc>
          <w:tcPr>
            <w:tcW w:w="100" w:type="dxa"/>
            <w:vAlign w:val="bottom"/>
            <w:shd w:val="clear" w:color="auto" w:fill="0071CE"/>
          </w:tcPr>
          <w:p>
            <w:pPr>
              <w:spacing w:after="0"/>
              <w:rPr>
                <w:sz w:val="11"/>
                <w:szCs w:val="11"/>
                <w:color w:val="auto"/>
              </w:rPr>
            </w:pPr>
          </w:p>
        </w:tc>
        <w:tc>
          <w:tcPr>
            <w:tcW w:w="4040" w:type="dxa"/>
            <w:vAlign w:val="bottom"/>
            <w:shd w:val="clear" w:color="auto" w:fill="0071CE"/>
          </w:tcPr>
          <w:p>
            <w:pPr>
              <w:spacing w:after="0"/>
              <w:rPr>
                <w:sz w:val="11"/>
                <w:szCs w:val="11"/>
                <w:color w:val="auto"/>
              </w:rPr>
            </w:pPr>
          </w:p>
        </w:tc>
        <w:tc>
          <w:tcPr>
            <w:tcW w:w="960" w:type="dxa"/>
            <w:vAlign w:val="bottom"/>
            <w:shd w:val="clear" w:color="auto" w:fill="0071CE"/>
          </w:tcPr>
          <w:p>
            <w:pPr>
              <w:spacing w:after="0"/>
              <w:rPr>
                <w:sz w:val="11"/>
                <w:szCs w:val="11"/>
                <w:color w:val="auto"/>
              </w:rPr>
            </w:pPr>
          </w:p>
        </w:tc>
        <w:tc>
          <w:tcPr>
            <w:tcW w:w="80" w:type="dxa"/>
            <w:vAlign w:val="bottom"/>
            <w:shd w:val="clear" w:color="auto" w:fill="0071CE"/>
          </w:tcPr>
          <w:p>
            <w:pPr>
              <w:spacing w:after="0"/>
              <w:rPr>
                <w:sz w:val="11"/>
                <w:szCs w:val="11"/>
                <w:color w:val="auto"/>
              </w:rPr>
            </w:pPr>
          </w:p>
        </w:tc>
        <w:tc>
          <w:tcPr>
            <w:tcW w:w="178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Incentive Plan Awards (1)</w:t>
            </w:r>
          </w:p>
        </w:tc>
        <w:tc>
          <w:tcPr>
            <w:tcW w:w="80" w:type="dxa"/>
            <w:vAlign w:val="bottom"/>
            <w:shd w:val="clear" w:color="auto" w:fill="0071CE"/>
          </w:tcPr>
          <w:p>
            <w:pPr>
              <w:spacing w:after="0"/>
              <w:rPr>
                <w:sz w:val="11"/>
                <w:szCs w:val="11"/>
                <w:color w:val="auto"/>
              </w:rPr>
            </w:pPr>
          </w:p>
        </w:tc>
        <w:tc>
          <w:tcPr>
            <w:tcW w:w="1420" w:type="dxa"/>
            <w:vAlign w:val="bottom"/>
            <w:shd w:val="clear" w:color="auto" w:fill="0071CE"/>
          </w:tcPr>
          <w:p>
            <w:pPr>
              <w:jc w:val="center"/>
              <w:ind w:right="3"/>
              <w:spacing w:after="0" w:line="135" w:lineRule="exact"/>
              <w:rPr>
                <w:sz w:val="20"/>
                <w:szCs w:val="20"/>
                <w:color w:val="auto"/>
              </w:rPr>
            </w:pPr>
            <w:r>
              <w:rPr>
                <w:rFonts w:ascii="Arial" w:cs="Arial" w:eastAsia="Arial" w:hAnsi="Arial"/>
                <w:sz w:val="14"/>
                <w:szCs w:val="14"/>
                <w:b w:val="1"/>
                <w:bCs w:val="1"/>
                <w:color w:val="FFFFFF"/>
              </w:rPr>
              <w:t>Awards (2)</w:t>
            </w:r>
          </w:p>
        </w:tc>
        <w:tc>
          <w:tcPr>
            <w:tcW w:w="1560" w:type="dxa"/>
            <w:vAlign w:val="bottom"/>
            <w:gridSpan w:val="2"/>
            <w:shd w:val="clear" w:color="auto" w:fill="0071CE"/>
          </w:tcPr>
          <w:p>
            <w:pPr>
              <w:jc w:val="center"/>
              <w:ind w:right="220"/>
              <w:spacing w:after="0" w:line="135" w:lineRule="exact"/>
              <w:rPr>
                <w:sz w:val="20"/>
                <w:szCs w:val="20"/>
                <w:color w:val="auto"/>
              </w:rPr>
            </w:pPr>
            <w:r>
              <w:rPr>
                <w:rFonts w:ascii="Arial" w:cs="Arial" w:eastAsia="Arial" w:hAnsi="Arial"/>
                <w:sz w:val="14"/>
                <w:szCs w:val="14"/>
                <w:b w:val="1"/>
                <w:bCs w:val="1"/>
                <w:color w:val="FFFFFF"/>
              </w:rPr>
              <w:t>of Shares of</w:t>
            </w:r>
          </w:p>
        </w:tc>
        <w:tc>
          <w:tcPr>
            <w:tcW w:w="1180" w:type="dxa"/>
            <w:vAlign w:val="bottom"/>
            <w:vMerge w:val="continue"/>
            <w:shd w:val="clear" w:color="auto" w:fill="0071C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 w:type="dxa"/>
            <w:vAlign w:val="bottom"/>
            <w:shd w:val="clear" w:color="auto" w:fill="0071CE"/>
          </w:tcPr>
          <w:p>
            <w:pPr>
              <w:spacing w:after="0"/>
              <w:rPr>
                <w:sz w:val="10"/>
                <w:szCs w:val="10"/>
                <w:color w:val="auto"/>
              </w:rPr>
            </w:pPr>
          </w:p>
        </w:tc>
        <w:tc>
          <w:tcPr>
            <w:tcW w:w="4040" w:type="dxa"/>
            <w:vAlign w:val="bottom"/>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960" w:type="dxa"/>
            <w:vAlign w:val="bottom"/>
            <w:shd w:val="clear" w:color="auto" w:fill="0071CE"/>
          </w:tcPr>
          <w:p>
            <w:pPr>
              <w:spacing w:after="0"/>
              <w:rPr>
                <w:sz w:val="10"/>
                <w:szCs w:val="10"/>
                <w:color w:val="auto"/>
              </w:rPr>
            </w:pPr>
          </w:p>
        </w:tc>
        <w:tc>
          <w:tcPr>
            <w:tcW w:w="80" w:type="dxa"/>
            <w:vAlign w:val="bottom"/>
            <w:shd w:val="clear" w:color="auto" w:fill="0071CE"/>
          </w:tcPr>
          <w:p>
            <w:pPr>
              <w:spacing w:after="0"/>
              <w:rPr>
                <w:sz w:val="10"/>
                <w:szCs w:val="10"/>
                <w:color w:val="auto"/>
              </w:rPr>
            </w:pPr>
          </w:p>
        </w:tc>
        <w:tc>
          <w:tcPr>
            <w:tcW w:w="1780" w:type="dxa"/>
            <w:vAlign w:val="bottom"/>
            <w:shd w:val="clear" w:color="auto" w:fill="0071CE"/>
          </w:tcPr>
          <w:p>
            <w:pPr>
              <w:spacing w:after="0"/>
              <w:rPr>
                <w:sz w:val="10"/>
                <w:szCs w:val="10"/>
                <w:color w:val="auto"/>
              </w:rPr>
            </w:pPr>
          </w:p>
        </w:tc>
        <w:tc>
          <w:tcPr>
            <w:tcW w:w="80" w:type="dxa"/>
            <w:vAlign w:val="bottom"/>
            <w:shd w:val="clear" w:color="auto" w:fill="0071CE"/>
          </w:tcPr>
          <w:p>
            <w:pPr>
              <w:spacing w:after="0"/>
              <w:rPr>
                <w:sz w:val="10"/>
                <w:szCs w:val="10"/>
                <w:color w:val="auto"/>
              </w:rPr>
            </w:pPr>
          </w:p>
        </w:tc>
        <w:tc>
          <w:tcPr>
            <w:tcW w:w="1420" w:type="dxa"/>
            <w:vAlign w:val="bottom"/>
            <w:shd w:val="clear" w:color="auto" w:fill="0071CE"/>
          </w:tcPr>
          <w:p>
            <w:pPr>
              <w:spacing w:after="0"/>
              <w:rPr>
                <w:sz w:val="10"/>
                <w:szCs w:val="10"/>
                <w:color w:val="auto"/>
              </w:rPr>
            </w:pPr>
          </w:p>
        </w:tc>
        <w:tc>
          <w:tcPr>
            <w:tcW w:w="1560" w:type="dxa"/>
            <w:vAlign w:val="bottom"/>
            <w:gridSpan w:val="2"/>
            <w:shd w:val="clear" w:color="auto" w:fill="0071CE"/>
          </w:tcPr>
          <w:p>
            <w:pPr>
              <w:jc w:val="center"/>
              <w:ind w:right="220"/>
              <w:spacing w:after="0" w:line="122" w:lineRule="exact"/>
              <w:rPr>
                <w:sz w:val="20"/>
                <w:szCs w:val="20"/>
                <w:color w:val="auto"/>
              </w:rPr>
            </w:pPr>
            <w:r>
              <w:rPr>
                <w:rFonts w:ascii="Arial" w:cs="Arial" w:eastAsia="Arial" w:hAnsi="Arial"/>
                <w:sz w:val="14"/>
                <w:szCs w:val="14"/>
                <w:b w:val="1"/>
                <w:bCs w:val="1"/>
                <w:color w:val="FFFFFF"/>
              </w:rPr>
              <w:t>Stock or Units</w:t>
            </w:r>
          </w:p>
        </w:tc>
        <w:tc>
          <w:tcPr>
            <w:tcW w:w="1180" w:type="dxa"/>
            <w:vAlign w:val="bottom"/>
            <w:shd w:val="clear" w:color="auto" w:fill="0071CE"/>
          </w:tcPr>
          <w:p>
            <w:pPr>
              <w:jc w:val="center"/>
              <w:ind w:right="41"/>
              <w:spacing w:after="0" w:line="122" w:lineRule="exact"/>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69"/>
        </w:trPr>
        <w:tc>
          <w:tcPr>
            <w:tcW w:w="100" w:type="dxa"/>
            <w:vAlign w:val="bottom"/>
            <w:tcBorders>
              <w:bottom w:val="single" w:sz="8" w:color="0071CE"/>
            </w:tcBorders>
            <w:shd w:val="clear" w:color="auto" w:fill="0071CE"/>
          </w:tcPr>
          <w:p>
            <w:pPr>
              <w:spacing w:after="0"/>
              <w:rPr>
                <w:sz w:val="14"/>
                <w:szCs w:val="14"/>
                <w:color w:val="auto"/>
              </w:rPr>
            </w:pPr>
          </w:p>
        </w:tc>
        <w:tc>
          <w:tcPr>
            <w:tcW w:w="4040" w:type="dxa"/>
            <w:vAlign w:val="bottom"/>
            <w:tcBorders>
              <w:bottom w:val="single" w:sz="8" w:color="0071CE"/>
            </w:tcBorders>
            <w:vMerge w:val="continue"/>
            <w:shd w:val="clear" w:color="auto" w:fill="0071CE"/>
          </w:tcPr>
          <w:p>
            <w:pPr>
              <w:spacing w:after="0"/>
              <w:rPr>
                <w:sz w:val="14"/>
                <w:szCs w:val="14"/>
                <w:color w:val="auto"/>
              </w:rPr>
            </w:pPr>
          </w:p>
        </w:tc>
        <w:tc>
          <w:tcPr>
            <w:tcW w:w="960" w:type="dxa"/>
            <w:vAlign w:val="bottom"/>
            <w:tcBorders>
              <w:bottom w:val="single" w:sz="8" w:color="0071CE"/>
            </w:tcBorders>
            <w:shd w:val="clear" w:color="auto" w:fill="0071CE"/>
          </w:tcPr>
          <w:p>
            <w:pPr>
              <w:ind w:left="100"/>
              <w:spacing w:after="0"/>
              <w:rPr>
                <w:sz w:val="20"/>
                <w:szCs w:val="20"/>
                <w:color w:val="auto"/>
              </w:rPr>
            </w:pPr>
            <w:r>
              <w:rPr>
                <w:rFonts w:ascii="Arial" w:cs="Arial" w:eastAsia="Arial" w:hAnsi="Arial"/>
                <w:sz w:val="14"/>
                <w:szCs w:val="14"/>
                <w:b w:val="1"/>
                <w:bCs w:val="1"/>
                <w:color w:val="FFFFFF"/>
              </w:rPr>
              <w:t>Grant Date</w:t>
            </w:r>
          </w:p>
        </w:tc>
        <w:tc>
          <w:tcPr>
            <w:tcW w:w="80" w:type="dxa"/>
            <w:vAlign w:val="bottom"/>
            <w:tcBorders>
              <w:bottom w:val="single" w:sz="8" w:color="0071CE"/>
            </w:tcBorders>
            <w:shd w:val="clear" w:color="auto" w:fill="0071CE"/>
          </w:tcPr>
          <w:p>
            <w:pPr>
              <w:spacing w:after="0"/>
              <w:rPr>
                <w:sz w:val="14"/>
                <w:szCs w:val="14"/>
                <w:color w:val="auto"/>
              </w:rPr>
            </w:pPr>
          </w:p>
        </w:tc>
        <w:tc>
          <w:tcPr>
            <w:tcW w:w="17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0" w:type="dxa"/>
            <w:vAlign w:val="bottom"/>
            <w:tcBorders>
              <w:bottom w:val="single" w:sz="8" w:color="0071CE"/>
            </w:tcBorders>
            <w:shd w:val="clear" w:color="auto" w:fill="0071CE"/>
          </w:tcPr>
          <w:p>
            <w:pPr>
              <w:spacing w:after="0"/>
              <w:rPr>
                <w:sz w:val="14"/>
                <w:szCs w:val="14"/>
                <w:color w:val="auto"/>
              </w:rPr>
            </w:pPr>
          </w:p>
        </w:tc>
        <w:tc>
          <w:tcPr>
            <w:tcW w:w="1420" w:type="dxa"/>
            <w:vAlign w:val="bottom"/>
            <w:tcBorders>
              <w:bottom w:val="single" w:sz="8" w:color="0071CE"/>
            </w:tcBorders>
            <w:shd w:val="clear" w:color="auto" w:fill="0071CE"/>
          </w:tcPr>
          <w:p>
            <w:pPr>
              <w:jc w:val="center"/>
              <w:ind w:right="3"/>
              <w:spacing w:after="0"/>
              <w:rPr>
                <w:sz w:val="20"/>
                <w:szCs w:val="20"/>
                <w:color w:val="auto"/>
              </w:rPr>
            </w:pPr>
            <w:r>
              <w:rPr>
                <w:rFonts w:ascii="Arial" w:cs="Arial" w:eastAsia="Arial" w:hAnsi="Arial"/>
                <w:sz w:val="14"/>
                <w:szCs w:val="14"/>
                <w:b w:val="1"/>
                <w:bCs w:val="1"/>
                <w:color w:val="FFFFFF"/>
                <w:w w:val="98"/>
              </w:rPr>
              <w:t>Target</w:t>
            </w:r>
          </w:p>
        </w:tc>
        <w:tc>
          <w:tcPr>
            <w:tcW w:w="13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(3)</w:t>
            </w:r>
          </w:p>
        </w:tc>
        <w:tc>
          <w:tcPr>
            <w:tcW w:w="240" w:type="dxa"/>
            <w:vAlign w:val="bottom"/>
            <w:tcBorders>
              <w:bottom w:val="single" w:sz="8" w:color="0071CE"/>
            </w:tcBorders>
            <w:shd w:val="clear" w:color="auto" w:fill="0071CE"/>
          </w:tcPr>
          <w:p>
            <w:pPr>
              <w:spacing w:after="0"/>
              <w:rPr>
                <w:sz w:val="14"/>
                <w:szCs w:val="14"/>
                <w:color w:val="auto"/>
              </w:rPr>
            </w:pPr>
          </w:p>
        </w:tc>
        <w:tc>
          <w:tcPr>
            <w:tcW w:w="1180" w:type="dxa"/>
            <w:vAlign w:val="bottom"/>
            <w:tcBorders>
              <w:bottom w:val="single" w:sz="8" w:color="0071CE"/>
            </w:tcBorders>
            <w:shd w:val="clear" w:color="auto" w:fill="0071CE"/>
          </w:tcPr>
          <w:p>
            <w:pPr>
              <w:jc w:val="center"/>
              <w:ind w:right="41"/>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40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Christopher Anzalone</w:t>
            </w:r>
          </w:p>
        </w:tc>
        <w:tc>
          <w:tcPr>
            <w:tcW w:w="96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18"/>
                <w:szCs w:val="18"/>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shd w:val="clear" w:color="auto" w:fill="E5E5E5"/>
              </w:rPr>
              <w:t>Cash Bonus</w:t>
            </w:r>
          </w:p>
        </w:tc>
        <w:tc>
          <w:tcPr>
            <w:tcW w:w="960" w:type="dxa"/>
            <w:vAlign w:val="bottom"/>
            <w:shd w:val="clear" w:color="auto" w:fill="E5E5E5"/>
          </w:tcPr>
          <w:p>
            <w:pPr>
              <w:spacing w:after="0"/>
              <w:rPr>
                <w:sz w:val="18"/>
                <w:szCs w:val="18"/>
                <w:color w:val="auto"/>
              </w:rPr>
            </w:pPr>
          </w:p>
        </w:tc>
        <w:tc>
          <w:tcPr>
            <w:tcW w:w="186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color w:val="auto"/>
              </w:rPr>
              <w:t>$870,350</w:t>
            </w: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 w:type="dxa"/>
            <w:vAlign w:val="bottom"/>
            <w:shd w:val="clear" w:color="auto" w:fill="E5E5E5"/>
          </w:tcPr>
          <w:p>
            <w:pPr>
              <w:spacing w:after="0"/>
              <w:rPr>
                <w:sz w:val="19"/>
                <w:szCs w:val="19"/>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7/8/2022</w:t>
            </w:r>
          </w:p>
        </w:tc>
        <w:tc>
          <w:tcPr>
            <w:tcW w:w="80" w:type="dxa"/>
            <w:vAlign w:val="bottom"/>
            <w:shd w:val="clear" w:color="auto" w:fill="E5E5E5"/>
          </w:tcPr>
          <w:p>
            <w:pPr>
              <w:spacing w:after="0"/>
              <w:rPr>
                <w:sz w:val="19"/>
                <w:szCs w:val="19"/>
                <w:color w:val="auto"/>
              </w:rPr>
            </w:pPr>
          </w:p>
        </w:tc>
        <w:tc>
          <w:tcPr>
            <w:tcW w:w="1780" w:type="dxa"/>
            <w:vAlign w:val="bottom"/>
            <w:shd w:val="clear" w:color="auto" w:fill="E5E5E5"/>
          </w:tcPr>
          <w:p>
            <w:pPr>
              <w:ind w:left="15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jc w:val="right"/>
              <w:ind w:right="83"/>
              <w:spacing w:after="0"/>
              <w:rPr>
                <w:sz w:val="20"/>
                <w:szCs w:val="20"/>
                <w:color w:val="auto"/>
              </w:rPr>
            </w:pPr>
            <w:r>
              <w:rPr>
                <w:rFonts w:ascii="Arial" w:cs="Arial" w:eastAsia="Arial" w:hAnsi="Arial"/>
                <w:sz w:val="16"/>
                <w:szCs w:val="16"/>
                <w:color w:val="auto"/>
              </w:rPr>
              <w:t>99,521</w:t>
            </w:r>
          </w:p>
        </w:tc>
        <w:tc>
          <w:tcPr>
            <w:tcW w:w="1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$4,153,011</w:t>
            </w:r>
          </w:p>
        </w:tc>
        <w:tc>
          <w:tcPr>
            <w:tcW w:w="0" w:type="dxa"/>
            <w:vAlign w:val="bottom"/>
          </w:tcPr>
          <w:p>
            <w:pPr>
              <w:spacing w:after="0"/>
              <w:rPr>
                <w:sz w:val="1"/>
                <w:szCs w:val="1"/>
                <w:color w:val="auto"/>
              </w:rPr>
            </w:pPr>
          </w:p>
        </w:tc>
      </w:tr>
      <w:tr>
        <w:trPr>
          <w:trHeight w:val="218"/>
        </w:trPr>
        <w:tc>
          <w:tcPr>
            <w:tcW w:w="100" w:type="dxa"/>
            <w:vAlign w:val="bottom"/>
            <w:shd w:val="clear" w:color="auto" w:fill="E5E5E5"/>
          </w:tcPr>
          <w:p>
            <w:pPr>
              <w:spacing w:after="0"/>
              <w:rPr>
                <w:sz w:val="18"/>
                <w:szCs w:val="18"/>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PRSUs</w:t>
            </w:r>
          </w:p>
        </w:tc>
        <w:tc>
          <w:tcPr>
            <w:tcW w:w="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7/8/2022</w:t>
            </w:r>
          </w:p>
        </w:tc>
        <w:tc>
          <w:tcPr>
            <w:tcW w:w="80" w:type="dxa"/>
            <w:vAlign w:val="bottom"/>
            <w:shd w:val="clear" w:color="auto" w:fill="E5E5E5"/>
          </w:tcPr>
          <w:p>
            <w:pPr>
              <w:spacing w:after="0"/>
              <w:rPr>
                <w:sz w:val="18"/>
                <w:szCs w:val="18"/>
                <w:color w:val="auto"/>
              </w:rPr>
            </w:pPr>
          </w:p>
        </w:tc>
        <w:tc>
          <w:tcPr>
            <w:tcW w:w="1780" w:type="dxa"/>
            <w:vAlign w:val="bottom"/>
            <w:shd w:val="clear" w:color="auto" w:fill="E5E5E5"/>
          </w:tcPr>
          <w:p>
            <w:pPr>
              <w:ind w:left="15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jc w:val="right"/>
              <w:ind w:right="83"/>
              <w:spacing w:after="0"/>
              <w:rPr>
                <w:sz w:val="20"/>
                <w:szCs w:val="20"/>
                <w:color w:val="auto"/>
              </w:rPr>
            </w:pPr>
            <w:r>
              <w:rPr>
                <w:rFonts w:ascii="Arial" w:cs="Arial" w:eastAsia="Arial" w:hAnsi="Arial"/>
                <w:sz w:val="16"/>
                <w:szCs w:val="16"/>
                <w:color w:val="auto"/>
              </w:rPr>
              <w:t>149,282</w:t>
            </w:r>
          </w:p>
        </w:tc>
        <w:tc>
          <w:tcPr>
            <w:tcW w:w="1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$6,229,538</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b w:val="1"/>
                <w:bCs w:val="1"/>
                <w:color w:val="0071CE"/>
              </w:rPr>
              <w:t>Kenneth Myszkowski</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6"/>
                <w:szCs w:val="16"/>
                <w:color w:val="auto"/>
              </w:rPr>
              <w:t>Cash Bonus</w:t>
            </w:r>
          </w:p>
        </w:tc>
        <w:tc>
          <w:tcPr>
            <w:tcW w:w="960" w:type="dxa"/>
            <w:vAlign w:val="bottom"/>
          </w:tcPr>
          <w:p>
            <w:pPr>
              <w:spacing w:after="0"/>
              <w:rPr>
                <w:sz w:val="18"/>
                <w:szCs w:val="18"/>
                <w:color w:val="auto"/>
              </w:rPr>
            </w:pPr>
          </w:p>
        </w:tc>
        <w:tc>
          <w:tcPr>
            <w:tcW w:w="1860" w:type="dxa"/>
            <w:vAlign w:val="bottom"/>
            <w:gridSpan w:val="2"/>
          </w:tcPr>
          <w:p>
            <w:pPr>
              <w:jc w:val="right"/>
              <w:ind w:right="162"/>
              <w:spacing w:after="0"/>
              <w:rPr>
                <w:sz w:val="20"/>
                <w:szCs w:val="20"/>
                <w:color w:val="auto"/>
              </w:rPr>
            </w:pPr>
            <w:r>
              <w:rPr>
                <w:rFonts w:ascii="Arial" w:cs="Arial" w:eastAsia="Arial" w:hAnsi="Arial"/>
                <w:sz w:val="16"/>
                <w:szCs w:val="16"/>
                <w:color w:val="auto"/>
              </w:rPr>
              <w:t>$226,768</w:t>
            </w:r>
          </w:p>
        </w:tc>
        <w:tc>
          <w:tcPr>
            <w:tcW w:w="80" w:type="dxa"/>
            <w:vAlign w:val="bottom"/>
          </w:tcPr>
          <w:p>
            <w:pPr>
              <w:spacing w:after="0"/>
              <w:rPr>
                <w:sz w:val="18"/>
                <w:szCs w:val="18"/>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6"/>
                <w:szCs w:val="16"/>
                <w:color w:val="auto"/>
              </w:rPr>
              <w:t>RSUs</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1/1/2022</w:t>
            </w:r>
          </w:p>
        </w:tc>
        <w:tc>
          <w:tcPr>
            <w:tcW w:w="80" w:type="dxa"/>
            <w:vAlign w:val="bottom"/>
          </w:tcPr>
          <w:p>
            <w:pPr>
              <w:spacing w:after="0"/>
              <w:rPr>
                <w:sz w:val="18"/>
                <w:szCs w:val="18"/>
                <w:color w:val="auto"/>
              </w:rPr>
            </w:pPr>
          </w:p>
        </w:tc>
        <w:tc>
          <w:tcPr>
            <w:tcW w:w="1780" w:type="dxa"/>
            <w:vAlign w:val="bottom"/>
          </w:tcPr>
          <w:p>
            <w:pPr>
              <w:ind w:left="1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60,000</w:t>
            </w:r>
          </w:p>
        </w:tc>
        <w:tc>
          <w:tcPr>
            <w:tcW w:w="1180" w:type="dxa"/>
            <w:vAlign w:val="bottom"/>
          </w:tcPr>
          <w:p>
            <w:pPr>
              <w:jc w:val="right"/>
              <w:spacing w:after="0"/>
              <w:rPr>
                <w:sz w:val="20"/>
                <w:szCs w:val="20"/>
                <w:color w:val="auto"/>
              </w:rPr>
            </w:pPr>
            <w:r>
              <w:rPr>
                <w:rFonts w:ascii="Arial" w:cs="Arial" w:eastAsia="Arial" w:hAnsi="Arial"/>
                <w:sz w:val="16"/>
                <w:szCs w:val="16"/>
                <w:color w:val="auto"/>
              </w:rPr>
              <w:t>$3,978,000</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40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Patrick O’Brien</w:t>
            </w:r>
          </w:p>
        </w:tc>
        <w:tc>
          <w:tcPr>
            <w:tcW w:w="96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0" w:type="dxa"/>
            <w:vAlign w:val="bottom"/>
            <w:shd w:val="clear" w:color="auto" w:fill="E5E5E5"/>
          </w:tcPr>
          <w:p>
            <w:pPr>
              <w:spacing w:after="0"/>
              <w:rPr>
                <w:sz w:val="19"/>
                <w:szCs w:val="19"/>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960" w:type="dxa"/>
            <w:vAlign w:val="bottom"/>
            <w:shd w:val="clear" w:color="auto" w:fill="E5E5E5"/>
          </w:tcPr>
          <w:p>
            <w:pPr>
              <w:spacing w:after="0"/>
              <w:rPr>
                <w:sz w:val="19"/>
                <w:szCs w:val="19"/>
                <w:color w:val="auto"/>
              </w:rPr>
            </w:pPr>
          </w:p>
        </w:tc>
        <w:tc>
          <w:tcPr>
            <w:tcW w:w="186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color w:val="auto"/>
              </w:rPr>
              <w:t>$224,380</w:t>
            </w:r>
          </w:p>
        </w:tc>
        <w:tc>
          <w:tcPr>
            <w:tcW w:w="80" w:type="dxa"/>
            <w:vAlign w:val="bottom"/>
            <w:shd w:val="clear" w:color="auto" w:fill="E5E5E5"/>
          </w:tcPr>
          <w:p>
            <w:pPr>
              <w:spacing w:after="0"/>
              <w:rPr>
                <w:sz w:val="19"/>
                <w:szCs w:val="19"/>
                <w:color w:val="auto"/>
              </w:rPr>
            </w:pPr>
          </w:p>
        </w:tc>
        <w:tc>
          <w:tcPr>
            <w:tcW w:w="14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00" w:type="dxa"/>
            <w:vAlign w:val="bottom"/>
            <w:shd w:val="clear" w:color="auto" w:fill="E5E5E5"/>
          </w:tcPr>
          <w:p>
            <w:pPr>
              <w:spacing w:after="0"/>
              <w:rPr>
                <w:sz w:val="17"/>
                <w:szCs w:val="17"/>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1/1/2022</w:t>
            </w:r>
          </w:p>
        </w:tc>
        <w:tc>
          <w:tcPr>
            <w:tcW w:w="80" w:type="dxa"/>
            <w:vAlign w:val="bottom"/>
            <w:shd w:val="clear" w:color="auto" w:fill="E5E5E5"/>
          </w:tcPr>
          <w:p>
            <w:pPr>
              <w:spacing w:after="0"/>
              <w:rPr>
                <w:sz w:val="17"/>
                <w:szCs w:val="17"/>
                <w:color w:val="auto"/>
              </w:rPr>
            </w:pPr>
          </w:p>
        </w:tc>
        <w:tc>
          <w:tcPr>
            <w:tcW w:w="1780" w:type="dxa"/>
            <w:vAlign w:val="bottom"/>
            <w:shd w:val="clear" w:color="auto" w:fill="E5E5E5"/>
          </w:tcPr>
          <w:p>
            <w:pPr>
              <w:ind w:left="1540"/>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7"/>
                <w:szCs w:val="17"/>
                <w:color w:val="auto"/>
              </w:rPr>
            </w:pPr>
          </w:p>
        </w:tc>
        <w:tc>
          <w:tcPr>
            <w:tcW w:w="14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60,000</w:t>
            </w: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$3,978,000</w:t>
            </w: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18"/>
                <w:szCs w:val="18"/>
                <w:color w:val="auto"/>
              </w:rPr>
            </w:pPr>
          </w:p>
        </w:tc>
        <w:tc>
          <w:tcPr>
            <w:tcW w:w="40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James Hamilton</w:t>
            </w:r>
          </w:p>
        </w:tc>
        <w:tc>
          <w:tcPr>
            <w:tcW w:w="9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7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00" w:type="dxa"/>
            <w:vAlign w:val="bottom"/>
            <w:shd w:val="clear" w:color="auto" w:fill="E5E5E5"/>
          </w:tcPr>
          <w:p>
            <w:pPr>
              <w:spacing w:after="0"/>
              <w:rPr>
                <w:sz w:val="19"/>
                <w:szCs w:val="19"/>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96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78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$202,457</w:t>
            </w:r>
          </w:p>
        </w:tc>
        <w:tc>
          <w:tcPr>
            <w:tcW w:w="80" w:type="dxa"/>
            <w:vAlign w:val="bottom"/>
            <w:shd w:val="clear" w:color="auto" w:fill="E5E5E5"/>
          </w:tcPr>
          <w:p>
            <w:pPr>
              <w:spacing w:after="0"/>
              <w:rPr>
                <w:sz w:val="19"/>
                <w:szCs w:val="19"/>
                <w:color w:val="auto"/>
              </w:rPr>
            </w:pPr>
          </w:p>
        </w:tc>
        <w:tc>
          <w:tcPr>
            <w:tcW w:w="14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00" w:type="dxa"/>
            <w:vAlign w:val="bottom"/>
            <w:shd w:val="clear" w:color="auto" w:fill="E5E5E5"/>
          </w:tcPr>
          <w:p>
            <w:pPr>
              <w:spacing w:after="0"/>
              <w:rPr>
                <w:sz w:val="18"/>
                <w:szCs w:val="18"/>
                <w:color w:val="auto"/>
              </w:rPr>
            </w:pPr>
          </w:p>
        </w:tc>
        <w:tc>
          <w:tcPr>
            <w:tcW w:w="40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1/1/2022</w:t>
            </w:r>
          </w:p>
        </w:tc>
        <w:tc>
          <w:tcPr>
            <w:tcW w:w="80" w:type="dxa"/>
            <w:vAlign w:val="bottom"/>
            <w:shd w:val="clear" w:color="auto" w:fill="E5E5E5"/>
          </w:tcPr>
          <w:p>
            <w:pPr>
              <w:spacing w:after="0"/>
              <w:rPr>
                <w:sz w:val="18"/>
                <w:szCs w:val="18"/>
                <w:color w:val="auto"/>
              </w:rPr>
            </w:pPr>
          </w:p>
        </w:tc>
        <w:tc>
          <w:tcPr>
            <w:tcW w:w="1780" w:type="dxa"/>
            <w:vAlign w:val="bottom"/>
            <w:shd w:val="clear" w:color="auto" w:fill="E5E5E5"/>
          </w:tcPr>
          <w:p>
            <w:pPr>
              <w:ind w:left="1540"/>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55,000</w:t>
            </w:r>
          </w:p>
        </w:tc>
        <w:tc>
          <w:tcPr>
            <w:tcW w:w="240" w:type="dxa"/>
            <w:vAlign w:val="bottom"/>
            <w:shd w:val="clear" w:color="auto" w:fill="E5E5E5"/>
          </w:tcPr>
          <w:p>
            <w:pPr>
              <w:spacing w:after="0"/>
              <w:rPr>
                <w:sz w:val="18"/>
                <w:szCs w:val="18"/>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$3,646,500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b w:val="1"/>
                <w:bCs w:val="1"/>
                <w:color w:val="0071CE"/>
              </w:rPr>
              <w:t>Tracie Oliver(4)</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6"/>
                <w:szCs w:val="16"/>
                <w:color w:val="auto"/>
              </w:rPr>
              <w:t>Cash Bonus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$175,100</w:t>
            </w:r>
          </w:p>
        </w:tc>
        <w:tc>
          <w:tcPr>
            <w:tcW w:w="80" w:type="dxa"/>
            <w:vAlign w:val="bottom"/>
          </w:tcPr>
          <w:p>
            <w:pPr>
              <w:spacing w:after="0"/>
              <w:rPr>
                <w:sz w:val="18"/>
                <w:szCs w:val="18"/>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00" w:type="dxa"/>
            <w:vAlign w:val="bottom"/>
            <w:tcBorders>
              <w:bottom w:val="single" w:sz="8" w:color="0071CE"/>
            </w:tcBorders>
          </w:tcPr>
          <w:p>
            <w:pPr>
              <w:spacing w:after="0"/>
              <w:rPr>
                <w:sz w:val="18"/>
                <w:szCs w:val="18"/>
                <w:color w:val="auto"/>
              </w:rPr>
            </w:pPr>
          </w:p>
        </w:tc>
        <w:tc>
          <w:tcPr>
            <w:tcW w:w="4040" w:type="dxa"/>
            <w:vAlign w:val="bottom"/>
            <w:tcBorders>
              <w:bottom w:val="single" w:sz="8" w:color="0071CE"/>
            </w:tcBorders>
          </w:tcPr>
          <w:p>
            <w:pPr>
              <w:ind w:left="320"/>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7/1/22</w:t>
            </w:r>
          </w:p>
        </w:tc>
        <w:tc>
          <w:tcPr>
            <w:tcW w:w="80" w:type="dxa"/>
            <w:vAlign w:val="bottom"/>
            <w:tcBorders>
              <w:bottom w:val="single" w:sz="8" w:color="0071CE"/>
            </w:tcBorders>
          </w:tcPr>
          <w:p>
            <w:pPr>
              <w:spacing w:after="0"/>
              <w:rPr>
                <w:sz w:val="18"/>
                <w:szCs w:val="18"/>
                <w:color w:val="auto"/>
              </w:rPr>
            </w:pPr>
          </w:p>
        </w:tc>
        <w:tc>
          <w:tcPr>
            <w:tcW w:w="1780" w:type="dxa"/>
            <w:vAlign w:val="bottom"/>
            <w:tcBorders>
              <w:bottom w:val="single" w:sz="8" w:color="0071CE"/>
            </w:tcBorders>
          </w:tcPr>
          <w:p>
            <w:pPr>
              <w:ind w:left="1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71CE"/>
            </w:tcBorders>
          </w:tcPr>
          <w:p>
            <w:pPr>
              <w:spacing w:after="0"/>
              <w:rPr>
                <w:sz w:val="18"/>
                <w:szCs w:val="18"/>
                <w:color w:val="auto"/>
              </w:rPr>
            </w:pPr>
          </w:p>
        </w:tc>
        <w:tc>
          <w:tcPr>
            <w:tcW w:w="1420" w:type="dxa"/>
            <w:vAlign w:val="bottom"/>
            <w:tcBorders>
              <w:bottom w:val="single" w:sz="8" w:color="0071CE"/>
            </w:tcBorders>
          </w:tcPr>
          <w:p>
            <w:pPr>
              <w:jc w:val="right"/>
              <w:ind w:right="43"/>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Borders>
              <w:bottom w:val="single" w:sz="8" w:color="0071CE"/>
            </w:tcBorders>
          </w:tcPr>
          <w:p>
            <w:pPr>
              <w:spacing w:after="0"/>
              <w:rPr>
                <w:sz w:val="18"/>
                <w:szCs w:val="18"/>
                <w:color w:val="auto"/>
              </w:rPr>
            </w:pPr>
          </w:p>
        </w:tc>
        <w:tc>
          <w:tcPr>
            <w:tcW w:w="118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2,517,200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-2365375</wp:posOffset>
            </wp:positionV>
            <wp:extent cx="20231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65" w:lineRule="exact"/>
        <w:rPr>
          <w:sz w:val="20"/>
          <w:szCs w:val="20"/>
          <w:color w:val="auto"/>
        </w:rPr>
      </w:pPr>
    </w:p>
    <w:p>
      <w:pPr>
        <w:ind w:left="420" w:right="480" w:hanging="412"/>
        <w:spacing w:after="0" w:line="305" w:lineRule="auto"/>
        <w:tabs>
          <w:tab w:leader="none" w:pos="407"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NEOs in fiscal 2022. Actual payments were made in fiscal 2023 and the amounts are reported in the Summary Compensation Table above. There are no thresholds or maximum levels applicable under our annual cash incentive awards.</w:t>
      </w:r>
    </w:p>
    <w:p>
      <w:pPr>
        <w:spacing w:after="0" w:line="49" w:lineRule="exact"/>
        <w:rPr>
          <w:rFonts w:ascii="Arial" w:cs="Arial" w:eastAsia="Arial" w:hAnsi="Arial"/>
          <w:sz w:val="14"/>
          <w:szCs w:val="14"/>
          <w:color w:val="auto"/>
        </w:rPr>
      </w:pPr>
    </w:p>
    <w:p>
      <w:pPr>
        <w:ind w:left="400" w:hanging="392"/>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These RSU and PRSU are described above in the “Compensation Discussion and Analysis” under the heading “Equity Compensation”.</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RSUs granted in fiscal 2022 vest in four equal annual installments beginning 1 year from the grant date.</w:t>
      </w:r>
    </w:p>
    <w:p>
      <w:pPr>
        <w:spacing w:after="0" w:line="122" w:lineRule="exact"/>
        <w:rPr>
          <w:rFonts w:ascii="Arial" w:cs="Arial" w:eastAsia="Arial" w:hAnsi="Arial"/>
          <w:sz w:val="14"/>
          <w:szCs w:val="14"/>
          <w:color w:val="auto"/>
        </w:rPr>
      </w:pPr>
    </w:p>
    <w:p>
      <w:pPr>
        <w:ind w:left="420" w:right="340" w:hanging="412"/>
        <w:spacing w:after="0" w:line="305" w:lineRule="auto"/>
        <w:tabs>
          <w:tab w:leader="none" w:pos="407" w:val="left"/>
        </w:tabs>
        <w:numPr>
          <w:ilvl w:val="0"/>
          <w:numId w:val="54"/>
        </w:numPr>
        <w:rPr>
          <w:rFonts w:ascii="Arial" w:cs="Arial" w:eastAsia="Arial" w:hAnsi="Arial"/>
          <w:sz w:val="14"/>
          <w:szCs w:val="14"/>
          <w:color w:val="auto"/>
        </w:rPr>
      </w:pPr>
      <w:r>
        <w:rPr>
          <w:rFonts w:ascii="Arial" w:cs="Arial" w:eastAsia="Arial" w:hAnsi="Arial"/>
          <w:sz w:val="14"/>
          <w:szCs w:val="14"/>
          <w:color w:val="auto"/>
        </w:rPr>
        <w:t>Ms. Oliver’s employment with us began in June 2022. Under her fiscal 2022 compensation arrangements, Ms. Oliver had the opportunity to receive an incentive cash bonus of 40% of her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757555</wp:posOffset>
            </wp:positionV>
            <wp:extent cx="98615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47</w:t>
      </w:r>
    </w:p>
    <w:p>
      <w:pPr>
        <w:sectPr>
          <w:pgSz w:w="11900" w:h="16838" w:orient="portrait"/>
          <w:cols w:equalWidth="0" w:num="1">
            <w:col w:w="11240"/>
          </w:cols>
          <w:pgMar w:left="320" w:top="2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2022 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The following table provides information, with respect to the NEOs, concerning the outstanding equity awards covering shares of the Company’s common stock as of September 30, 2022.</w:t>
      </w: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0071CE"/>
          </w:tcPr>
          <w:p>
            <w:pPr>
              <w:spacing w:after="0"/>
              <w:rPr>
                <w:sz w:val="19"/>
                <w:szCs w:val="19"/>
                <w:color w:val="auto"/>
              </w:rPr>
            </w:pPr>
          </w:p>
        </w:tc>
        <w:tc>
          <w:tcPr>
            <w:tcW w:w="1100" w:type="dxa"/>
            <w:vAlign w:val="bottom"/>
            <w:shd w:val="clear" w:color="auto" w:fill="0071CE"/>
          </w:tcPr>
          <w:p>
            <w:pPr>
              <w:spacing w:after="0"/>
              <w:rPr>
                <w:sz w:val="19"/>
                <w:szCs w:val="19"/>
                <w:color w:val="auto"/>
              </w:rPr>
            </w:pPr>
          </w:p>
        </w:tc>
        <w:tc>
          <w:tcPr>
            <w:tcW w:w="1340" w:type="dxa"/>
            <w:vAlign w:val="bottom"/>
            <w:shd w:val="clear" w:color="auto" w:fill="0071CE"/>
          </w:tcPr>
          <w:p>
            <w:pPr>
              <w:spacing w:after="0"/>
              <w:rPr>
                <w:sz w:val="19"/>
                <w:szCs w:val="19"/>
                <w:color w:val="auto"/>
              </w:rPr>
            </w:pPr>
          </w:p>
        </w:tc>
        <w:tc>
          <w:tcPr>
            <w:tcW w:w="820" w:type="dxa"/>
            <w:vAlign w:val="bottom"/>
            <w:shd w:val="clear" w:color="auto" w:fill="0071CE"/>
          </w:tcPr>
          <w:p>
            <w:pPr>
              <w:spacing w:after="0"/>
              <w:rPr>
                <w:sz w:val="19"/>
                <w:szCs w:val="19"/>
                <w:color w:val="auto"/>
              </w:rPr>
            </w:pPr>
          </w:p>
        </w:tc>
        <w:tc>
          <w:tcPr>
            <w:tcW w:w="1120" w:type="dxa"/>
            <w:vAlign w:val="bottom"/>
            <w:shd w:val="clear" w:color="auto" w:fill="0071CE"/>
          </w:tcPr>
          <w:p>
            <w:pPr>
              <w:spacing w:after="0"/>
              <w:rPr>
                <w:sz w:val="19"/>
                <w:szCs w:val="19"/>
                <w:color w:val="auto"/>
              </w:rPr>
            </w:pPr>
          </w:p>
        </w:tc>
        <w:tc>
          <w:tcPr>
            <w:tcW w:w="2040" w:type="dxa"/>
            <w:vAlign w:val="bottom"/>
            <w:gridSpan w:val="3"/>
            <w:shd w:val="clear" w:color="auto" w:fill="0071CE"/>
          </w:tcPr>
          <w:p>
            <w:pPr>
              <w:ind w:left="440"/>
              <w:spacing w:after="0"/>
              <w:rPr>
                <w:sz w:val="20"/>
                <w:szCs w:val="20"/>
                <w:color w:val="auto"/>
              </w:rPr>
            </w:pPr>
            <w:r>
              <w:rPr>
                <w:rFonts w:ascii="Arial" w:cs="Arial" w:eastAsia="Arial" w:hAnsi="Arial"/>
                <w:sz w:val="14"/>
                <w:szCs w:val="14"/>
                <w:b w:val="1"/>
                <w:bCs w:val="1"/>
                <w:color w:val="FFFFFF"/>
              </w:rPr>
              <w:t>Option Awards</w:t>
            </w:r>
          </w:p>
        </w:tc>
        <w:tc>
          <w:tcPr>
            <w:tcW w:w="960" w:type="dxa"/>
            <w:vAlign w:val="bottom"/>
            <w:shd w:val="clear" w:color="auto" w:fill="0071CE"/>
          </w:tcPr>
          <w:p>
            <w:pPr>
              <w:spacing w:after="0"/>
              <w:rPr>
                <w:sz w:val="19"/>
                <w:szCs w:val="19"/>
                <w:color w:val="auto"/>
              </w:rPr>
            </w:pPr>
          </w:p>
        </w:tc>
        <w:tc>
          <w:tcPr>
            <w:tcW w:w="940" w:type="dxa"/>
            <w:vAlign w:val="bottom"/>
            <w:shd w:val="clear" w:color="auto" w:fill="0071CE"/>
          </w:tcPr>
          <w:p>
            <w:pPr>
              <w:spacing w:after="0"/>
              <w:rPr>
                <w:sz w:val="19"/>
                <w:szCs w:val="19"/>
                <w:color w:val="auto"/>
              </w:rPr>
            </w:pPr>
          </w:p>
        </w:tc>
        <w:tc>
          <w:tcPr>
            <w:tcW w:w="1940" w:type="dxa"/>
            <w:vAlign w:val="bottom"/>
            <w:gridSpan w:val="2"/>
            <w:shd w:val="clear" w:color="auto" w:fill="0071CE"/>
          </w:tcPr>
          <w:p>
            <w:pPr>
              <w:jc w:val="right"/>
              <w:ind w:right="445"/>
              <w:spacing w:after="0"/>
              <w:rPr>
                <w:sz w:val="20"/>
                <w:szCs w:val="20"/>
                <w:color w:val="auto"/>
              </w:rPr>
            </w:pPr>
            <w:r>
              <w:rPr>
                <w:rFonts w:ascii="Arial" w:cs="Arial" w:eastAsia="Arial" w:hAnsi="Arial"/>
                <w:sz w:val="14"/>
                <w:szCs w:val="14"/>
                <w:b w:val="1"/>
                <w:bCs w:val="1"/>
                <w:color w:val="FFFFFF"/>
              </w:rPr>
              <w:t>Stock Awards</w:t>
            </w:r>
          </w:p>
        </w:tc>
        <w:tc>
          <w:tcPr>
            <w:tcW w:w="88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0071CE"/>
          </w:tcPr>
          <w:p>
            <w:pPr>
              <w:spacing w:after="0"/>
              <w:rPr>
                <w:sz w:val="17"/>
                <w:szCs w:val="17"/>
                <w:color w:val="auto"/>
              </w:rPr>
            </w:pPr>
          </w:p>
        </w:tc>
        <w:tc>
          <w:tcPr>
            <w:tcW w:w="1100" w:type="dxa"/>
            <w:vAlign w:val="bottom"/>
            <w:shd w:val="clear" w:color="auto" w:fill="0071CE"/>
          </w:tcPr>
          <w:p>
            <w:pPr>
              <w:spacing w:after="0"/>
              <w:rPr>
                <w:sz w:val="17"/>
                <w:szCs w:val="17"/>
                <w:color w:val="auto"/>
              </w:rPr>
            </w:pPr>
          </w:p>
        </w:tc>
        <w:tc>
          <w:tcPr>
            <w:tcW w:w="1340" w:type="dxa"/>
            <w:vAlign w:val="bottom"/>
            <w:shd w:val="clear" w:color="auto" w:fill="0071CE"/>
          </w:tcPr>
          <w:p>
            <w:pPr>
              <w:spacing w:after="0"/>
              <w:rPr>
                <w:sz w:val="17"/>
                <w:szCs w:val="17"/>
                <w:color w:val="auto"/>
              </w:rPr>
            </w:pPr>
          </w:p>
        </w:tc>
        <w:tc>
          <w:tcPr>
            <w:tcW w:w="820" w:type="dxa"/>
            <w:vAlign w:val="bottom"/>
            <w:shd w:val="clear" w:color="auto" w:fill="0071CE"/>
          </w:tcPr>
          <w:p>
            <w:pPr>
              <w:spacing w:after="0"/>
              <w:rPr>
                <w:sz w:val="17"/>
                <w:szCs w:val="17"/>
                <w:color w:val="auto"/>
              </w:rPr>
            </w:pPr>
          </w:p>
        </w:tc>
        <w:tc>
          <w:tcPr>
            <w:tcW w:w="1120" w:type="dxa"/>
            <w:vAlign w:val="bottom"/>
            <w:shd w:val="clear" w:color="auto" w:fill="0071CE"/>
          </w:tcPr>
          <w:p>
            <w:pPr>
              <w:spacing w:after="0"/>
              <w:rPr>
                <w:sz w:val="17"/>
                <w:szCs w:val="17"/>
                <w:color w:val="auto"/>
              </w:rPr>
            </w:pPr>
          </w:p>
        </w:tc>
        <w:tc>
          <w:tcPr>
            <w:tcW w:w="1080" w:type="dxa"/>
            <w:vAlign w:val="bottom"/>
            <w:shd w:val="clear" w:color="auto" w:fill="0071CE"/>
          </w:tcPr>
          <w:p>
            <w:pPr>
              <w:spacing w:after="0"/>
              <w:rPr>
                <w:sz w:val="17"/>
                <w:szCs w:val="17"/>
                <w:color w:val="auto"/>
              </w:rPr>
            </w:pPr>
          </w:p>
        </w:tc>
        <w:tc>
          <w:tcPr>
            <w:tcW w:w="100" w:type="dxa"/>
            <w:vAlign w:val="bottom"/>
            <w:shd w:val="clear" w:color="auto" w:fill="0071CE"/>
          </w:tcPr>
          <w:p>
            <w:pPr>
              <w:spacing w:after="0"/>
              <w:rPr>
                <w:sz w:val="17"/>
                <w:szCs w:val="17"/>
                <w:color w:val="auto"/>
              </w:rPr>
            </w:pPr>
          </w:p>
        </w:tc>
        <w:tc>
          <w:tcPr>
            <w:tcW w:w="860" w:type="dxa"/>
            <w:vAlign w:val="bottom"/>
            <w:shd w:val="clear" w:color="auto" w:fill="0071CE"/>
          </w:tcPr>
          <w:p>
            <w:pPr>
              <w:spacing w:after="0"/>
              <w:rPr>
                <w:sz w:val="17"/>
                <w:szCs w:val="17"/>
                <w:color w:val="auto"/>
              </w:rPr>
            </w:pPr>
          </w:p>
        </w:tc>
        <w:tc>
          <w:tcPr>
            <w:tcW w:w="960" w:type="dxa"/>
            <w:vAlign w:val="bottom"/>
            <w:shd w:val="clear" w:color="auto" w:fill="0071CE"/>
          </w:tcPr>
          <w:p>
            <w:pPr>
              <w:spacing w:after="0"/>
              <w:rPr>
                <w:sz w:val="17"/>
                <w:szCs w:val="17"/>
                <w:color w:val="auto"/>
              </w:rPr>
            </w:pPr>
          </w:p>
        </w:tc>
        <w:tc>
          <w:tcPr>
            <w:tcW w:w="940" w:type="dxa"/>
            <w:vAlign w:val="bottom"/>
            <w:shd w:val="clear" w:color="auto" w:fill="0071CE"/>
          </w:tcPr>
          <w:p>
            <w:pPr>
              <w:spacing w:after="0"/>
              <w:rPr>
                <w:sz w:val="17"/>
                <w:szCs w:val="17"/>
                <w:color w:val="auto"/>
              </w:rPr>
            </w:pPr>
          </w:p>
        </w:tc>
        <w:tc>
          <w:tcPr>
            <w:tcW w:w="900" w:type="dxa"/>
            <w:vAlign w:val="bottom"/>
            <w:shd w:val="clear" w:color="auto" w:fill="0071CE"/>
          </w:tcPr>
          <w:p>
            <w:pPr>
              <w:spacing w:after="0"/>
              <w:rPr>
                <w:sz w:val="17"/>
                <w:szCs w:val="17"/>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Equity</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34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112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86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Incentive</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95"/>
        </w:trPr>
        <w:tc>
          <w:tcPr>
            <w:tcW w:w="100" w:type="dxa"/>
            <w:vAlign w:val="bottom"/>
            <w:shd w:val="clear" w:color="auto" w:fill="0071CE"/>
          </w:tcPr>
          <w:p>
            <w:pPr>
              <w:spacing w:after="0"/>
              <w:rPr>
                <w:sz w:val="8"/>
                <w:szCs w:val="8"/>
                <w:color w:val="auto"/>
              </w:rPr>
            </w:pPr>
          </w:p>
        </w:tc>
        <w:tc>
          <w:tcPr>
            <w:tcW w:w="1100" w:type="dxa"/>
            <w:vAlign w:val="bottom"/>
            <w:shd w:val="clear" w:color="auto" w:fill="0071CE"/>
          </w:tcPr>
          <w:p>
            <w:pPr>
              <w:spacing w:after="0"/>
              <w:rPr>
                <w:sz w:val="8"/>
                <w:szCs w:val="8"/>
                <w:color w:val="auto"/>
              </w:rPr>
            </w:pPr>
          </w:p>
        </w:tc>
        <w:tc>
          <w:tcPr>
            <w:tcW w:w="1340" w:type="dxa"/>
            <w:vAlign w:val="bottom"/>
            <w:shd w:val="clear" w:color="auto" w:fill="0071CE"/>
          </w:tcPr>
          <w:p>
            <w:pPr>
              <w:spacing w:after="0"/>
              <w:rPr>
                <w:sz w:val="8"/>
                <w:szCs w:val="8"/>
                <w:color w:val="auto"/>
              </w:rPr>
            </w:pPr>
          </w:p>
        </w:tc>
        <w:tc>
          <w:tcPr>
            <w:tcW w:w="820" w:type="dxa"/>
            <w:vAlign w:val="bottom"/>
            <w:shd w:val="clear" w:color="auto" w:fill="0071CE"/>
          </w:tcPr>
          <w:p>
            <w:pPr>
              <w:spacing w:after="0"/>
              <w:rPr>
                <w:sz w:val="8"/>
                <w:szCs w:val="8"/>
                <w:color w:val="auto"/>
              </w:rPr>
            </w:pPr>
          </w:p>
        </w:tc>
        <w:tc>
          <w:tcPr>
            <w:tcW w:w="1120" w:type="dxa"/>
            <w:vAlign w:val="bottom"/>
            <w:shd w:val="clear" w:color="auto" w:fill="0071CE"/>
          </w:tcPr>
          <w:p>
            <w:pPr>
              <w:spacing w:after="0"/>
              <w:rPr>
                <w:sz w:val="8"/>
                <w:szCs w:val="8"/>
                <w:color w:val="auto"/>
              </w:rPr>
            </w:pPr>
          </w:p>
        </w:tc>
        <w:tc>
          <w:tcPr>
            <w:tcW w:w="1080" w:type="dxa"/>
            <w:vAlign w:val="bottom"/>
            <w:shd w:val="clear" w:color="auto" w:fill="0071CE"/>
          </w:tcPr>
          <w:p>
            <w:pPr>
              <w:spacing w:after="0"/>
              <w:rPr>
                <w:sz w:val="8"/>
                <w:szCs w:val="8"/>
                <w:color w:val="auto"/>
              </w:rPr>
            </w:pPr>
          </w:p>
        </w:tc>
        <w:tc>
          <w:tcPr>
            <w:tcW w:w="100" w:type="dxa"/>
            <w:vAlign w:val="bottom"/>
            <w:shd w:val="clear" w:color="auto" w:fill="0071CE"/>
          </w:tcPr>
          <w:p>
            <w:pPr>
              <w:spacing w:after="0"/>
              <w:rPr>
                <w:sz w:val="8"/>
                <w:szCs w:val="8"/>
                <w:color w:val="auto"/>
              </w:rPr>
            </w:pPr>
          </w:p>
        </w:tc>
        <w:tc>
          <w:tcPr>
            <w:tcW w:w="860" w:type="dxa"/>
            <w:vAlign w:val="bottom"/>
            <w:shd w:val="clear" w:color="auto" w:fill="0071CE"/>
          </w:tcPr>
          <w:p>
            <w:pPr>
              <w:spacing w:after="0"/>
              <w:rPr>
                <w:sz w:val="8"/>
                <w:szCs w:val="8"/>
                <w:color w:val="auto"/>
              </w:rPr>
            </w:pPr>
          </w:p>
        </w:tc>
        <w:tc>
          <w:tcPr>
            <w:tcW w:w="960" w:type="dxa"/>
            <w:vAlign w:val="bottom"/>
            <w:shd w:val="clear" w:color="auto" w:fill="0071CE"/>
          </w:tcPr>
          <w:p>
            <w:pPr>
              <w:spacing w:after="0"/>
              <w:rPr>
                <w:sz w:val="8"/>
                <w:szCs w:val="8"/>
                <w:color w:val="auto"/>
              </w:rPr>
            </w:pPr>
          </w:p>
        </w:tc>
        <w:tc>
          <w:tcPr>
            <w:tcW w:w="940" w:type="dxa"/>
            <w:vAlign w:val="bottom"/>
            <w:shd w:val="clear" w:color="auto" w:fill="0071CE"/>
          </w:tcPr>
          <w:p>
            <w:pPr>
              <w:spacing w:after="0"/>
              <w:rPr>
                <w:sz w:val="8"/>
                <w:szCs w:val="8"/>
                <w:color w:val="auto"/>
              </w:rPr>
            </w:pPr>
          </w:p>
        </w:tc>
        <w:tc>
          <w:tcPr>
            <w:tcW w:w="900" w:type="dxa"/>
            <w:vAlign w:val="bottom"/>
            <w:shd w:val="clear" w:color="auto" w:fill="0071CE"/>
          </w:tcPr>
          <w:p>
            <w:pPr>
              <w:spacing w:after="0"/>
              <w:rPr>
                <w:sz w:val="8"/>
                <w:szCs w:val="8"/>
                <w:color w:val="auto"/>
              </w:rPr>
            </w:pPr>
          </w:p>
        </w:tc>
        <w:tc>
          <w:tcPr>
            <w:tcW w:w="1040" w:type="dxa"/>
            <w:vAlign w:val="bottom"/>
            <w:vMerge w:val="restart"/>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Plan</w:t>
            </w:r>
          </w:p>
        </w:tc>
        <w:tc>
          <w:tcPr>
            <w:tcW w:w="880" w:type="dxa"/>
            <w:vAlign w:val="bottom"/>
            <w:shd w:val="clear" w:color="auto" w:fill="0071CE"/>
          </w:tcPr>
          <w:p>
            <w:pPr>
              <w:jc w:val="center"/>
              <w:spacing w:after="0" w:line="95" w:lineRule="exact"/>
              <w:rPr>
                <w:sz w:val="20"/>
                <w:szCs w:val="20"/>
                <w:color w:val="auto"/>
              </w:rPr>
            </w:pPr>
            <w:r>
              <w:rPr>
                <w:rFonts w:ascii="Arial" w:cs="Arial" w:eastAsia="Arial" w:hAnsi="Arial"/>
                <w:sz w:val="10"/>
                <w:szCs w:val="10"/>
                <w:b w:val="1"/>
                <w:bCs w:val="1"/>
                <w:color w:val="FFFFFF"/>
              </w:rPr>
              <w:t>Plan</w:t>
            </w:r>
          </w:p>
        </w:tc>
        <w:tc>
          <w:tcPr>
            <w:tcW w:w="0" w:type="dxa"/>
            <w:vAlign w:val="bottom"/>
          </w:tcPr>
          <w:p>
            <w:pPr>
              <w:spacing w:after="0"/>
              <w:rPr>
                <w:sz w:val="1"/>
                <w:szCs w:val="1"/>
                <w:color w:val="auto"/>
              </w:rPr>
            </w:pPr>
          </w:p>
        </w:tc>
      </w:tr>
      <w:tr>
        <w:trPr>
          <w:trHeight w:val="68"/>
        </w:trPr>
        <w:tc>
          <w:tcPr>
            <w:tcW w:w="100" w:type="dxa"/>
            <w:vAlign w:val="bottom"/>
            <w:shd w:val="clear" w:color="auto" w:fill="0071CE"/>
          </w:tcPr>
          <w:p>
            <w:pPr>
              <w:spacing w:after="0"/>
              <w:rPr>
                <w:sz w:val="5"/>
                <w:szCs w:val="5"/>
                <w:color w:val="auto"/>
              </w:rPr>
            </w:pPr>
          </w:p>
        </w:tc>
        <w:tc>
          <w:tcPr>
            <w:tcW w:w="1100" w:type="dxa"/>
            <w:vAlign w:val="bottom"/>
            <w:shd w:val="clear" w:color="auto" w:fill="0071CE"/>
          </w:tcPr>
          <w:p>
            <w:pPr>
              <w:spacing w:after="0"/>
              <w:rPr>
                <w:sz w:val="5"/>
                <w:szCs w:val="5"/>
                <w:color w:val="auto"/>
              </w:rPr>
            </w:pPr>
          </w:p>
        </w:tc>
        <w:tc>
          <w:tcPr>
            <w:tcW w:w="1340" w:type="dxa"/>
            <w:vAlign w:val="bottom"/>
            <w:shd w:val="clear" w:color="auto" w:fill="0071CE"/>
          </w:tcPr>
          <w:p>
            <w:pPr>
              <w:spacing w:after="0"/>
              <w:rPr>
                <w:sz w:val="5"/>
                <w:szCs w:val="5"/>
                <w:color w:val="auto"/>
              </w:rPr>
            </w:pPr>
          </w:p>
        </w:tc>
        <w:tc>
          <w:tcPr>
            <w:tcW w:w="820" w:type="dxa"/>
            <w:vAlign w:val="bottom"/>
            <w:shd w:val="clear" w:color="auto" w:fill="0071CE"/>
          </w:tcPr>
          <w:p>
            <w:pPr>
              <w:spacing w:after="0"/>
              <w:rPr>
                <w:sz w:val="5"/>
                <w:szCs w:val="5"/>
                <w:color w:val="auto"/>
              </w:rPr>
            </w:pPr>
          </w:p>
        </w:tc>
        <w:tc>
          <w:tcPr>
            <w:tcW w:w="1120" w:type="dxa"/>
            <w:vAlign w:val="bottom"/>
            <w:shd w:val="clear" w:color="auto" w:fill="0071CE"/>
          </w:tcPr>
          <w:p>
            <w:pPr>
              <w:spacing w:after="0"/>
              <w:rPr>
                <w:sz w:val="5"/>
                <w:szCs w:val="5"/>
                <w:color w:val="auto"/>
              </w:rPr>
            </w:pPr>
          </w:p>
        </w:tc>
        <w:tc>
          <w:tcPr>
            <w:tcW w:w="1080" w:type="dxa"/>
            <w:vAlign w:val="bottom"/>
            <w:shd w:val="clear" w:color="auto" w:fill="0071CE"/>
          </w:tcPr>
          <w:p>
            <w:pPr>
              <w:spacing w:after="0"/>
              <w:rPr>
                <w:sz w:val="5"/>
                <w:szCs w:val="5"/>
                <w:color w:val="auto"/>
              </w:rPr>
            </w:pPr>
          </w:p>
        </w:tc>
        <w:tc>
          <w:tcPr>
            <w:tcW w:w="100" w:type="dxa"/>
            <w:vAlign w:val="bottom"/>
            <w:shd w:val="clear" w:color="auto" w:fill="0071CE"/>
          </w:tcPr>
          <w:p>
            <w:pPr>
              <w:spacing w:after="0"/>
              <w:rPr>
                <w:sz w:val="5"/>
                <w:szCs w:val="5"/>
                <w:color w:val="auto"/>
              </w:rPr>
            </w:pPr>
          </w:p>
        </w:tc>
        <w:tc>
          <w:tcPr>
            <w:tcW w:w="860" w:type="dxa"/>
            <w:vAlign w:val="bottom"/>
            <w:shd w:val="clear" w:color="auto" w:fill="0071CE"/>
          </w:tcPr>
          <w:p>
            <w:pPr>
              <w:spacing w:after="0"/>
              <w:rPr>
                <w:sz w:val="5"/>
                <w:szCs w:val="5"/>
                <w:color w:val="auto"/>
              </w:rPr>
            </w:pPr>
          </w:p>
        </w:tc>
        <w:tc>
          <w:tcPr>
            <w:tcW w:w="960" w:type="dxa"/>
            <w:vAlign w:val="bottom"/>
            <w:shd w:val="clear" w:color="auto" w:fill="0071CE"/>
          </w:tcPr>
          <w:p>
            <w:pPr>
              <w:spacing w:after="0"/>
              <w:rPr>
                <w:sz w:val="5"/>
                <w:szCs w:val="5"/>
                <w:color w:val="auto"/>
              </w:rPr>
            </w:pPr>
          </w:p>
        </w:tc>
        <w:tc>
          <w:tcPr>
            <w:tcW w:w="940" w:type="dxa"/>
            <w:vAlign w:val="bottom"/>
            <w:shd w:val="clear" w:color="auto" w:fill="0071CE"/>
          </w:tcPr>
          <w:p>
            <w:pPr>
              <w:spacing w:after="0"/>
              <w:rPr>
                <w:sz w:val="5"/>
                <w:szCs w:val="5"/>
                <w:color w:val="auto"/>
              </w:rPr>
            </w:pPr>
          </w:p>
        </w:tc>
        <w:tc>
          <w:tcPr>
            <w:tcW w:w="900" w:type="dxa"/>
            <w:vAlign w:val="bottom"/>
            <w:shd w:val="clear" w:color="auto" w:fill="0071CE"/>
          </w:tcPr>
          <w:p>
            <w:pPr>
              <w:spacing w:after="0"/>
              <w:rPr>
                <w:sz w:val="5"/>
                <w:szCs w:val="5"/>
                <w:color w:val="auto"/>
              </w:rPr>
            </w:pPr>
          </w:p>
        </w:tc>
        <w:tc>
          <w:tcPr>
            <w:tcW w:w="1040" w:type="dxa"/>
            <w:vAlign w:val="bottom"/>
            <w:vMerge w:val="continue"/>
            <w:shd w:val="clear" w:color="auto" w:fill="0071CE"/>
          </w:tcPr>
          <w:p>
            <w:pPr>
              <w:spacing w:after="0"/>
              <w:rPr>
                <w:sz w:val="5"/>
                <w:szCs w:val="5"/>
                <w:color w:val="auto"/>
              </w:rPr>
            </w:pPr>
          </w:p>
        </w:tc>
        <w:tc>
          <w:tcPr>
            <w:tcW w:w="88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72"/>
        </w:trPr>
        <w:tc>
          <w:tcPr>
            <w:tcW w:w="100" w:type="dxa"/>
            <w:vAlign w:val="bottom"/>
            <w:shd w:val="clear" w:color="auto" w:fill="0071CE"/>
          </w:tcPr>
          <w:p>
            <w:pPr>
              <w:spacing w:after="0"/>
              <w:rPr>
                <w:sz w:val="6"/>
                <w:szCs w:val="6"/>
                <w:color w:val="auto"/>
              </w:rPr>
            </w:pPr>
          </w:p>
        </w:tc>
        <w:tc>
          <w:tcPr>
            <w:tcW w:w="110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820" w:type="dxa"/>
            <w:vAlign w:val="bottom"/>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080" w:type="dxa"/>
            <w:vAlign w:val="bottom"/>
            <w:shd w:val="clear" w:color="auto" w:fill="0071CE"/>
          </w:tcPr>
          <w:p>
            <w:pPr>
              <w:spacing w:after="0"/>
              <w:rPr>
                <w:sz w:val="6"/>
                <w:szCs w:val="6"/>
                <w:color w:val="auto"/>
              </w:rPr>
            </w:pPr>
          </w:p>
        </w:tc>
        <w:tc>
          <w:tcPr>
            <w:tcW w:w="100" w:type="dxa"/>
            <w:vAlign w:val="bottom"/>
            <w:shd w:val="clear" w:color="auto" w:fill="0071CE"/>
          </w:tcPr>
          <w:p>
            <w:pPr>
              <w:spacing w:after="0"/>
              <w:rPr>
                <w:sz w:val="6"/>
                <w:szCs w:val="6"/>
                <w:color w:val="auto"/>
              </w:rPr>
            </w:pPr>
          </w:p>
        </w:tc>
        <w:tc>
          <w:tcPr>
            <w:tcW w:w="860" w:type="dxa"/>
            <w:vAlign w:val="bottom"/>
            <w:shd w:val="clear" w:color="auto" w:fill="0071CE"/>
          </w:tcPr>
          <w:p>
            <w:pPr>
              <w:spacing w:after="0"/>
              <w:rPr>
                <w:sz w:val="6"/>
                <w:szCs w:val="6"/>
                <w:color w:val="auto"/>
              </w:rPr>
            </w:pPr>
          </w:p>
        </w:tc>
        <w:tc>
          <w:tcPr>
            <w:tcW w:w="960" w:type="dxa"/>
            <w:vAlign w:val="bottom"/>
            <w:shd w:val="clear" w:color="auto" w:fill="0071CE"/>
          </w:tcPr>
          <w:p>
            <w:pPr>
              <w:spacing w:after="0"/>
              <w:rPr>
                <w:sz w:val="6"/>
                <w:szCs w:val="6"/>
                <w:color w:val="auto"/>
              </w:rPr>
            </w:pPr>
          </w:p>
        </w:tc>
        <w:tc>
          <w:tcPr>
            <w:tcW w:w="940" w:type="dxa"/>
            <w:vAlign w:val="bottom"/>
            <w:shd w:val="clear" w:color="auto" w:fill="0071CE"/>
          </w:tcPr>
          <w:p>
            <w:pPr>
              <w:spacing w:after="0"/>
              <w:rPr>
                <w:sz w:val="6"/>
                <w:szCs w:val="6"/>
                <w:color w:val="auto"/>
              </w:rPr>
            </w:pPr>
          </w:p>
        </w:tc>
        <w:tc>
          <w:tcPr>
            <w:tcW w:w="900" w:type="dxa"/>
            <w:vAlign w:val="bottom"/>
            <w:shd w:val="clear" w:color="auto" w:fill="0071CE"/>
          </w:tcPr>
          <w:p>
            <w:pPr>
              <w:spacing w:after="0"/>
              <w:rPr>
                <w:sz w:val="6"/>
                <w:szCs w:val="6"/>
                <w:color w:val="auto"/>
              </w:rPr>
            </w:pPr>
          </w:p>
        </w:tc>
        <w:tc>
          <w:tcPr>
            <w:tcW w:w="104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w w:val="98"/>
              </w:rPr>
              <w:t>Awards:</w:t>
            </w:r>
          </w:p>
        </w:tc>
        <w:tc>
          <w:tcPr>
            <w:tcW w:w="880" w:type="dxa"/>
            <w:vAlign w:val="bottom"/>
            <w:vMerge w:val="continue"/>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71CE"/>
          </w:tcPr>
          <w:p>
            <w:pPr>
              <w:spacing w:after="0"/>
              <w:rPr>
                <w:sz w:val="12"/>
                <w:szCs w:val="12"/>
                <w:color w:val="auto"/>
              </w:rPr>
            </w:pPr>
          </w:p>
        </w:tc>
        <w:tc>
          <w:tcPr>
            <w:tcW w:w="110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08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86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94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1040" w:type="dxa"/>
            <w:vAlign w:val="bottom"/>
            <w:vMerge w:val="continue"/>
            <w:shd w:val="clear" w:color="auto" w:fill="0071CE"/>
          </w:tcPr>
          <w:p>
            <w:pPr>
              <w:spacing w:after="0"/>
              <w:rPr>
                <w:sz w:val="12"/>
                <w:szCs w:val="12"/>
                <w:color w:val="auto"/>
              </w:rPr>
            </w:pPr>
          </w:p>
        </w:tc>
        <w:tc>
          <w:tcPr>
            <w:tcW w:w="8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110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08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86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940" w:type="dxa"/>
            <w:vAlign w:val="bottom"/>
            <w:shd w:val="clear" w:color="auto" w:fill="0071CE"/>
          </w:tcPr>
          <w:p>
            <w:pPr>
              <w:spacing w:after="0"/>
              <w:rPr>
                <w:sz w:val="12"/>
                <w:szCs w:val="12"/>
                <w:color w:val="auto"/>
              </w:rPr>
            </w:pPr>
          </w:p>
        </w:tc>
        <w:tc>
          <w:tcPr>
            <w:tcW w:w="9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c>
          <w:tcPr>
            <w:tcW w:w="104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Number of</w:t>
            </w:r>
          </w:p>
        </w:tc>
        <w:tc>
          <w:tcPr>
            <w:tcW w:w="8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w w:val="96"/>
              </w:rPr>
              <w:t>Value</w:t>
            </w:r>
          </w:p>
        </w:tc>
        <w:tc>
          <w:tcPr>
            <w:tcW w:w="0" w:type="dxa"/>
            <w:vAlign w:val="bottom"/>
          </w:tcPr>
          <w:p>
            <w:pPr>
              <w:spacing w:after="0"/>
              <w:rPr>
                <w:sz w:val="1"/>
                <w:szCs w:val="1"/>
                <w:color w:val="auto"/>
              </w:rPr>
            </w:pPr>
          </w:p>
        </w:tc>
      </w:tr>
      <w:tr>
        <w:trPr>
          <w:trHeight w:val="135"/>
        </w:trPr>
        <w:tc>
          <w:tcPr>
            <w:tcW w:w="100" w:type="dxa"/>
            <w:vAlign w:val="bottom"/>
            <w:shd w:val="clear" w:color="auto" w:fill="0071CE"/>
          </w:tcPr>
          <w:p>
            <w:pPr>
              <w:spacing w:after="0"/>
              <w:rPr>
                <w:sz w:val="11"/>
                <w:szCs w:val="11"/>
                <w:color w:val="auto"/>
              </w:rPr>
            </w:pPr>
          </w:p>
        </w:tc>
        <w:tc>
          <w:tcPr>
            <w:tcW w:w="1100" w:type="dxa"/>
            <w:vAlign w:val="bottom"/>
            <w:shd w:val="clear" w:color="auto" w:fill="0071CE"/>
          </w:tcPr>
          <w:p>
            <w:pPr>
              <w:spacing w:after="0"/>
              <w:rPr>
                <w:sz w:val="11"/>
                <w:szCs w:val="11"/>
                <w:color w:val="auto"/>
              </w:rPr>
            </w:pPr>
          </w:p>
        </w:tc>
        <w:tc>
          <w:tcPr>
            <w:tcW w:w="1340" w:type="dxa"/>
            <w:vAlign w:val="bottom"/>
            <w:shd w:val="clear" w:color="auto" w:fill="0071CE"/>
          </w:tcPr>
          <w:p>
            <w:pPr>
              <w:spacing w:after="0"/>
              <w:rPr>
                <w:sz w:val="11"/>
                <w:szCs w:val="11"/>
                <w:color w:val="auto"/>
              </w:rPr>
            </w:pPr>
          </w:p>
        </w:tc>
        <w:tc>
          <w:tcPr>
            <w:tcW w:w="820" w:type="dxa"/>
            <w:vAlign w:val="bottom"/>
            <w:shd w:val="clear" w:color="auto" w:fill="0071CE"/>
          </w:tcPr>
          <w:p>
            <w:pPr>
              <w:spacing w:after="0"/>
              <w:rPr>
                <w:sz w:val="11"/>
                <w:szCs w:val="11"/>
                <w:color w:val="auto"/>
              </w:rPr>
            </w:pPr>
          </w:p>
        </w:tc>
        <w:tc>
          <w:tcPr>
            <w:tcW w:w="1120" w:type="dxa"/>
            <w:vAlign w:val="bottom"/>
            <w:shd w:val="clear" w:color="auto" w:fill="0071CE"/>
          </w:tcPr>
          <w:p>
            <w:pPr>
              <w:spacing w:after="0"/>
              <w:rPr>
                <w:sz w:val="11"/>
                <w:szCs w:val="11"/>
                <w:color w:val="auto"/>
              </w:rPr>
            </w:pPr>
          </w:p>
        </w:tc>
        <w:tc>
          <w:tcPr>
            <w:tcW w:w="1080" w:type="dxa"/>
            <w:vAlign w:val="bottom"/>
            <w:shd w:val="clear" w:color="auto" w:fill="0071CE"/>
          </w:tcPr>
          <w:p>
            <w:pPr>
              <w:spacing w:after="0"/>
              <w:rPr>
                <w:sz w:val="11"/>
                <w:szCs w:val="11"/>
                <w:color w:val="auto"/>
              </w:rPr>
            </w:pPr>
          </w:p>
        </w:tc>
        <w:tc>
          <w:tcPr>
            <w:tcW w:w="100" w:type="dxa"/>
            <w:vAlign w:val="bottom"/>
            <w:shd w:val="clear" w:color="auto" w:fill="0071CE"/>
          </w:tcPr>
          <w:p>
            <w:pPr>
              <w:spacing w:after="0"/>
              <w:rPr>
                <w:sz w:val="11"/>
                <w:szCs w:val="11"/>
                <w:color w:val="auto"/>
              </w:rPr>
            </w:pPr>
          </w:p>
        </w:tc>
        <w:tc>
          <w:tcPr>
            <w:tcW w:w="860" w:type="dxa"/>
            <w:vAlign w:val="bottom"/>
            <w:shd w:val="clear" w:color="auto" w:fill="0071CE"/>
          </w:tcPr>
          <w:p>
            <w:pPr>
              <w:spacing w:after="0"/>
              <w:rPr>
                <w:sz w:val="11"/>
                <w:szCs w:val="11"/>
                <w:color w:val="auto"/>
              </w:rPr>
            </w:pPr>
          </w:p>
        </w:tc>
        <w:tc>
          <w:tcPr>
            <w:tcW w:w="960" w:type="dxa"/>
            <w:vAlign w:val="bottom"/>
            <w:shd w:val="clear" w:color="auto" w:fill="0071CE"/>
          </w:tcPr>
          <w:p>
            <w:pPr>
              <w:spacing w:after="0"/>
              <w:rPr>
                <w:sz w:val="11"/>
                <w:szCs w:val="11"/>
                <w:color w:val="auto"/>
              </w:rPr>
            </w:pPr>
          </w:p>
        </w:tc>
        <w:tc>
          <w:tcPr>
            <w:tcW w:w="940" w:type="dxa"/>
            <w:vAlign w:val="bottom"/>
            <w:shd w:val="clear" w:color="auto" w:fill="0071CE"/>
          </w:tcPr>
          <w:p>
            <w:pPr>
              <w:spacing w:after="0"/>
              <w:rPr>
                <w:sz w:val="11"/>
                <w:szCs w:val="11"/>
                <w:color w:val="auto"/>
              </w:rPr>
            </w:pPr>
          </w:p>
        </w:tc>
        <w:tc>
          <w:tcPr>
            <w:tcW w:w="900" w:type="dxa"/>
            <w:vAlign w:val="bottom"/>
            <w:vMerge w:val="continue"/>
            <w:shd w:val="clear" w:color="auto" w:fill="0071CE"/>
          </w:tcPr>
          <w:p>
            <w:pPr>
              <w:spacing w:after="0"/>
              <w:rPr>
                <w:sz w:val="11"/>
                <w:szCs w:val="11"/>
                <w:color w:val="auto"/>
              </w:rPr>
            </w:pPr>
          </w:p>
        </w:tc>
        <w:tc>
          <w:tcPr>
            <w:tcW w:w="1040" w:type="dxa"/>
            <w:vAlign w:val="bottom"/>
            <w:shd w:val="clear" w:color="auto" w:fill="0071CE"/>
          </w:tcPr>
          <w:p>
            <w:pPr>
              <w:jc w:val="center"/>
              <w:spacing w:after="0" w:line="135" w:lineRule="exact"/>
              <w:rPr>
                <w:sz w:val="20"/>
                <w:szCs w:val="20"/>
                <w:color w:val="auto"/>
              </w:rPr>
            </w:pPr>
            <w:r>
              <w:rPr>
                <w:rFonts w:ascii="Arial" w:cs="Arial" w:eastAsia="Arial" w:hAnsi="Arial"/>
                <w:sz w:val="15"/>
                <w:szCs w:val="15"/>
                <w:b w:val="1"/>
                <w:bCs w:val="1"/>
                <w:color w:val="FFFFFF"/>
              </w:rPr>
              <w:t>Unearned</w:t>
            </w:r>
          </w:p>
        </w:tc>
        <w:tc>
          <w:tcPr>
            <w:tcW w:w="88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w w:val="90"/>
              </w:rPr>
              <w:t>of</w:t>
            </w: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110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08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86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9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9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Value of</w:t>
            </w:r>
          </w:p>
        </w:tc>
        <w:tc>
          <w:tcPr>
            <w:tcW w:w="104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Shares or</w:t>
            </w:r>
          </w:p>
        </w:tc>
        <w:tc>
          <w:tcPr>
            <w:tcW w:w="8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34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112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86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940" w:type="dxa"/>
            <w:vAlign w:val="bottom"/>
            <w:vMerge w:val="continue"/>
            <w:shd w:val="clear" w:color="auto" w:fill="0071CE"/>
          </w:tcPr>
          <w:p>
            <w:pPr>
              <w:spacing w:after="0"/>
              <w:rPr>
                <w:sz w:val="14"/>
                <w:szCs w:val="14"/>
                <w:color w:val="auto"/>
              </w:rPr>
            </w:pP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0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Units of</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34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11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0" w:type="dxa"/>
            <w:vAlign w:val="bottom"/>
            <w:shd w:val="clear" w:color="auto" w:fill="0071CE"/>
          </w:tcPr>
          <w:p>
            <w:pPr>
              <w:spacing w:after="0"/>
              <w:rPr>
                <w:sz w:val="14"/>
                <w:szCs w:val="14"/>
                <w:color w:val="auto"/>
              </w:rPr>
            </w:pPr>
          </w:p>
        </w:tc>
        <w:tc>
          <w:tcPr>
            <w:tcW w:w="86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10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Stock</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0" w:type="dxa"/>
            <w:vAlign w:val="bottom"/>
          </w:tcPr>
          <w:p>
            <w:pPr>
              <w:spacing w:after="0"/>
              <w:rPr>
                <w:sz w:val="1"/>
                <w:szCs w:val="1"/>
                <w:color w:val="auto"/>
              </w:rPr>
            </w:pPr>
          </w:p>
        </w:tc>
      </w:tr>
      <w:tr>
        <w:trPr>
          <w:trHeight w:val="122"/>
        </w:trPr>
        <w:tc>
          <w:tcPr>
            <w:tcW w:w="100" w:type="dxa"/>
            <w:vAlign w:val="bottom"/>
            <w:shd w:val="clear" w:color="auto" w:fill="0071CE"/>
          </w:tcPr>
          <w:p>
            <w:pPr>
              <w:spacing w:after="0"/>
              <w:rPr>
                <w:sz w:val="10"/>
                <w:szCs w:val="10"/>
                <w:color w:val="auto"/>
              </w:rPr>
            </w:pPr>
          </w:p>
        </w:tc>
        <w:tc>
          <w:tcPr>
            <w:tcW w:w="1100" w:type="dxa"/>
            <w:vAlign w:val="bottom"/>
            <w:shd w:val="clear" w:color="auto" w:fill="0071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820" w:type="dxa"/>
            <w:vAlign w:val="bottom"/>
            <w:shd w:val="clear" w:color="auto" w:fill="0071CE"/>
          </w:tcPr>
          <w:p>
            <w:pPr>
              <w:spacing w:after="0"/>
              <w:rPr>
                <w:sz w:val="10"/>
                <w:szCs w:val="10"/>
                <w:color w:val="auto"/>
              </w:rPr>
            </w:pPr>
          </w:p>
        </w:tc>
        <w:tc>
          <w:tcPr>
            <w:tcW w:w="112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Securities</w:t>
            </w:r>
          </w:p>
        </w:tc>
        <w:tc>
          <w:tcPr>
            <w:tcW w:w="1080" w:type="dxa"/>
            <w:vAlign w:val="bottom"/>
            <w:vMerge w:val="continue"/>
            <w:shd w:val="clear" w:color="auto" w:fill="0071CE"/>
          </w:tcPr>
          <w:p>
            <w:pPr>
              <w:spacing w:after="0"/>
              <w:rPr>
                <w:sz w:val="10"/>
                <w:szCs w:val="10"/>
                <w:color w:val="auto"/>
              </w:rPr>
            </w:pPr>
          </w:p>
        </w:tc>
        <w:tc>
          <w:tcPr>
            <w:tcW w:w="100" w:type="dxa"/>
            <w:vAlign w:val="bottom"/>
            <w:shd w:val="clear" w:color="auto" w:fill="0071CE"/>
          </w:tcPr>
          <w:p>
            <w:pPr>
              <w:spacing w:after="0"/>
              <w:rPr>
                <w:sz w:val="10"/>
                <w:szCs w:val="10"/>
                <w:color w:val="auto"/>
              </w:rPr>
            </w:pPr>
          </w:p>
        </w:tc>
        <w:tc>
          <w:tcPr>
            <w:tcW w:w="860" w:type="dxa"/>
            <w:vAlign w:val="bottom"/>
            <w:shd w:val="clear" w:color="auto" w:fill="0071CE"/>
          </w:tcPr>
          <w:p>
            <w:pPr>
              <w:spacing w:after="0"/>
              <w:rPr>
                <w:sz w:val="10"/>
                <w:szCs w:val="10"/>
                <w:color w:val="auto"/>
              </w:rPr>
            </w:pPr>
          </w:p>
        </w:tc>
        <w:tc>
          <w:tcPr>
            <w:tcW w:w="960" w:type="dxa"/>
            <w:vAlign w:val="bottom"/>
            <w:shd w:val="clear" w:color="auto" w:fill="0071CE"/>
          </w:tcPr>
          <w:p>
            <w:pPr>
              <w:spacing w:after="0"/>
              <w:rPr>
                <w:sz w:val="10"/>
                <w:szCs w:val="10"/>
                <w:color w:val="auto"/>
              </w:rPr>
            </w:pPr>
          </w:p>
        </w:tc>
        <w:tc>
          <w:tcPr>
            <w:tcW w:w="94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w w:val="99"/>
              </w:rPr>
              <w:t>Units of</w:t>
            </w:r>
          </w:p>
        </w:tc>
        <w:tc>
          <w:tcPr>
            <w:tcW w:w="90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Stock</w:t>
            </w:r>
          </w:p>
        </w:tc>
        <w:tc>
          <w:tcPr>
            <w:tcW w:w="104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That</w:t>
            </w:r>
          </w:p>
        </w:tc>
        <w:tc>
          <w:tcPr>
            <w:tcW w:w="88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Stock</w:t>
            </w: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110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1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Underlying</w:t>
            </w:r>
          </w:p>
        </w:tc>
        <w:tc>
          <w:tcPr>
            <w:tcW w:w="10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Securities</w:t>
            </w:r>
          </w:p>
        </w:tc>
        <w:tc>
          <w:tcPr>
            <w:tcW w:w="100" w:type="dxa"/>
            <w:vAlign w:val="bottom"/>
            <w:shd w:val="clear" w:color="auto" w:fill="0071CE"/>
          </w:tcPr>
          <w:p>
            <w:pPr>
              <w:spacing w:after="0"/>
              <w:rPr>
                <w:sz w:val="12"/>
                <w:szCs w:val="12"/>
                <w:color w:val="auto"/>
              </w:rPr>
            </w:pPr>
          </w:p>
        </w:tc>
        <w:tc>
          <w:tcPr>
            <w:tcW w:w="86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9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104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w w:val="99"/>
              </w:rPr>
              <w:t>Have</w:t>
            </w:r>
          </w:p>
        </w:tc>
        <w:tc>
          <w:tcPr>
            <w:tcW w:w="8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110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1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Unexercised</w:t>
            </w:r>
          </w:p>
        </w:tc>
        <w:tc>
          <w:tcPr>
            <w:tcW w:w="10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Underlying</w:t>
            </w:r>
          </w:p>
        </w:tc>
        <w:tc>
          <w:tcPr>
            <w:tcW w:w="100" w:type="dxa"/>
            <w:vAlign w:val="bottom"/>
            <w:shd w:val="clear" w:color="auto" w:fill="0071CE"/>
          </w:tcPr>
          <w:p>
            <w:pPr>
              <w:spacing w:after="0"/>
              <w:rPr>
                <w:sz w:val="12"/>
                <w:szCs w:val="12"/>
                <w:color w:val="auto"/>
              </w:rPr>
            </w:pPr>
          </w:p>
        </w:tc>
        <w:tc>
          <w:tcPr>
            <w:tcW w:w="8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9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9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9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Have</w:t>
            </w:r>
          </w:p>
        </w:tc>
        <w:tc>
          <w:tcPr>
            <w:tcW w:w="104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w w:val="97"/>
              </w:rPr>
              <w:t>Not</w:t>
            </w:r>
          </w:p>
        </w:tc>
        <w:tc>
          <w:tcPr>
            <w:tcW w:w="8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Have</w:t>
            </w:r>
          </w:p>
        </w:tc>
        <w:tc>
          <w:tcPr>
            <w:tcW w:w="0" w:type="dxa"/>
            <w:vAlign w:val="bottom"/>
          </w:tcPr>
          <w:p>
            <w:pPr>
              <w:spacing w:after="0"/>
              <w:rPr>
                <w:sz w:val="1"/>
                <w:szCs w:val="1"/>
                <w:color w:val="auto"/>
              </w:rPr>
            </w:pPr>
          </w:p>
        </w:tc>
      </w:tr>
      <w:tr>
        <w:trPr>
          <w:trHeight w:val="135"/>
        </w:trPr>
        <w:tc>
          <w:tcPr>
            <w:tcW w:w="100" w:type="dxa"/>
            <w:vAlign w:val="bottom"/>
            <w:shd w:val="clear" w:color="auto" w:fill="0071CE"/>
          </w:tcPr>
          <w:p>
            <w:pPr>
              <w:spacing w:after="0"/>
              <w:rPr>
                <w:sz w:val="11"/>
                <w:szCs w:val="11"/>
                <w:color w:val="auto"/>
              </w:rPr>
            </w:pPr>
          </w:p>
        </w:tc>
        <w:tc>
          <w:tcPr>
            <w:tcW w:w="1100" w:type="dxa"/>
            <w:vAlign w:val="bottom"/>
            <w:shd w:val="clear" w:color="auto" w:fill="0071CE"/>
          </w:tcPr>
          <w:p>
            <w:pPr>
              <w:spacing w:after="0"/>
              <w:rPr>
                <w:sz w:val="11"/>
                <w:szCs w:val="11"/>
                <w:color w:val="auto"/>
              </w:rPr>
            </w:pPr>
          </w:p>
        </w:tc>
        <w:tc>
          <w:tcPr>
            <w:tcW w:w="1340" w:type="dxa"/>
            <w:vAlign w:val="bottom"/>
            <w:shd w:val="clear" w:color="auto" w:fill="0071CE"/>
          </w:tcPr>
          <w:p>
            <w:pPr>
              <w:spacing w:after="0"/>
              <w:rPr>
                <w:sz w:val="11"/>
                <w:szCs w:val="11"/>
                <w:color w:val="auto"/>
              </w:rPr>
            </w:pPr>
          </w:p>
        </w:tc>
        <w:tc>
          <w:tcPr>
            <w:tcW w:w="820" w:type="dxa"/>
            <w:vAlign w:val="bottom"/>
            <w:vMerge w:val="restart"/>
            <w:shd w:val="clear" w:color="auto" w:fill="0071CE"/>
          </w:tcPr>
          <w:p>
            <w:pPr>
              <w:jc w:val="right"/>
              <w:ind w:right="148"/>
              <w:spacing w:after="0"/>
              <w:rPr>
                <w:sz w:val="20"/>
                <w:szCs w:val="20"/>
                <w:color w:val="auto"/>
              </w:rPr>
            </w:pPr>
            <w:r>
              <w:rPr>
                <w:rFonts w:ascii="Arial" w:cs="Arial" w:eastAsia="Arial" w:hAnsi="Arial"/>
                <w:sz w:val="14"/>
                <w:szCs w:val="14"/>
                <w:b w:val="1"/>
                <w:bCs w:val="1"/>
                <w:color w:val="FFFFFF"/>
              </w:rPr>
              <w:t>Grant</w:t>
            </w:r>
          </w:p>
        </w:tc>
        <w:tc>
          <w:tcPr>
            <w:tcW w:w="112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Options (#</w:t>
            </w:r>
          </w:p>
        </w:tc>
        <w:tc>
          <w:tcPr>
            <w:tcW w:w="108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Unexercised</w:t>
            </w:r>
          </w:p>
        </w:tc>
        <w:tc>
          <w:tcPr>
            <w:tcW w:w="100" w:type="dxa"/>
            <w:vAlign w:val="bottom"/>
            <w:shd w:val="clear" w:color="auto" w:fill="0071CE"/>
          </w:tcPr>
          <w:p>
            <w:pPr>
              <w:spacing w:after="0"/>
              <w:rPr>
                <w:sz w:val="11"/>
                <w:szCs w:val="11"/>
                <w:color w:val="auto"/>
              </w:rPr>
            </w:pPr>
          </w:p>
        </w:tc>
        <w:tc>
          <w:tcPr>
            <w:tcW w:w="860" w:type="dxa"/>
            <w:vAlign w:val="bottom"/>
            <w:vMerge w:val="continue"/>
            <w:shd w:val="clear" w:color="auto" w:fill="0071CE"/>
          </w:tcPr>
          <w:p>
            <w:pPr>
              <w:spacing w:after="0"/>
              <w:rPr>
                <w:sz w:val="11"/>
                <w:szCs w:val="11"/>
                <w:color w:val="auto"/>
              </w:rPr>
            </w:pPr>
          </w:p>
        </w:tc>
        <w:tc>
          <w:tcPr>
            <w:tcW w:w="960" w:type="dxa"/>
            <w:vAlign w:val="bottom"/>
            <w:vMerge w:val="continue"/>
            <w:shd w:val="clear" w:color="auto" w:fill="0071CE"/>
          </w:tcPr>
          <w:p>
            <w:pPr>
              <w:spacing w:after="0"/>
              <w:rPr>
                <w:sz w:val="11"/>
                <w:szCs w:val="11"/>
                <w:color w:val="auto"/>
              </w:rPr>
            </w:pPr>
          </w:p>
        </w:tc>
        <w:tc>
          <w:tcPr>
            <w:tcW w:w="94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Have Not</w:t>
            </w:r>
          </w:p>
        </w:tc>
        <w:tc>
          <w:tcPr>
            <w:tcW w:w="90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Not</w:t>
            </w:r>
          </w:p>
        </w:tc>
        <w:tc>
          <w:tcPr>
            <w:tcW w:w="1040" w:type="dxa"/>
            <w:vAlign w:val="bottom"/>
            <w:vMerge w:val="continue"/>
            <w:shd w:val="clear" w:color="auto" w:fill="0071CE"/>
          </w:tcPr>
          <w:p>
            <w:pPr>
              <w:spacing w:after="0"/>
              <w:rPr>
                <w:sz w:val="11"/>
                <w:szCs w:val="11"/>
                <w:color w:val="auto"/>
              </w:rPr>
            </w:pPr>
          </w:p>
        </w:tc>
        <w:tc>
          <w:tcPr>
            <w:tcW w:w="88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Not</w:t>
            </w:r>
          </w:p>
        </w:tc>
        <w:tc>
          <w:tcPr>
            <w:tcW w:w="0" w:type="dxa"/>
            <w:vAlign w:val="bottom"/>
          </w:tcPr>
          <w:p>
            <w:pPr>
              <w:spacing w:after="0"/>
              <w:rPr>
                <w:sz w:val="1"/>
                <w:szCs w:val="1"/>
                <w:color w:val="auto"/>
              </w:rPr>
            </w:pPr>
          </w:p>
        </w:tc>
      </w:tr>
      <w:tr>
        <w:trPr>
          <w:trHeight w:val="149"/>
        </w:trPr>
        <w:tc>
          <w:tcPr>
            <w:tcW w:w="100" w:type="dxa"/>
            <w:vAlign w:val="bottom"/>
            <w:shd w:val="clear" w:color="auto" w:fill="0071CE"/>
          </w:tcPr>
          <w:p>
            <w:pPr>
              <w:spacing w:after="0"/>
              <w:rPr>
                <w:sz w:val="12"/>
                <w:szCs w:val="12"/>
                <w:color w:val="auto"/>
              </w:rPr>
            </w:pPr>
          </w:p>
        </w:tc>
        <w:tc>
          <w:tcPr>
            <w:tcW w:w="2440" w:type="dxa"/>
            <w:vAlign w:val="bottom"/>
            <w:gridSpan w:val="2"/>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820" w:type="dxa"/>
            <w:vAlign w:val="bottom"/>
            <w:vMerge w:val="continue"/>
            <w:shd w:val="clear" w:color="auto" w:fill="0071CE"/>
          </w:tcPr>
          <w:p>
            <w:pPr>
              <w:spacing w:after="0"/>
              <w:rPr>
                <w:sz w:val="12"/>
                <w:szCs w:val="12"/>
                <w:color w:val="auto"/>
              </w:rPr>
            </w:pPr>
          </w:p>
        </w:tc>
        <w:tc>
          <w:tcPr>
            <w:tcW w:w="11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Exercisable)</w:t>
            </w:r>
          </w:p>
        </w:tc>
        <w:tc>
          <w:tcPr>
            <w:tcW w:w="10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Options (#</w:t>
            </w:r>
          </w:p>
        </w:tc>
        <w:tc>
          <w:tcPr>
            <w:tcW w:w="100" w:type="dxa"/>
            <w:vAlign w:val="bottom"/>
            <w:shd w:val="clear" w:color="auto" w:fill="0071CE"/>
          </w:tcPr>
          <w:p>
            <w:pPr>
              <w:spacing w:after="0"/>
              <w:rPr>
                <w:sz w:val="12"/>
                <w:szCs w:val="12"/>
                <w:color w:val="auto"/>
              </w:rPr>
            </w:pPr>
          </w:p>
        </w:tc>
        <w:tc>
          <w:tcPr>
            <w:tcW w:w="8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Expiration</w:t>
            </w:r>
          </w:p>
        </w:tc>
        <w:tc>
          <w:tcPr>
            <w:tcW w:w="9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9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04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Vested</w:t>
            </w:r>
          </w:p>
        </w:tc>
        <w:tc>
          <w:tcPr>
            <w:tcW w:w="8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89"/>
        </w:trPr>
        <w:tc>
          <w:tcPr>
            <w:tcW w:w="100" w:type="dxa"/>
            <w:vAlign w:val="bottom"/>
            <w:shd w:val="clear" w:color="auto" w:fill="0071CE"/>
          </w:tcPr>
          <w:p>
            <w:pPr>
              <w:spacing w:after="0"/>
              <w:rPr>
                <w:sz w:val="16"/>
                <w:szCs w:val="16"/>
                <w:color w:val="auto"/>
              </w:rPr>
            </w:pPr>
          </w:p>
        </w:tc>
        <w:tc>
          <w:tcPr>
            <w:tcW w:w="2440" w:type="dxa"/>
            <w:vAlign w:val="bottom"/>
            <w:gridSpan w:val="2"/>
            <w:vMerge w:val="continue"/>
            <w:shd w:val="clear" w:color="auto" w:fill="0071CE"/>
          </w:tcPr>
          <w:p>
            <w:pPr>
              <w:spacing w:after="0"/>
              <w:rPr>
                <w:sz w:val="16"/>
                <w:szCs w:val="16"/>
                <w:color w:val="auto"/>
              </w:rPr>
            </w:pPr>
          </w:p>
        </w:tc>
        <w:tc>
          <w:tcPr>
            <w:tcW w:w="820" w:type="dxa"/>
            <w:vAlign w:val="bottom"/>
            <w:shd w:val="clear" w:color="auto" w:fill="0071CE"/>
          </w:tcPr>
          <w:p>
            <w:pPr>
              <w:jc w:val="right"/>
              <w:ind w:right="168"/>
              <w:spacing w:after="0"/>
              <w:rPr>
                <w:sz w:val="20"/>
                <w:szCs w:val="20"/>
                <w:color w:val="auto"/>
              </w:rPr>
            </w:pPr>
            <w:r>
              <w:rPr>
                <w:rFonts w:ascii="Arial" w:cs="Arial" w:eastAsia="Arial" w:hAnsi="Arial"/>
                <w:sz w:val="14"/>
                <w:szCs w:val="14"/>
                <w:b w:val="1"/>
                <w:bCs w:val="1"/>
                <w:color w:val="FFFFFF"/>
              </w:rPr>
              <w:t>Date</w:t>
            </w:r>
          </w:p>
        </w:tc>
        <w:tc>
          <w:tcPr>
            <w:tcW w:w="11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(1)</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Unexercisable)</w:t>
            </w:r>
          </w:p>
        </w:tc>
        <w:tc>
          <w:tcPr>
            <w:tcW w:w="100" w:type="dxa"/>
            <w:vAlign w:val="bottom"/>
            <w:shd w:val="clear" w:color="auto" w:fill="0071CE"/>
          </w:tcPr>
          <w:p>
            <w:pPr>
              <w:spacing w:after="0"/>
              <w:rPr>
                <w:sz w:val="16"/>
                <w:szCs w:val="16"/>
                <w:color w:val="auto"/>
              </w:rPr>
            </w:pP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Price ($)</w:t>
            </w:r>
          </w:p>
        </w:tc>
        <w:tc>
          <w:tcPr>
            <w:tcW w:w="9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Date</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 (3)</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 (4)</w:t>
            </w:r>
          </w:p>
        </w:tc>
        <w:tc>
          <w:tcPr>
            <w:tcW w:w="104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 (2)</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 (4)</w:t>
            </w:r>
          </w:p>
        </w:tc>
        <w:tc>
          <w:tcPr>
            <w:tcW w:w="0" w:type="dxa"/>
            <w:vAlign w:val="bottom"/>
          </w:tcPr>
          <w:p>
            <w:pPr>
              <w:spacing w:after="0"/>
              <w:rPr>
                <w:sz w:val="1"/>
                <w:szCs w:val="1"/>
                <w:color w:val="auto"/>
              </w:rPr>
            </w:pPr>
          </w:p>
        </w:tc>
      </w:tr>
      <w:tr>
        <w:trPr>
          <w:trHeight w:val="176"/>
        </w:trPr>
        <w:tc>
          <w:tcPr>
            <w:tcW w:w="100" w:type="dxa"/>
            <w:vAlign w:val="bottom"/>
            <w:shd w:val="clear" w:color="auto" w:fill="E5E5E5"/>
          </w:tcPr>
          <w:p>
            <w:pPr>
              <w:spacing w:after="0"/>
              <w:rPr>
                <w:sz w:val="15"/>
                <w:szCs w:val="15"/>
                <w:color w:val="auto"/>
              </w:rPr>
            </w:pPr>
          </w:p>
        </w:tc>
        <w:tc>
          <w:tcPr>
            <w:tcW w:w="244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Christopher Anzalone</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5/6/2013</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104,928</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2.01</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5/6/2023</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0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34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9/21/2013</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57,755</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4.75</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9/21/2023</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2/6/2014</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57,499</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14.54</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2/6/2024</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3/6/2015</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300,000</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7.75</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3/6/2025</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1/1/2016</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51,726</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6.15</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1/1/2026</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1/1/2020</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900,000</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29,745,000</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1/1/2021</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800,000</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26,440,000</w:t>
            </w:r>
          </w:p>
        </w:tc>
        <w:tc>
          <w:tcPr>
            <w:tcW w:w="0" w:type="dxa"/>
            <w:vAlign w:val="bottom"/>
          </w:tcPr>
          <w:p>
            <w:pPr>
              <w:spacing w:after="0"/>
              <w:rPr>
                <w:sz w:val="1"/>
                <w:szCs w:val="1"/>
                <w:color w:val="auto"/>
              </w:rPr>
            </w:pPr>
          </w:p>
        </w:tc>
      </w:tr>
      <w:tr>
        <w:trPr>
          <w:trHeight w:val="211"/>
        </w:trPr>
        <w:tc>
          <w:tcPr>
            <w:tcW w:w="10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7/8/2022</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248,803</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8,222,939</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0071CE"/>
              </w:rPr>
              <w:t>Kenneth Myszkowski</w:t>
            </w:r>
          </w:p>
        </w:tc>
        <w:tc>
          <w:tcPr>
            <w:tcW w:w="820" w:type="dxa"/>
            <w:vAlign w:val="bottom"/>
          </w:tcPr>
          <w:p>
            <w:pPr>
              <w:jc w:val="right"/>
              <w:spacing w:after="0"/>
              <w:rPr>
                <w:sz w:val="20"/>
                <w:szCs w:val="20"/>
                <w:color w:val="auto"/>
              </w:rPr>
            </w:pPr>
            <w:r>
              <w:rPr>
                <w:rFonts w:ascii="Arial" w:cs="Arial" w:eastAsia="Arial" w:hAnsi="Arial"/>
                <w:sz w:val="14"/>
                <w:szCs w:val="14"/>
                <w:color w:val="auto"/>
              </w:rPr>
              <w:t>1/1/2019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21,250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702,313</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1/1/2020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42,500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1,404,625</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45,000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1,487,250</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1/1/2022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60,000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1,983,000</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Patrick O’Brien</w:t>
            </w:r>
          </w:p>
        </w:tc>
        <w:tc>
          <w:tcPr>
            <w:tcW w:w="134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1/1/2019</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5"/>
                <w:szCs w:val="15"/>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17,500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578,375</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0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34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1/1/2020</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35,000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1,156,750</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1/1/2021</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45,000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1,487,250</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1/1/2022</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60,000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1,983,000</w:t>
            </w:r>
          </w:p>
        </w:tc>
        <w:tc>
          <w:tcPr>
            <w:tcW w:w="1040" w:type="dxa"/>
            <w:vAlign w:val="bottom"/>
            <w:shd w:val="clear" w:color="auto" w:fill="E5E5E5"/>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00" w:type="dxa"/>
            <w:vAlign w:val="bottom"/>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James Hamilton</w:t>
            </w:r>
          </w:p>
        </w:tc>
        <w:tc>
          <w:tcPr>
            <w:tcW w:w="1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1/1/2019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15,000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495,750</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1/1/2020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22,500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743,625</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37,500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1,239,375</w:t>
            </w:r>
          </w:p>
        </w:tc>
        <w:tc>
          <w:tcPr>
            <w:tcW w:w="10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1/1/2022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55,000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1,817,750</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 w:type="dxa"/>
            <w:vAlign w:val="bottom"/>
            <w:tcBorders>
              <w:bottom w:val="single" w:sz="8" w:color="0071CE"/>
            </w:tcBorders>
            <w:shd w:val="clear" w:color="auto" w:fill="DBDBDB"/>
          </w:tcPr>
          <w:p>
            <w:pPr>
              <w:spacing w:after="0"/>
              <w:rPr>
                <w:sz w:val="17"/>
                <w:szCs w:val="17"/>
                <w:color w:val="auto"/>
              </w:rPr>
            </w:pPr>
          </w:p>
        </w:tc>
        <w:tc>
          <w:tcPr>
            <w:tcW w:w="2440" w:type="dxa"/>
            <w:vAlign w:val="bottom"/>
            <w:tcBorders>
              <w:bottom w:val="single" w:sz="8" w:color="0071CE"/>
            </w:tcBorders>
            <w:gridSpan w:val="2"/>
            <w:shd w:val="clear" w:color="auto" w:fill="DBDBDB"/>
          </w:tcPr>
          <w:p>
            <w:pPr>
              <w:spacing w:after="0"/>
              <w:rPr>
                <w:sz w:val="20"/>
                <w:szCs w:val="20"/>
                <w:color w:val="auto"/>
              </w:rPr>
            </w:pPr>
            <w:r>
              <w:rPr>
                <w:rFonts w:ascii="Arial" w:cs="Arial" w:eastAsia="Arial" w:hAnsi="Arial"/>
                <w:sz w:val="14"/>
                <w:szCs w:val="14"/>
                <w:b w:val="1"/>
                <w:bCs w:val="1"/>
                <w:color w:val="0071CE"/>
              </w:rPr>
              <w:t>Tracie Oliver</w:t>
            </w:r>
          </w:p>
        </w:tc>
        <w:tc>
          <w:tcPr>
            <w:tcW w:w="820" w:type="dxa"/>
            <w:vAlign w:val="bottom"/>
            <w:tcBorders>
              <w:bottom w:val="single" w:sz="8" w:color="0071CE"/>
            </w:tcBorders>
            <w:shd w:val="clear" w:color="auto" w:fill="DBDBDB"/>
          </w:tcPr>
          <w:p>
            <w:pPr>
              <w:jc w:val="right"/>
              <w:spacing w:after="0"/>
              <w:rPr>
                <w:sz w:val="20"/>
                <w:szCs w:val="20"/>
                <w:color w:val="auto"/>
              </w:rPr>
            </w:pPr>
            <w:r>
              <w:rPr>
                <w:rFonts w:ascii="Arial" w:cs="Arial" w:eastAsia="Arial" w:hAnsi="Arial"/>
                <w:sz w:val="14"/>
                <w:szCs w:val="14"/>
                <w:b w:val="1"/>
                <w:bCs w:val="1"/>
                <w:color w:val="0071CE"/>
              </w:rPr>
              <w:t>7/1/2022</w:t>
            </w:r>
          </w:p>
        </w:tc>
        <w:tc>
          <w:tcPr>
            <w:tcW w:w="1120" w:type="dxa"/>
            <w:vAlign w:val="bottom"/>
            <w:tcBorders>
              <w:bottom w:val="single" w:sz="8" w:color="0071CE"/>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71CE"/>
            </w:tcBorders>
            <w:shd w:val="clear" w:color="auto" w:fill="DBDBDB"/>
          </w:tcPr>
          <w:p>
            <w:pPr>
              <w:ind w:left="920"/>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0071CE"/>
            </w:tcBorders>
            <w:shd w:val="clear" w:color="auto" w:fill="DBDBDB"/>
          </w:tcPr>
          <w:p>
            <w:pPr>
              <w:spacing w:after="0"/>
              <w:rPr>
                <w:sz w:val="17"/>
                <w:szCs w:val="17"/>
                <w:color w:val="auto"/>
              </w:rPr>
            </w:pPr>
          </w:p>
        </w:tc>
        <w:tc>
          <w:tcPr>
            <w:tcW w:w="860" w:type="dxa"/>
            <w:vAlign w:val="bottom"/>
            <w:tcBorders>
              <w:bottom w:val="single" w:sz="8" w:color="0071CE"/>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1CE"/>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1CE"/>
            </w:tcBorders>
            <w:shd w:val="clear" w:color="auto" w:fill="DBDBDB"/>
          </w:tcPr>
          <w:p>
            <w:pPr>
              <w:jc w:val="right"/>
              <w:ind w:right="28"/>
              <w:spacing w:after="0"/>
              <w:rPr>
                <w:sz w:val="20"/>
                <w:szCs w:val="20"/>
                <w:color w:val="auto"/>
              </w:rPr>
            </w:pPr>
            <w:r>
              <w:rPr>
                <w:rFonts w:ascii="Arial" w:cs="Arial" w:eastAsia="Arial" w:hAnsi="Arial"/>
                <w:sz w:val="14"/>
                <w:szCs w:val="14"/>
                <w:color w:val="auto"/>
              </w:rPr>
              <w:t>70,000</w:t>
            </w:r>
          </w:p>
        </w:tc>
        <w:tc>
          <w:tcPr>
            <w:tcW w:w="900" w:type="dxa"/>
            <w:vAlign w:val="bottom"/>
            <w:tcBorders>
              <w:bottom w:val="single" w:sz="8" w:color="0071CE"/>
            </w:tcBorders>
            <w:shd w:val="clear" w:color="auto" w:fill="DBDBDB"/>
          </w:tcPr>
          <w:p>
            <w:pPr>
              <w:jc w:val="right"/>
              <w:ind w:right="28"/>
              <w:spacing w:after="0"/>
              <w:rPr>
                <w:sz w:val="20"/>
                <w:szCs w:val="20"/>
                <w:color w:val="auto"/>
              </w:rPr>
            </w:pPr>
            <w:r>
              <w:rPr>
                <w:rFonts w:ascii="Arial" w:cs="Arial" w:eastAsia="Arial" w:hAnsi="Arial"/>
                <w:sz w:val="14"/>
                <w:szCs w:val="14"/>
                <w:color w:val="auto"/>
              </w:rPr>
              <w:t>2,313,500</w:t>
            </w:r>
          </w:p>
        </w:tc>
        <w:tc>
          <w:tcPr>
            <w:tcW w:w="1040" w:type="dxa"/>
            <w:vAlign w:val="bottom"/>
            <w:tcBorders>
              <w:bottom w:val="single" w:sz="8" w:color="0071CE"/>
            </w:tcBorders>
            <w:shd w:val="clear" w:color="auto" w:fill="DBDBDB"/>
          </w:tcPr>
          <w:p>
            <w:pPr>
              <w:jc w:val="right"/>
              <w:ind w:right="25"/>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1CE"/>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-4225290</wp:posOffset>
            </wp:positionV>
            <wp:extent cx="4937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65" w:lineRule="exact"/>
        <w:rPr>
          <w:sz w:val="20"/>
          <w:szCs w:val="20"/>
          <w:color w:val="auto"/>
        </w:rPr>
      </w:pPr>
    </w:p>
    <w:p>
      <w:pPr>
        <w:ind w:left="420" w:right="500" w:hanging="412"/>
        <w:spacing w:after="0" w:line="272" w:lineRule="auto"/>
        <w:tabs>
          <w:tab w:leader="none" w:pos="407" w:val="left"/>
        </w:tabs>
        <w:numPr>
          <w:ilvl w:val="0"/>
          <w:numId w:val="55"/>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w:t>
      </w:r>
    </w:p>
    <w:p>
      <w:pPr>
        <w:jc w:val="both"/>
        <w:ind w:left="420" w:right="280" w:hanging="412"/>
        <w:spacing w:after="0" w:line="264" w:lineRule="auto"/>
        <w:tabs>
          <w:tab w:leader="none" w:pos="40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2020, January 2021, and July 2022 awards that contain performance-based vesting conditions. These awards and their vesting conditions are described above in the “Compensation Discussion and Analysis” under the heading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492125</wp:posOffset>
            </wp:positionV>
            <wp:extent cx="98615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48</w:t>
      </w:r>
    </w:p>
    <w:p>
      <w:pPr>
        <w:sectPr>
          <w:pgSz w:w="11900" w:h="16838" w:orient="portrait"/>
          <w:cols w:equalWidth="0" w:num="1">
            <w:col w:w="11240"/>
          </w:cols>
          <w:pgMar w:left="320" w:top="21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but generally vest in four equal annual installments beginning 1 year from the grant date.</w:t>
      </w:r>
    </w:p>
    <w:p>
      <w:pPr>
        <w:spacing w:after="0" w:line="28" w:lineRule="exact"/>
        <w:rPr>
          <w:rFonts w:ascii="Arial" w:cs="Arial" w:eastAsia="Arial" w:hAnsi="Arial"/>
          <w:sz w:val="14"/>
          <w:szCs w:val="14"/>
          <w:color w:val="auto"/>
        </w:rPr>
      </w:pPr>
    </w:p>
    <w:p>
      <w:pPr>
        <w:ind w:left="400" w:hanging="392"/>
        <w:spacing w:after="0"/>
        <w:tabs>
          <w:tab w:leader="none" w:pos="4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Value is based on our Company’s Common Stock closing price of $33.05 on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503555</wp:posOffset>
            </wp:positionV>
            <wp:extent cx="98615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49</w:t>
      </w:r>
    </w:p>
    <w:p>
      <w:pPr>
        <w:sectPr>
          <w:pgSz w:w="11900" w:h="16838" w:orient="portrait"/>
          <w:cols w:equalWidth="0" w:num="1">
            <w:col w:w="11240"/>
          </w:cols>
          <w:pgMar w:left="320" w:top="2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2022 Options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the NEOs, concerning options exercised or RSUs or PRSUs vested during fiscal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shd w:val="clear" w:color="auto" w:fill="0071CE"/>
          </w:tcPr>
          <w:p>
            <w:pPr>
              <w:spacing w:after="0"/>
              <w:rPr>
                <w:sz w:val="17"/>
                <w:szCs w:val="17"/>
                <w:color w:val="auto"/>
              </w:rPr>
            </w:pPr>
          </w:p>
        </w:tc>
        <w:tc>
          <w:tcPr>
            <w:tcW w:w="3060" w:type="dxa"/>
            <w:vAlign w:val="bottom"/>
            <w:gridSpan w:val="3"/>
            <w:shd w:val="clear" w:color="auto" w:fill="0071CE"/>
          </w:tcPr>
          <w:p>
            <w:pPr>
              <w:jc w:val="right"/>
              <w:ind w:right="942"/>
              <w:spacing w:after="0"/>
              <w:rPr>
                <w:sz w:val="20"/>
                <w:szCs w:val="20"/>
                <w:color w:val="auto"/>
              </w:rPr>
            </w:pPr>
            <w:r>
              <w:rPr>
                <w:rFonts w:ascii="Arial" w:cs="Arial" w:eastAsia="Arial" w:hAnsi="Arial"/>
                <w:sz w:val="14"/>
                <w:szCs w:val="14"/>
                <w:b w:val="1"/>
                <w:bCs w:val="1"/>
                <w:color w:val="FFFFFF"/>
              </w:rPr>
              <w:t>Option Awards</w:t>
            </w:r>
          </w:p>
        </w:tc>
        <w:tc>
          <w:tcPr>
            <w:tcW w:w="3140" w:type="dxa"/>
            <w:vAlign w:val="bottom"/>
            <w:gridSpan w:val="3"/>
            <w:shd w:val="clear" w:color="auto" w:fill="0071CE"/>
          </w:tcPr>
          <w:p>
            <w:pPr>
              <w:jc w:val="right"/>
              <w:ind w:right="961"/>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57"/>
        </w:trPr>
        <w:tc>
          <w:tcPr>
            <w:tcW w:w="5020" w:type="dxa"/>
            <w:vAlign w:val="bottom"/>
            <w:shd w:val="clear" w:color="auto" w:fill="0071CE"/>
          </w:tcPr>
          <w:p>
            <w:pPr>
              <w:spacing w:after="0"/>
              <w:rPr>
                <w:sz w:val="22"/>
                <w:szCs w:val="22"/>
                <w:color w:val="auto"/>
              </w:rPr>
            </w:pPr>
          </w:p>
        </w:tc>
        <w:tc>
          <w:tcPr>
            <w:tcW w:w="1580" w:type="dxa"/>
            <w:vAlign w:val="bottom"/>
            <w:shd w:val="clear" w:color="auto" w:fill="0071CE"/>
          </w:tcPr>
          <w:p>
            <w:pPr>
              <w:jc w:val="center"/>
              <w:ind w:right="3"/>
              <w:spacing w:after="0"/>
              <w:rPr>
                <w:sz w:val="20"/>
                <w:szCs w:val="20"/>
                <w:color w:val="auto"/>
              </w:rPr>
            </w:pPr>
            <w:r>
              <w:rPr>
                <w:rFonts w:ascii="Arial" w:cs="Arial" w:eastAsia="Arial" w:hAnsi="Arial"/>
                <w:sz w:val="14"/>
                <w:szCs w:val="14"/>
                <w:b w:val="1"/>
                <w:bCs w:val="1"/>
                <w:color w:val="FFFFFF"/>
              </w:rPr>
              <w:t>Number of Shares</w:t>
            </w:r>
          </w:p>
        </w:tc>
        <w:tc>
          <w:tcPr>
            <w:tcW w:w="120" w:type="dxa"/>
            <w:vAlign w:val="bottom"/>
            <w:shd w:val="clear" w:color="auto" w:fill="0071CE"/>
          </w:tcPr>
          <w:p>
            <w:pPr>
              <w:spacing w:after="0"/>
              <w:rPr>
                <w:sz w:val="22"/>
                <w:szCs w:val="22"/>
                <w:color w:val="auto"/>
              </w:rPr>
            </w:pPr>
          </w:p>
        </w:tc>
        <w:tc>
          <w:tcPr>
            <w:tcW w:w="1360" w:type="dxa"/>
            <w:vAlign w:val="bottom"/>
            <w:vMerge w:val="restart"/>
            <w:shd w:val="clear" w:color="auto" w:fill="0071CE"/>
          </w:tcPr>
          <w:p>
            <w:pPr>
              <w:jc w:val="center"/>
              <w:ind w:right="42"/>
              <w:spacing w:after="0"/>
              <w:rPr>
                <w:sz w:val="20"/>
                <w:szCs w:val="20"/>
                <w:color w:val="auto"/>
              </w:rPr>
            </w:pPr>
            <w:r>
              <w:rPr>
                <w:rFonts w:ascii="Arial" w:cs="Arial" w:eastAsia="Arial" w:hAnsi="Arial"/>
                <w:sz w:val="14"/>
                <w:szCs w:val="14"/>
                <w:b w:val="1"/>
                <w:bCs w:val="1"/>
                <w:color w:val="FFFFFF"/>
              </w:rPr>
              <w:t>Value Realized on</w:t>
            </w:r>
          </w:p>
        </w:tc>
        <w:tc>
          <w:tcPr>
            <w:tcW w:w="16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520" w:type="dxa"/>
            <w:vAlign w:val="bottom"/>
            <w:gridSpan w:val="2"/>
            <w:vMerge w:val="restart"/>
            <w:shd w:val="clear" w:color="auto" w:fill="0071CE"/>
          </w:tcPr>
          <w:p>
            <w:pPr>
              <w:jc w:val="right"/>
              <w:ind w:right="81"/>
              <w:spacing w:after="0"/>
              <w:rPr>
                <w:sz w:val="20"/>
                <w:szCs w:val="20"/>
                <w:color w:val="auto"/>
              </w:rPr>
            </w:pPr>
            <w:r>
              <w:rPr>
                <w:rFonts w:ascii="Arial" w:cs="Arial" w:eastAsia="Arial" w:hAnsi="Arial"/>
                <w:sz w:val="14"/>
                <w:szCs w:val="14"/>
                <w:b w:val="1"/>
                <w:bCs w:val="1"/>
                <w:color w:val="FFFFFF"/>
              </w:rPr>
              <w:t>Value Realized on</w:t>
            </w:r>
          </w:p>
        </w:tc>
        <w:tc>
          <w:tcPr>
            <w:tcW w:w="0" w:type="dxa"/>
            <w:vAlign w:val="bottom"/>
          </w:tcPr>
          <w:p>
            <w:pPr>
              <w:spacing w:after="0"/>
              <w:rPr>
                <w:sz w:val="1"/>
                <w:szCs w:val="1"/>
                <w:color w:val="auto"/>
              </w:rPr>
            </w:pPr>
          </w:p>
        </w:tc>
      </w:tr>
      <w:tr>
        <w:trPr>
          <w:trHeight w:val="148"/>
        </w:trPr>
        <w:tc>
          <w:tcPr>
            <w:tcW w:w="50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0071CE"/>
          </w:tcPr>
          <w:p>
            <w:pPr>
              <w:jc w:val="center"/>
              <w:ind w:right="3"/>
              <w:spacing w:after="0" w:line="149" w:lineRule="exact"/>
              <w:rPr>
                <w:sz w:val="20"/>
                <w:szCs w:val="20"/>
                <w:color w:val="auto"/>
              </w:rPr>
            </w:pPr>
            <w:r>
              <w:rPr>
                <w:rFonts w:ascii="Arial" w:cs="Arial" w:eastAsia="Arial" w:hAnsi="Arial"/>
                <w:sz w:val="14"/>
                <w:szCs w:val="14"/>
                <w:b w:val="1"/>
                <w:bCs w:val="1"/>
                <w:color w:val="FFFFFF"/>
              </w:rPr>
              <w:t>Acquired on</w:t>
            </w:r>
          </w:p>
        </w:tc>
        <w:tc>
          <w:tcPr>
            <w:tcW w:w="120" w:type="dxa"/>
            <w:vAlign w:val="bottom"/>
            <w:shd w:val="clear" w:color="auto" w:fill="0071CE"/>
          </w:tcPr>
          <w:p>
            <w:pPr>
              <w:spacing w:after="0"/>
              <w:rPr>
                <w:sz w:val="12"/>
                <w:szCs w:val="12"/>
                <w:color w:val="auto"/>
              </w:rPr>
            </w:pPr>
          </w:p>
        </w:tc>
        <w:tc>
          <w:tcPr>
            <w:tcW w:w="1360" w:type="dxa"/>
            <w:vAlign w:val="bottom"/>
            <w:vMerge w:val="continue"/>
            <w:shd w:val="clear" w:color="auto" w:fill="0071CE"/>
          </w:tcPr>
          <w:p>
            <w:pPr>
              <w:spacing w:after="0"/>
              <w:rPr>
                <w:sz w:val="12"/>
                <w:szCs w:val="12"/>
                <w:color w:val="auto"/>
              </w:rPr>
            </w:pPr>
          </w:p>
        </w:tc>
        <w:tc>
          <w:tcPr>
            <w:tcW w:w="16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Acquired on</w:t>
            </w:r>
          </w:p>
        </w:tc>
        <w:tc>
          <w:tcPr>
            <w:tcW w:w="1520" w:type="dxa"/>
            <w:vAlign w:val="bottom"/>
            <w:gridSpan w:val="2"/>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vMerge w:val="continue"/>
            <w:shd w:val="clear" w:color="auto" w:fill="0071CE"/>
          </w:tcPr>
          <w:p>
            <w:pPr>
              <w:spacing w:after="0"/>
              <w:rPr>
                <w:sz w:val="16"/>
                <w:szCs w:val="16"/>
                <w:color w:val="auto"/>
              </w:rPr>
            </w:pPr>
          </w:p>
        </w:tc>
        <w:tc>
          <w:tcPr>
            <w:tcW w:w="1580" w:type="dxa"/>
            <w:vAlign w:val="bottom"/>
            <w:shd w:val="clear" w:color="auto" w:fill="0071CE"/>
          </w:tcPr>
          <w:p>
            <w:pPr>
              <w:jc w:val="center"/>
              <w:ind w:right="3"/>
              <w:spacing w:after="0"/>
              <w:rPr>
                <w:sz w:val="20"/>
                <w:szCs w:val="20"/>
                <w:color w:val="auto"/>
              </w:rPr>
            </w:pPr>
            <w:r>
              <w:rPr>
                <w:rFonts w:ascii="Arial" w:cs="Arial" w:eastAsia="Arial" w:hAnsi="Arial"/>
                <w:sz w:val="14"/>
                <w:szCs w:val="14"/>
                <w:b w:val="1"/>
                <w:bCs w:val="1"/>
                <w:color w:val="FFFFFF"/>
              </w:rPr>
              <w:t>Exercise</w:t>
            </w:r>
          </w:p>
        </w:tc>
        <w:tc>
          <w:tcPr>
            <w:tcW w:w="120" w:type="dxa"/>
            <w:vAlign w:val="bottom"/>
            <w:shd w:val="clear" w:color="auto" w:fill="0071CE"/>
          </w:tcPr>
          <w:p>
            <w:pPr>
              <w:spacing w:after="0"/>
              <w:rPr>
                <w:sz w:val="16"/>
                <w:szCs w:val="16"/>
                <w:color w:val="auto"/>
              </w:rPr>
            </w:pPr>
          </w:p>
        </w:tc>
        <w:tc>
          <w:tcPr>
            <w:tcW w:w="1360" w:type="dxa"/>
            <w:vAlign w:val="bottom"/>
            <w:shd w:val="clear" w:color="auto" w:fill="0071CE"/>
          </w:tcPr>
          <w:p>
            <w:pPr>
              <w:jc w:val="center"/>
              <w:ind w:right="42"/>
              <w:spacing w:after="0"/>
              <w:rPr>
                <w:sz w:val="20"/>
                <w:szCs w:val="20"/>
                <w:color w:val="auto"/>
              </w:rPr>
            </w:pPr>
            <w:r>
              <w:rPr>
                <w:rFonts w:ascii="Arial" w:cs="Arial" w:eastAsia="Arial" w:hAnsi="Arial"/>
                <w:sz w:val="14"/>
                <w:szCs w:val="14"/>
                <w:b w:val="1"/>
                <w:bCs w:val="1"/>
                <w:color w:val="FFFFFF"/>
              </w:rPr>
              <w:t>Exercise (1)</w:t>
            </w:r>
          </w:p>
        </w:tc>
        <w:tc>
          <w:tcPr>
            <w:tcW w:w="16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Vesting</w:t>
            </w:r>
          </w:p>
        </w:tc>
        <w:tc>
          <w:tcPr>
            <w:tcW w:w="280" w:type="dxa"/>
            <w:vAlign w:val="bottom"/>
            <w:shd w:val="clear" w:color="auto" w:fill="0071CE"/>
          </w:tcPr>
          <w:p>
            <w:pPr>
              <w:spacing w:after="0"/>
              <w:rPr>
                <w:sz w:val="16"/>
                <w:szCs w:val="16"/>
                <w:color w:val="auto"/>
              </w:rPr>
            </w:pPr>
          </w:p>
        </w:tc>
        <w:tc>
          <w:tcPr>
            <w:tcW w:w="1240" w:type="dxa"/>
            <w:vAlign w:val="bottom"/>
            <w:shd w:val="clear" w:color="auto" w:fill="0071CE"/>
          </w:tcPr>
          <w:p>
            <w:pPr>
              <w:jc w:val="right"/>
              <w:ind w:right="281"/>
              <w:spacing w:after="0"/>
              <w:rPr>
                <w:sz w:val="20"/>
                <w:szCs w:val="20"/>
                <w:color w:val="auto"/>
              </w:rPr>
            </w:pPr>
            <w:r>
              <w:rPr>
                <w:rFonts w:ascii="Arial" w:cs="Arial" w:eastAsia="Arial" w:hAnsi="Arial"/>
                <w:sz w:val="14"/>
                <w:szCs w:val="14"/>
                <w:b w:val="1"/>
                <w:bCs w:val="1"/>
                <w:color w:val="FFFFFF"/>
              </w:rPr>
              <w:t>Vesting (2)</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Christopher Anzalone</w:t>
            </w:r>
          </w:p>
        </w:tc>
        <w:tc>
          <w:tcPr>
            <w:tcW w:w="158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228,125</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996,462.00</w:t>
            </w:r>
          </w:p>
        </w:tc>
        <w:tc>
          <w:tcPr>
            <w:tcW w:w="1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200,000</w:t>
            </w:r>
          </w:p>
        </w:tc>
        <w:tc>
          <w:tcPr>
            <w:tcW w:w="2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13,534,000.00</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Kenneth Myszkowski</w:t>
            </w: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6"/>
                <w:szCs w:val="16"/>
                <w:color w:val="auto"/>
                <w:w w:val="9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76,250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4,959,300.00</w:t>
            </w:r>
          </w:p>
        </w:tc>
        <w:tc>
          <w:tcPr>
            <w:tcW w:w="0" w:type="dxa"/>
            <w:vAlign w:val="bottom"/>
          </w:tcPr>
          <w:p>
            <w:pPr>
              <w:spacing w:after="0"/>
              <w:rPr>
                <w:sz w:val="1"/>
                <w:szCs w:val="1"/>
                <w:color w:val="auto"/>
              </w:rPr>
            </w:pPr>
          </w:p>
        </w:tc>
      </w:tr>
      <w:tr>
        <w:trPr>
          <w:trHeight w:val="217"/>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Patrick O’Brien</w:t>
            </w:r>
          </w:p>
        </w:tc>
        <w:tc>
          <w:tcPr>
            <w:tcW w:w="158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28,000</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172,200.00</w:t>
            </w:r>
          </w:p>
        </w:tc>
        <w:tc>
          <w:tcPr>
            <w:tcW w:w="1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65,000</w:t>
            </w:r>
          </w:p>
        </w:tc>
        <w:tc>
          <w:tcPr>
            <w:tcW w:w="2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4,227,600.00</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James Hamilton</w:t>
            </w: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6"/>
                <w:szCs w:val="16"/>
                <w:color w:val="auto"/>
                <w:w w:val="9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51,250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3,524,338.00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6"/>
                <w:szCs w:val="16"/>
                <w:color w:val="auto"/>
              </w:rPr>
              <w:t>Tracie Oliver</w:t>
            </w:r>
          </w:p>
        </w:tc>
        <w:tc>
          <w:tcPr>
            <w:tcW w:w="1580" w:type="dxa"/>
            <w:vAlign w:val="bottom"/>
            <w:tcBorders>
              <w:bottom w:val="single" w:sz="8" w:color="0071CE"/>
            </w:tcBorders>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18"/>
                <w:szCs w:val="18"/>
                <w:color w:val="auto"/>
              </w:rPr>
            </w:pPr>
          </w:p>
        </w:tc>
        <w:tc>
          <w:tcPr>
            <w:tcW w:w="1360" w:type="dxa"/>
            <w:vAlign w:val="bottom"/>
            <w:shd w:val="clear" w:color="auto" w:fill="E5E5E5"/>
          </w:tcPr>
          <w:p>
            <w:pPr>
              <w:ind w:left="1180"/>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0071CE"/>
            </w:tcBorders>
            <w:shd w:val="clear" w:color="auto" w:fill="E5E5E5"/>
          </w:tcPr>
          <w:p>
            <w:pPr>
              <w:spacing w:after="0"/>
              <w:rPr>
                <w:sz w:val="18"/>
                <w:szCs w:val="18"/>
                <w:color w:val="auto"/>
              </w:rPr>
            </w:pPr>
          </w:p>
        </w:tc>
        <w:tc>
          <w:tcPr>
            <w:tcW w:w="12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-1071245</wp:posOffset>
            </wp:positionV>
            <wp:extent cx="39344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46"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exercise, less the exercise price, multiplied by the number of shares exercised.</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vesting, multiplied by the number of shares vested.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severance or change of control arrangements with its NEOs: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 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Dr. Anzalone’s employment agreement: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by Dr. Anzalone of his employment agreement and the failure to cease such breach and rectify any harm to the Company within 30 days after written demand by the Company identifying with reasonable particularity such breach and harm; and</w:t>
      </w:r>
    </w:p>
    <w:p>
      <w:pPr>
        <w:spacing w:after="0" w:line="206"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Dr. Anzalone’s duties, responsibilities, titles or offices are diminished as compared to those described in his employment agreement without his written consent, and the Company fails to reinstate such duties, responsibilities, titles or offices within 30 days after written demand by Dr. Anzalone identifying with reasonable particularity the diminishment, (ii) the relocation of Dr. Anzalone’s base office to an office that is more than thirty</w:t>
      </w:r>
    </w:p>
    <w:p>
      <w:pPr>
        <w:spacing w:after="0" w:line="1" w:lineRule="exact"/>
        <w:rPr>
          <w:sz w:val="20"/>
          <w:szCs w:val="20"/>
          <w:color w:val="auto"/>
        </w:rPr>
      </w:pPr>
    </w:p>
    <w:p>
      <w:pPr>
        <w:ind w:right="500" w:firstLine="8"/>
        <w:spacing w:after="0" w:line="235" w:lineRule="auto"/>
        <w:tabs>
          <w:tab w:leader="none" w:pos="333" w:val="left"/>
        </w:tabs>
        <w:numPr>
          <w:ilvl w:val="0"/>
          <w:numId w:val="58"/>
        </w:numPr>
        <w:rPr>
          <w:rFonts w:ascii="Arial" w:cs="Arial" w:eastAsia="Arial" w:hAnsi="Arial"/>
          <w:sz w:val="16"/>
          <w:szCs w:val="16"/>
          <w:color w:val="auto"/>
        </w:rPr>
      </w:pPr>
      <w:r>
        <w:rPr>
          <w:rFonts w:ascii="Arial" w:cs="Arial" w:eastAsia="Arial" w:hAnsi="Arial"/>
          <w:sz w:val="16"/>
          <w:szCs w:val="16"/>
          <w:color w:val="auto"/>
        </w:rPr>
        <w:t>highway miles from Pasadena, CA, (iii) the failure of the Company to obtain a satisfactory agreement from any successor to assume and agree to perform the obligations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481330</wp:posOffset>
            </wp:positionV>
            <wp:extent cx="98615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50</w:t>
      </w:r>
    </w:p>
    <w:p>
      <w:pPr>
        <w:sectPr>
          <w:pgSz w:w="11900" w:h="16838" w:orient="portrait"/>
          <w:cols w:equalWidth="0" w:num="1">
            <w:col w:w="11240"/>
          </w:cols>
          <w:pgMar w:left="320" w:top="2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160"/>
        <w:spacing w:after="0" w:line="234" w:lineRule="auto"/>
        <w:rPr>
          <w:sz w:val="20"/>
          <w:szCs w:val="20"/>
          <w:color w:val="auto"/>
        </w:rPr>
      </w:pPr>
      <w:r>
        <w:rPr>
          <w:rFonts w:ascii="Arial" w:cs="Arial" w:eastAsia="Arial" w:hAnsi="Arial"/>
          <w:sz w:val="16"/>
          <w:szCs w:val="16"/>
          <w:color w:val="auto"/>
        </w:rPr>
        <w:t>employment agreement and (iv) any other material breach of Dr. Anzalone’s employment agreement by the Company and the failure to cease such breach and rectify any harm to Dr. Anzalone resulting within 30 days after written demand by Dr. Anzalone identifying with reasonable particularity the breach and harm.</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his offer of employment by the Company, Mr. O’Brien is entitled to severance pay equal to six months’ base salary upon a qualifying termination of his employment without case only upon change of control as defined in the Company’s 2013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entered into a severance arrangement with Dr. San Martin, Dr. Hamilton, or Ms. Oliver.</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pursuant to the 2004 Equity Incentive Plan, the 2013 Incentive Plan, and the 2021 Incentive Plan, any unvested awards held by plan participants, including the NEOs, become fully vested upon a change of control of the Company, except as otherwise determined by the Board and except with respect to the outstanding awards held by the CEO whose awards will only become fully vested if he experiences a qualifying termination of employment following a change of control.</w:t>
      </w:r>
    </w:p>
    <w:p>
      <w:pPr>
        <w:spacing w:after="0" w:line="17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818515</wp:posOffset>
            </wp:positionV>
            <wp:extent cx="9861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51</w:t>
      </w:r>
    </w:p>
    <w:p>
      <w:pPr>
        <w:sectPr>
          <w:pgSz w:w="11900" w:h="16838" w:orient="portrait"/>
          <w:cols w:equalWidth="0" w:num="1">
            <w:col w:w="11240"/>
          </w:cols>
          <w:pgMar w:left="320" w:top="21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shd w:val="clear" w:color="auto" w:fill="0071CE"/>
          </w:tcPr>
          <w:p>
            <w:pPr>
              <w:spacing w:after="0"/>
              <w:rPr>
                <w:sz w:val="15"/>
                <w:szCs w:val="15"/>
                <w:color w:val="auto"/>
              </w:rPr>
            </w:pPr>
          </w:p>
        </w:tc>
        <w:tc>
          <w:tcPr>
            <w:tcW w:w="1280" w:type="dxa"/>
            <w:vAlign w:val="bottom"/>
            <w:vMerge w:val="restart"/>
            <w:shd w:val="clear" w:color="auto" w:fill="0071CE"/>
          </w:tcPr>
          <w:p>
            <w:pPr>
              <w:jc w:val="right"/>
              <w:ind w:right="420"/>
              <w:spacing w:after="0"/>
              <w:rPr>
                <w:sz w:val="20"/>
                <w:szCs w:val="20"/>
                <w:color w:val="auto"/>
              </w:rPr>
            </w:pPr>
            <w:r>
              <w:rPr>
                <w:rFonts w:ascii="Arial" w:cs="Arial" w:eastAsia="Arial" w:hAnsi="Arial"/>
                <w:sz w:val="14"/>
                <w:szCs w:val="14"/>
                <w:b w:val="1"/>
                <w:bCs w:val="1"/>
                <w:color w:val="FFFFFF"/>
              </w:rPr>
              <w:t>Salary</w:t>
            </w:r>
          </w:p>
        </w:tc>
        <w:tc>
          <w:tcPr>
            <w:tcW w:w="1160" w:type="dxa"/>
            <w:vAlign w:val="bottom"/>
            <w:vMerge w:val="restart"/>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Benefits</w:t>
            </w:r>
          </w:p>
        </w:tc>
        <w:tc>
          <w:tcPr>
            <w:tcW w:w="1300" w:type="dxa"/>
            <w:vAlign w:val="bottom"/>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w w:val="99"/>
              </w:rPr>
              <w:t>Stock</w:t>
            </w:r>
          </w:p>
        </w:tc>
        <w:tc>
          <w:tcPr>
            <w:tcW w:w="1160" w:type="dxa"/>
            <w:vAlign w:val="bottom"/>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Option</w:t>
            </w:r>
          </w:p>
        </w:tc>
        <w:tc>
          <w:tcPr>
            <w:tcW w:w="11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Triggering Event</w:t>
            </w:r>
          </w:p>
        </w:tc>
        <w:tc>
          <w:tcPr>
            <w:tcW w:w="1280" w:type="dxa"/>
            <w:vAlign w:val="bottom"/>
            <w:vMerge w:val="continue"/>
            <w:shd w:val="clear" w:color="auto" w:fill="0071CE"/>
          </w:tcPr>
          <w:p>
            <w:pPr>
              <w:spacing w:after="0"/>
              <w:rPr>
                <w:sz w:val="12"/>
                <w:szCs w:val="12"/>
                <w:color w:val="auto"/>
              </w:rPr>
            </w:pPr>
          </w:p>
        </w:tc>
        <w:tc>
          <w:tcPr>
            <w:tcW w:w="1160" w:type="dxa"/>
            <w:vAlign w:val="bottom"/>
            <w:vMerge w:val="continue"/>
            <w:shd w:val="clear" w:color="auto" w:fill="0071CE"/>
          </w:tcPr>
          <w:p>
            <w:pPr>
              <w:spacing w:after="0"/>
              <w:rPr>
                <w:sz w:val="12"/>
                <w:szCs w:val="12"/>
                <w:color w:val="auto"/>
              </w:rPr>
            </w:pPr>
          </w:p>
        </w:tc>
        <w:tc>
          <w:tcPr>
            <w:tcW w:w="1300" w:type="dxa"/>
            <w:vAlign w:val="bottom"/>
            <w:shd w:val="clear" w:color="auto" w:fill="0071CE"/>
          </w:tcPr>
          <w:p>
            <w:pPr>
              <w:jc w:val="center"/>
              <w:ind w:right="101"/>
              <w:spacing w:after="0" w:line="149" w:lineRule="exact"/>
              <w:rPr>
                <w:sz w:val="20"/>
                <w:szCs w:val="20"/>
                <w:color w:val="auto"/>
              </w:rPr>
            </w:pPr>
            <w:r>
              <w:rPr>
                <w:rFonts w:ascii="Arial" w:cs="Arial" w:eastAsia="Arial" w:hAnsi="Arial"/>
                <w:sz w:val="14"/>
                <w:szCs w:val="14"/>
                <w:b w:val="1"/>
                <w:bCs w:val="1"/>
                <w:color w:val="FFFFFF"/>
              </w:rPr>
              <w:t>Awards</w:t>
            </w:r>
          </w:p>
        </w:tc>
        <w:tc>
          <w:tcPr>
            <w:tcW w:w="1160" w:type="dxa"/>
            <w:vAlign w:val="bottom"/>
            <w:shd w:val="clear" w:color="auto" w:fill="0071CE"/>
          </w:tcPr>
          <w:p>
            <w:pPr>
              <w:jc w:val="center"/>
              <w:ind w:right="81"/>
              <w:spacing w:after="0" w:line="149" w:lineRule="exact"/>
              <w:rPr>
                <w:sz w:val="20"/>
                <w:szCs w:val="20"/>
                <w:color w:val="auto"/>
              </w:rPr>
            </w:pPr>
            <w:r>
              <w:rPr>
                <w:rFonts w:ascii="Arial" w:cs="Arial" w:eastAsia="Arial" w:hAnsi="Arial"/>
                <w:sz w:val="14"/>
                <w:szCs w:val="14"/>
                <w:b w:val="1"/>
                <w:bCs w:val="1"/>
                <w:color w:val="FFFFFF"/>
              </w:rPr>
              <w:t>Awards</w:t>
            </w:r>
          </w:p>
        </w:tc>
        <w:tc>
          <w:tcPr>
            <w:tcW w:w="1120" w:type="dxa"/>
            <w:vAlign w:val="bottom"/>
            <w:vMerge w:val="restart"/>
            <w:shd w:val="clear" w:color="auto" w:fill="0071CE"/>
          </w:tcPr>
          <w:p>
            <w:pPr>
              <w:jc w:val="right"/>
              <w:ind w:right="3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0071CE"/>
            </w:tcBorders>
            <w:vMerge w:val="continue"/>
            <w:shd w:val="clear" w:color="auto" w:fill="0071CE"/>
          </w:tcPr>
          <w:p>
            <w:pPr>
              <w:spacing w:after="0"/>
              <w:rPr>
                <w:sz w:val="17"/>
                <w:szCs w:val="17"/>
                <w:color w:val="auto"/>
              </w:rPr>
            </w:pPr>
          </w:p>
        </w:tc>
        <w:tc>
          <w:tcPr>
            <w:tcW w:w="1280" w:type="dxa"/>
            <w:vAlign w:val="bottom"/>
            <w:tcBorders>
              <w:bottom w:val="single" w:sz="8" w:color="0071CE"/>
            </w:tcBorders>
            <w:shd w:val="clear" w:color="auto" w:fill="0071CE"/>
          </w:tcPr>
          <w:p>
            <w:pPr>
              <w:jc w:val="right"/>
              <w:ind w:right="540"/>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bottom w:val="single" w:sz="8" w:color="0071CE"/>
            </w:tcBorders>
            <w:shd w:val="clear" w:color="auto" w:fill="0071CE"/>
          </w:tcPr>
          <w:p>
            <w:pPr>
              <w:jc w:val="right"/>
              <w:ind w:right="480"/>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bottom w:val="single" w:sz="8" w:color="0071CE"/>
            </w:tcBorders>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w w:val="99"/>
              </w:rPr>
              <w:t>(1)($)</w:t>
            </w:r>
          </w:p>
        </w:tc>
        <w:tc>
          <w:tcPr>
            <w:tcW w:w="1160" w:type="dxa"/>
            <w:vAlign w:val="bottom"/>
            <w:tcBorders>
              <w:bottom w:val="single" w:sz="8" w:color="0071CE"/>
            </w:tcBorders>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rPr>
              <w:t>(1)($)</w:t>
            </w:r>
          </w:p>
        </w:tc>
        <w:tc>
          <w:tcPr>
            <w:tcW w:w="1120" w:type="dxa"/>
            <w:vAlign w:val="bottom"/>
            <w:tcBorders>
              <w:bottom w:val="single" w:sz="8" w:color="0071CE"/>
            </w:tcBorders>
            <w:vMerge w:val="continue"/>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Termination by Employer without Cause</w:t>
            </w:r>
          </w:p>
        </w:tc>
        <w:tc>
          <w:tcPr>
            <w:tcW w:w="128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Christopher Anzalone (2)</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72,529</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2,026</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74,555</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Kenneth Myszkowski</w:t>
            </w:r>
          </w:p>
        </w:tc>
        <w:tc>
          <w:tcPr>
            <w:tcW w:w="128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125,982</w:t>
            </w:r>
          </w:p>
        </w:tc>
        <w:tc>
          <w:tcPr>
            <w:tcW w:w="11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8,825</w:t>
            </w:r>
          </w:p>
        </w:tc>
        <w:tc>
          <w:tcPr>
            <w:tcW w:w="13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134,807</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28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Tracie Oliver</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Change in Control</w:t>
            </w:r>
          </w:p>
        </w:tc>
        <w:tc>
          <w:tcPr>
            <w:tcW w:w="128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Christopher Anzalone (2)</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Kenneth Myszkowski</w:t>
            </w:r>
          </w:p>
        </w:tc>
        <w:tc>
          <w:tcPr>
            <w:tcW w:w="128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125,982</w:t>
            </w:r>
          </w:p>
        </w:tc>
        <w:tc>
          <w:tcPr>
            <w:tcW w:w="11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8,825</w:t>
            </w:r>
          </w:p>
        </w:tc>
        <w:tc>
          <w:tcPr>
            <w:tcW w:w="13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11,549,550</w:t>
            </w:r>
          </w:p>
        </w:tc>
        <w:tc>
          <w:tcPr>
            <w:tcW w:w="116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11,684,357</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10,144,875</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10,144,875</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28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7,881,788</w:t>
            </w:r>
          </w:p>
        </w:tc>
        <w:tc>
          <w:tcPr>
            <w:tcW w:w="116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7,881,788</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Tracie Oliver</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Involuntary Termination Following a Change in Control</w:t>
            </w:r>
          </w:p>
        </w:tc>
        <w:tc>
          <w:tcPr>
            <w:tcW w:w="128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Christopher Anzalone</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72,529</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2,026</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106,131,000</w:t>
            </w:r>
          </w:p>
        </w:tc>
        <w:tc>
          <w:tcPr>
            <w:tcW w:w="1160" w:type="dxa"/>
            <w:vAlign w:val="bottom"/>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106,205,555</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0071CE"/>
            </w:tcBorders>
            <w:shd w:val="clear" w:color="auto" w:fill="E5E5E5"/>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Borders>
              <w:bottom w:val="single" w:sz="8" w:color="0071CE"/>
            </w:tcBorders>
            <w:shd w:val="clear" w:color="auto" w:fill="E5E5E5"/>
          </w:tcPr>
          <w:p>
            <w:pPr>
              <w:jc w:val="right"/>
              <w:ind w:right="140"/>
              <w:spacing w:after="0"/>
              <w:rPr>
                <w:sz w:val="20"/>
                <w:szCs w:val="20"/>
                <w:color w:val="auto"/>
              </w:rPr>
            </w:pPr>
            <w:r>
              <w:rPr>
                <w:rFonts w:ascii="Arial" w:cs="Arial" w:eastAsia="Arial" w:hAnsi="Arial"/>
                <w:sz w:val="16"/>
                <w:szCs w:val="16"/>
                <w:color w:val="auto"/>
              </w:rPr>
              <w:t>249,312</w:t>
            </w:r>
          </w:p>
        </w:tc>
        <w:tc>
          <w:tcPr>
            <w:tcW w:w="1160" w:type="dxa"/>
            <w:vAlign w:val="bottom"/>
            <w:tcBorders>
              <w:bottom w:val="single" w:sz="8" w:color="0071CE"/>
            </w:tcBorders>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0071CE"/>
            </w:tcBorders>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071CE"/>
            </w:tcBorders>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249,312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2022 of $33.05.</w:t>
      </w:r>
    </w:p>
    <w:p>
      <w:pPr>
        <w:spacing w:after="0" w:line="122" w:lineRule="exact"/>
        <w:rPr>
          <w:rFonts w:ascii="Arial" w:cs="Arial" w:eastAsia="Arial" w:hAnsi="Arial"/>
          <w:sz w:val="14"/>
          <w:szCs w:val="14"/>
          <w:color w:val="auto"/>
        </w:rPr>
      </w:pPr>
    </w:p>
    <w:p>
      <w:pPr>
        <w:ind w:left="340" w:right="700" w:hanging="332"/>
        <w:spacing w:after="0" w:line="305"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757555</wp:posOffset>
            </wp:positionV>
            <wp:extent cx="98615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52</w:t>
      </w:r>
    </w:p>
    <w:p>
      <w:pPr>
        <w:sectPr>
          <w:pgSz w:w="11900" w:h="16838" w:orient="portrait"/>
          <w:cols w:equalWidth="0" w:num="1">
            <w:col w:w="11220"/>
          </w:cols>
          <w:pgMar w:left="320" w:top="212"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Pursuant to Item 402(u) of Regulation S-K, we are required to calculate and disclose the median of the annual total compensation of all of our employees (excluding our CEO, Dr. Anzalone), the annual total compensation of Dr. Anzalone, and the ratio of these two amounts.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fact that we had a significant number of new hires during fiscal 2022, we did not elect to use the same median employee as the prior year. Our median employee was identified using the entire population of our employees as of September 30, 2022 based on a consistently applied compensation measure, or CACM, that reasonably reflects the annual compensation of our employees. The CACM selected by us for our disclosure included annual base salary, the cash bonus amount for fiscal 2022, the grant-date fair value for stock-based awards (calculated in accordance with requirements for the Summary Compensation Table), and welfare and health benefits for fiscal 2022.</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fiscal 2022 compensation for this selected employee in the same manner we determine the annual total compensation of our NEOs for purposes of the Summary Compensation Table. The median of the annual total compensation of all our employees was $194,796.39. Dr. Anzalone’s fiscal 2022 annual total compensation as disclosed in the Fiscal 2022 Summary Compensation Table was $12,031,969. As a result, our CEO to median employee pay ratio for fiscal 2022 is 62:1.</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641350</wp:posOffset>
            </wp:positionV>
            <wp:extent cx="98615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53</w:t>
      </w:r>
    </w:p>
    <w:p>
      <w:pPr>
        <w:sectPr>
          <w:pgSz w:w="11900" w:h="16838" w:orient="portrait"/>
          <w:cols w:equalWidth="0" w:num="1">
            <w:col w:w="11240"/>
          </w:cols>
          <w:pgMar w:left="320" w:top="2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40"/>
        <w:spacing w:after="0" w:line="260" w:lineRule="auto"/>
        <w:rPr>
          <w:sz w:val="20"/>
          <w:szCs w:val="20"/>
          <w:color w:val="auto"/>
        </w:rPr>
      </w:pPr>
      <w:r>
        <w:rPr>
          <w:rFonts w:ascii="Arial" w:cs="Arial" w:eastAsia="Arial" w:hAnsi="Arial"/>
          <w:sz w:val="32"/>
          <w:szCs w:val="32"/>
          <w:b w:val="1"/>
          <w:bCs w:val="1"/>
          <w:color w:val="0071CE"/>
        </w:rPr>
        <w:t>Proposal Three — Approval of Amendment to Arrowhead Pharmaceuticals, Inc.’s Amended and Restated Certificate Of Incorporation To Increase The Number Of Authorized Shares Of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Background Regarding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Board is asking stockholders to approve an amendment to the Company’s Amended and Restated Certificate of Incorporation (the “</w:t>
      </w:r>
      <w:r>
        <w:rPr>
          <w:rFonts w:ascii="Arial" w:cs="Arial" w:eastAsia="Arial" w:hAnsi="Arial"/>
          <w:sz w:val="16"/>
          <w:szCs w:val="16"/>
          <w:b w:val="1"/>
          <w:bCs w:val="1"/>
          <w:color w:val="auto"/>
        </w:rPr>
        <w:t>Certificate</w:t>
      </w:r>
      <w:r>
        <w:rPr>
          <w:rFonts w:ascii="Arial" w:cs="Arial" w:eastAsia="Arial" w:hAnsi="Arial"/>
          <w:sz w:val="16"/>
          <w:szCs w:val="16"/>
          <w:color w:val="auto"/>
        </w:rPr>
        <w:t xml:space="preserve"> ”) to increase the authorized number of common shares,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from 145,000,000 to 290,000,000, which would also increase the total number of authorized shares of capital stock from 150,000,000 to 295,000,000 (the “</w:t>
      </w:r>
      <w:r>
        <w:rPr>
          <w:rFonts w:ascii="Arial" w:cs="Arial" w:eastAsia="Arial" w:hAnsi="Arial"/>
          <w:sz w:val="16"/>
          <w:szCs w:val="16"/>
          <w:b w:val="1"/>
          <w:bCs w:val="1"/>
          <w:color w:val="auto"/>
        </w:rPr>
        <w:t>Proposed Certificate Amendment</w:t>
      </w:r>
      <w:r>
        <w:rPr>
          <w:rFonts w:ascii="Arial" w:cs="Arial" w:eastAsia="Arial" w:hAnsi="Arial"/>
          <w:sz w:val="16"/>
          <w:szCs w:val="16"/>
          <w:color w:val="auto"/>
        </w:rPr>
        <w:t>”). If our stockholders approve the Proposed Certificate Amendment, which the Board has approved and declared advisable, we expect to file a certificate of amendment with the Delaware Secretary of State to increase the number of authorized shares of our common stock and capital stock as soon as practicable following stockholder approval. On filing of the certificate of amendment with the Delaware Secretary of State, the first sentence of Article FOURTH of the Certificate would be amended and restated in its entirety as follows: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FOURTH:</w:t>
      </w:r>
      <w:r>
        <w:rPr>
          <w:rFonts w:ascii="Arial" w:cs="Arial" w:eastAsia="Arial" w:hAnsi="Arial"/>
          <w:sz w:val="16"/>
          <w:szCs w:val="16"/>
          <w:color w:val="auto"/>
        </w:rPr>
        <w:t xml:space="preserve"> The total number of shares which the Corporation shall have authority to issue is </w:t>
      </w:r>
      <w:r>
        <w:rPr>
          <w:rFonts w:ascii="Arial" w:cs="Arial" w:eastAsia="Arial" w:hAnsi="Arial"/>
          <w:sz w:val="16"/>
          <w:szCs w:val="16"/>
          <w:color w:val="auto"/>
          <w:strike w:val="1"/>
        </w:rPr>
        <w:t>150,000,000</w:t>
      </w:r>
      <w:r>
        <w:rPr>
          <w:rFonts w:ascii="Arial" w:cs="Arial" w:eastAsia="Arial" w:hAnsi="Arial"/>
          <w:sz w:val="16"/>
          <w:szCs w:val="16"/>
          <w:u w:val="single" w:color="auto"/>
          <w:color w:val="auto"/>
        </w:rPr>
        <w:t>295,000,000</w:t>
      </w:r>
      <w:r>
        <w:rPr>
          <w:rFonts w:ascii="Arial" w:cs="Arial" w:eastAsia="Arial" w:hAnsi="Arial"/>
          <w:sz w:val="16"/>
          <w:szCs w:val="16"/>
          <w:color w:val="auto"/>
        </w:rPr>
        <w:t>, of which</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strike w:val="1"/>
        </w:rPr>
        <w:t>145,000,000</w:t>
      </w:r>
      <w:r>
        <w:rPr>
          <w:rFonts w:ascii="Arial" w:cs="Arial" w:eastAsia="Arial" w:hAnsi="Arial"/>
          <w:sz w:val="16"/>
          <w:szCs w:val="16"/>
          <w:u w:val="single" w:color="auto"/>
          <w:color w:val="auto"/>
        </w:rPr>
        <w:t>290,000,000</w:t>
      </w:r>
      <w:r>
        <w:rPr>
          <w:rFonts w:ascii="Arial" w:cs="Arial" w:eastAsia="Arial" w:hAnsi="Arial"/>
          <w:sz w:val="16"/>
          <w:szCs w:val="16"/>
          <w:color w:val="auto"/>
        </w:rPr>
        <w:t xml:space="preserve"> shares shall be common stock, $.001 par value (“Common Stock”), and 5,000,000 shares shall be preferred stock, $.001 par value</w:t>
      </w:r>
    </w:p>
    <w:p>
      <w:pPr>
        <w:spacing w:after="0"/>
        <w:rPr>
          <w:sz w:val="20"/>
          <w:szCs w:val="20"/>
          <w:color w:val="auto"/>
        </w:rPr>
      </w:pPr>
      <w:r>
        <w:rPr>
          <w:rFonts w:ascii="Arial" w:cs="Arial" w:eastAsia="Arial" w:hAnsi="Arial"/>
          <w:sz w:val="16"/>
          <w:szCs w:val="16"/>
          <w:color w:val="auto"/>
        </w:rPr>
        <w:t>(“Preferred Stock”).”</w:t>
      </w:r>
    </w:p>
    <w:p>
      <w:pPr>
        <w:spacing w:after="0" w:line="23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Under the Proposed Certificate Amendment, the authorized number of shares of preferred stock, of which none are currently outstanding, would remain unchanged.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b w:val="1"/>
          <w:bCs w:val="1"/>
          <w:color w:val="4C4C4C"/>
        </w:rPr>
        <w:t>urposes of the Proposed Amendment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20, 2023, the Record Date, our Common Stock share utilization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20" w:type="dxa"/>
            <w:vAlign w:val="bottom"/>
            <w:tcBorders>
              <w:top w:val="single" w:sz="8" w:color="003594"/>
              <w:bottom w:val="single" w:sz="8" w:color="003594"/>
            </w:tcBorders>
          </w:tcPr>
          <w:p>
            <w:pPr>
              <w:spacing w:after="0"/>
              <w:rPr>
                <w:sz w:val="20"/>
                <w:szCs w:val="20"/>
                <w:color w:val="auto"/>
              </w:rPr>
            </w:pPr>
          </w:p>
        </w:tc>
        <w:tc>
          <w:tcPr>
            <w:tcW w:w="4020" w:type="dxa"/>
            <w:vAlign w:val="bottom"/>
            <w:tcBorders>
              <w:top w:val="single" w:sz="8" w:color="003594"/>
              <w:bottom w:val="single" w:sz="8" w:color="003594"/>
            </w:tcBorders>
          </w:tcPr>
          <w:p>
            <w:pPr>
              <w:ind w:left="680"/>
              <w:spacing w:after="0"/>
              <w:rPr>
                <w:sz w:val="20"/>
                <w:szCs w:val="20"/>
                <w:color w:val="auto"/>
              </w:rPr>
            </w:pPr>
            <w:r>
              <w:rPr>
                <w:rFonts w:ascii="Arial" w:cs="Arial" w:eastAsia="Arial" w:hAnsi="Arial"/>
                <w:sz w:val="16"/>
                <w:szCs w:val="16"/>
                <w:b w:val="1"/>
                <w:bCs w:val="1"/>
                <w:color w:val="auto"/>
              </w:rPr>
              <w:t>Number of Shares of Common Stock</w:t>
            </w:r>
          </w:p>
        </w:tc>
      </w:tr>
      <w:tr>
        <w:trPr>
          <w:trHeight w:val="226"/>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Authorized for issuance</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145,000,000</w:t>
            </w:r>
          </w:p>
        </w:tc>
      </w:tr>
      <w:tr>
        <w:trPr>
          <w:trHeight w:val="223"/>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Issued and outstanding</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106,706,695</w:t>
            </w:r>
          </w:p>
        </w:tc>
      </w:tr>
      <w:tr>
        <w:trPr>
          <w:trHeight w:val="216"/>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Reserved for issuance</w:t>
            </w:r>
          </w:p>
        </w:tc>
        <w:tc>
          <w:tcPr>
            <w:tcW w:w="4020" w:type="dxa"/>
            <w:vAlign w:val="bottom"/>
            <w:tcBorders>
              <w:bottom w:val="single" w:sz="8" w:color="809ACA"/>
            </w:tcBorders>
          </w:tcPr>
          <w:p>
            <w:pPr>
              <w:spacing w:after="0"/>
              <w:rPr>
                <w:sz w:val="18"/>
                <w:szCs w:val="18"/>
                <w:color w:val="auto"/>
              </w:rPr>
            </w:pPr>
          </w:p>
        </w:tc>
      </w:tr>
      <w:tr>
        <w:trPr>
          <w:trHeight w:val="230"/>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 Outstanding equity awards under our equity compensation plans and inducement awards</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6,123,516</w:t>
            </w:r>
          </w:p>
        </w:tc>
      </w:tr>
      <w:tr>
        <w:trPr>
          <w:trHeight w:val="223"/>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 Available for future grants under our equity compensation plans</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7,053,236</w:t>
            </w:r>
          </w:p>
        </w:tc>
      </w:tr>
      <w:tr>
        <w:trPr>
          <w:trHeight w:val="223"/>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 Available for future issuance under our existing at-the-market securities offering</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7,807,620</w:t>
            </w:r>
          </w:p>
        </w:tc>
      </w:tr>
      <w:tr>
        <w:trPr>
          <w:trHeight w:val="223"/>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Total share usage (issued and outstanding + reserved for issuance)</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127,691,067</w:t>
            </w:r>
          </w:p>
        </w:tc>
      </w:tr>
      <w:tr>
        <w:trPr>
          <w:trHeight w:val="223"/>
        </w:trPr>
        <w:tc>
          <w:tcPr>
            <w:tcW w:w="7220" w:type="dxa"/>
            <w:vAlign w:val="bottom"/>
            <w:tcBorders>
              <w:bottom w:val="single" w:sz="8" w:color="809ACA"/>
            </w:tcBorders>
          </w:tcPr>
          <w:p>
            <w:pPr>
              <w:ind w:left="20"/>
              <w:spacing w:after="0"/>
              <w:rPr>
                <w:sz w:val="20"/>
                <w:szCs w:val="20"/>
                <w:color w:val="auto"/>
              </w:rPr>
            </w:pPr>
            <w:r>
              <w:rPr>
                <w:rFonts w:ascii="Arial" w:cs="Arial" w:eastAsia="Arial" w:hAnsi="Arial"/>
                <w:sz w:val="16"/>
                <w:szCs w:val="16"/>
                <w:color w:val="auto"/>
              </w:rPr>
              <w:t>Total share usage as percentage of authorized</w:t>
            </w:r>
          </w:p>
        </w:tc>
        <w:tc>
          <w:tcPr>
            <w:tcW w:w="4020" w:type="dxa"/>
            <w:vAlign w:val="bottom"/>
            <w:tcBorders>
              <w:bottom w:val="single" w:sz="8" w:color="809ACA"/>
            </w:tcBorders>
          </w:tcPr>
          <w:p>
            <w:pPr>
              <w:ind w:left="1600"/>
              <w:spacing w:after="0"/>
              <w:rPr>
                <w:sz w:val="20"/>
                <w:szCs w:val="20"/>
                <w:color w:val="auto"/>
              </w:rPr>
            </w:pPr>
            <w:r>
              <w:rPr>
                <w:rFonts w:ascii="Times New Roman" w:cs="Times New Roman" w:eastAsia="Times New Roman" w:hAnsi="Times New Roman"/>
                <w:sz w:val="18"/>
                <w:szCs w:val="18"/>
                <w:color w:val="auto"/>
              </w:rPr>
              <w:t>88.1%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As a result, only approximately 13,027,269,shares of our Common Stock (or 8.98% of the total authorized) remain available for future issuance.</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Board believes that the availability of additional authorized shares of Common Stock is needed to provide us with additional flexibility to issue Common Stock for a variety of general corporate purposes as the Board may determine to be desirable. This includes, but is not limited to, using Common Stock as consideration for acquisitions, mergers, business combinations or other corporate transactions, raising equity capital, including any future at-the-market equity programs, adopting additional employee benefit plans or reserving additional shares for issuance under existing plans, implementing stock splits or stock dividends and other general corporate purposes. The Company does not have any current intention to issue shares in connection with acquisitions or pursuant to any equity financing outside its existing equity compensation plans and at-the-market securities offering. However, unless our stockholders approve the Proposed Certificate Amendment, we may not have sufficient unissued and unreserved authorized shares to engage in similar transactions in the future. Further, our success also depends in part on our continued ability to attract, retain, and motivate highly qualified management and key personnel. If this proposal is not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500380</wp:posOffset>
            </wp:positionV>
            <wp:extent cx="98615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54</w:t>
      </w:r>
    </w:p>
    <w:p>
      <w:pPr>
        <w:sectPr>
          <w:pgSz w:w="11900" w:h="16838" w:orient="portrait"/>
          <w:cols w:equalWidth="0" w:num="1">
            <w:col w:w="11240"/>
          </w:cols>
          <w:pgMar w:left="320" w:top="21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by our stockholders, the lack of unissued and unreserved authorized shares of Common Stock to provide future equity incentive opportunities could adversely impact our ability to achieve these goals.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Having additional authorized Common Stock available for future use will allow us to issue additional shares of Common Stock without the expense and delay of arranging a special meeting of stockholders. We may seek further increases in authorized shares from time to time in the future as considered appropriate by the Board.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Effect of Increasing the Number of Shares of Authorized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Proposed Certificate Amendment would not change the number of shares of Common Stock outstanding, nor will it have any immediate dilutive effect. However, if this proposal is approved, unless otherwise required by applicable law or Nasdaq rules, the Board will be able to issue the additional shares of Common Stock from time to time in its discretion without further action or authorization by the stockholders. Any future issuance of additional shares of Common Stock authorized by the Proposed Certificate Amendment may occur at times or under circumstances as to have a dilutive effect on earnings per share, book value per share or the percentage voting or ownership interest of the present holders of our Common Stock, none of whom have preemptive rights under the Certificate to subscribe for additional securities that we may issue.</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Proposed Certificate Amendment has been prompted by business and financial considerations. The Board currently is not aware of any attempt by a third-party to accumulate shares of Common Stock or take control of the Company by means of a merger, tender offer, or solicitation in opposition to management or the Board. Moreover, we currently have no plans to issue newly authorized shares of Common Stock to discourage third parties from attempting to take over the Company. However, the Proposed Certificate Amendment could, under certain circumstances, have an anti-takeover effect or delay or prevent a change in control of the Company by providing the Company the capability to engage in actions that would be dilutive to a potential acquiror, to pursue alternative transactions, or to otherwise increase the potential cost to acquire control of the Company. Thus, while we currently have no intent to use the additional authorized shares as an anti-takeover device, the Proposed Certificate Amendment may have the effect of discouraging future unsolicited takeover attempts.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Once the Proposed Certificate Amendment is approved, no further action by the stockholders would be necessary prior to the issuance of additional shares of Common Stock unless required by applicable law or Nasdaq rules. Each of the newly authorized shares of Common Stock will have the same rights and privileges as currently authorized shares of Common Stock. Adoption of the Proposed Certificate Amendment will not affect the rights of the holders of currently outstanding Common Stock, nor will it change the par value of the Common Stock.</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A complete copy of the Company’s current Amended and Restated Certificate of Incorporation is available as an exhibit to our Annual Report on Form 10-K for the fiscal year ended September 30, 2022 </w:t>
      </w:r>
      <w:r>
        <w:rPr>
          <w:rFonts w:ascii="Arial" w:cs="Arial" w:eastAsia="Arial" w:hAnsi="Arial"/>
          <w:sz w:val="16"/>
          <w:szCs w:val="16"/>
          <w:b w:val="1"/>
          <w:bCs w:val="1"/>
          <w:color w:val="auto"/>
        </w:rPr>
        <w:t>(https://ir.arrowheadpharma.com/financial-information)</w:t>
      </w:r>
      <w:r>
        <w:rPr>
          <w:rFonts w:ascii="Arial" w:cs="Arial" w:eastAsia="Arial" w:hAnsi="Arial"/>
          <w:sz w:val="16"/>
          <w:szCs w:val="16"/>
          <w:color w:val="auto"/>
        </w:rPr>
        <w:t>.</w:t>
      </w:r>
    </w:p>
    <w:p>
      <w:pPr>
        <w:spacing w:after="0" w:line="180"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Effectiveness and Vote Required; Recommendation of the Board</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Proposed Certificate Amendment is binding. If the Proposed Certificate Amendment is approved, it will become effective upon filing of the certificate of amendment with the Secretary of State for the State of Delaware.</w:t>
      </w:r>
    </w:p>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Proposal Three must be approved by the affirmative vote of a majority of the outstanding shares of Common Stock entitled to vote thereon. Abstentions and broker non-votes, if any, will have the same effect as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142240</wp:posOffset>
            </wp:positionV>
            <wp:extent cx="3789045" cy="368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89045" cy="368300"/>
                    </a:xfrm>
                    <a:prstGeom prst="rect">
                      <a:avLst/>
                    </a:prstGeom>
                    <a:noFill/>
                  </pic:spPr>
                </pic:pic>
              </a:graphicData>
            </a:graphic>
          </wp:anchor>
        </w:drawing>
      </w:r>
    </w:p>
    <w:p>
      <w:pPr>
        <w:spacing w:after="0" w:line="244" w:lineRule="exact"/>
        <w:rPr>
          <w:sz w:val="20"/>
          <w:szCs w:val="20"/>
          <w:color w:val="auto"/>
        </w:rPr>
      </w:pPr>
    </w:p>
    <w:p>
      <w:pPr>
        <w:ind w:left="3820" w:right="3340"/>
        <w:spacing w:after="0" w:line="299"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563880</wp:posOffset>
            </wp:positionV>
            <wp:extent cx="98615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55</w:t>
      </w:r>
    </w:p>
    <w:p>
      <w:pPr>
        <w:sectPr>
          <w:pgSz w:w="11900" w:h="16838" w:orient="portrait"/>
          <w:cols w:equalWidth="0" w:num="1">
            <w:col w:w="11240"/>
          </w:cols>
          <w:pgMar w:left="320" w:top="2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Four — Ratification of Appointment of Independent Auditors</w:t>
      </w:r>
    </w:p>
    <w:p>
      <w:pPr>
        <w:spacing w:after="0" w:line="33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2023, and that selection is now being submitted to the stockholders.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representative of RS&amp;J is expected to be available at the Annual Meeting to respond to appropriate stockholder questions or make any other statements such representative deems appropriate.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5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order to be ratified, Proposal Four must be approved by the Required Vote, assuming a quorum is present. For this purpose, abstentions and broker non-votes, if any,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158750</wp:posOffset>
            </wp:positionV>
            <wp:extent cx="3789045" cy="368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89045" cy="368300"/>
                    </a:xfrm>
                    <a:prstGeom prst="rect">
                      <a:avLst/>
                    </a:prstGeom>
                    <a:noFill/>
                  </pic:spPr>
                </pic:pic>
              </a:graphicData>
            </a:graphic>
          </wp:anchor>
        </w:drawing>
      </w:r>
    </w:p>
    <w:p>
      <w:pPr>
        <w:spacing w:after="0" w:line="270" w:lineRule="exact"/>
        <w:rPr>
          <w:sz w:val="20"/>
          <w:szCs w:val="20"/>
          <w:color w:val="auto"/>
        </w:rPr>
      </w:pPr>
    </w:p>
    <w:p>
      <w:pPr>
        <w:ind w:left="3820" w:right="3340"/>
        <w:spacing w:after="0" w:line="299"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718185</wp:posOffset>
            </wp:positionV>
            <wp:extent cx="98615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56</w:t>
      </w:r>
    </w:p>
    <w:p>
      <w:pPr>
        <w:sectPr>
          <w:pgSz w:w="11900" w:h="16838" w:orient="portrait"/>
          <w:cols w:equalWidth="0" w:num="1">
            <w:col w:w="11240"/>
          </w:cols>
          <w:pgMar w:left="320" w:top="2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Audit Fees</w:t>
      </w: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2022 and 2021 were pre-approved by the audit committee.</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sets forth the aggregate audit fees billed and expected to be billed by RS&amp;J for the indicated fiscal year and the fees billed by RS&amp;J for all other services rendered during the indicated fiscal 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0071CE"/>
          </w:tcPr>
          <w:p>
            <w:pPr>
              <w:spacing w:after="0"/>
              <w:rPr>
                <w:sz w:val="17"/>
                <w:szCs w:val="17"/>
                <w:color w:val="auto"/>
              </w:rPr>
            </w:pPr>
          </w:p>
        </w:tc>
        <w:tc>
          <w:tcPr>
            <w:tcW w:w="3240" w:type="dxa"/>
            <w:vAlign w:val="bottom"/>
            <w:gridSpan w:val="2"/>
            <w:shd w:val="clear" w:color="auto" w:fill="0071CE"/>
          </w:tcPr>
          <w:p>
            <w:pPr>
              <w:jc w:val="right"/>
              <w:ind w:right="593"/>
              <w:spacing w:after="0"/>
              <w:rPr>
                <w:sz w:val="20"/>
                <w:szCs w:val="20"/>
                <w:color w:val="auto"/>
              </w:rPr>
            </w:pPr>
            <w:r>
              <w:rPr>
                <w:rFonts w:ascii="Arial" w:cs="Arial" w:eastAsia="Arial" w:hAnsi="Arial"/>
                <w:sz w:val="14"/>
                <w:szCs w:val="14"/>
                <w:b w:val="1"/>
                <w:bCs w:val="1"/>
                <w:color w:val="FFFFFF"/>
              </w:rPr>
              <w:t>Year Ended September 30,</w:t>
            </w:r>
          </w:p>
        </w:tc>
      </w:tr>
      <w:tr>
        <w:trPr>
          <w:trHeight w:val="203"/>
        </w:trPr>
        <w:tc>
          <w:tcPr>
            <w:tcW w:w="7980" w:type="dxa"/>
            <w:vAlign w:val="bottom"/>
            <w:shd w:val="clear" w:color="auto" w:fill="0071CE"/>
          </w:tcPr>
          <w:p>
            <w:pPr>
              <w:spacing w:after="0"/>
              <w:rPr>
                <w:sz w:val="17"/>
                <w:szCs w:val="17"/>
                <w:color w:val="auto"/>
              </w:rPr>
            </w:pPr>
          </w:p>
        </w:tc>
        <w:tc>
          <w:tcPr>
            <w:tcW w:w="1900" w:type="dxa"/>
            <w:vAlign w:val="bottom"/>
            <w:shd w:val="clear" w:color="auto" w:fill="0071CE"/>
          </w:tcPr>
          <w:p>
            <w:pPr>
              <w:jc w:val="right"/>
              <w:ind w:right="855"/>
              <w:spacing w:after="0"/>
              <w:rPr>
                <w:sz w:val="20"/>
                <w:szCs w:val="20"/>
                <w:color w:val="auto"/>
              </w:rPr>
            </w:pPr>
            <w:r>
              <w:rPr>
                <w:rFonts w:ascii="Arial" w:cs="Arial" w:eastAsia="Arial" w:hAnsi="Arial"/>
                <w:sz w:val="14"/>
                <w:szCs w:val="14"/>
                <w:b w:val="1"/>
                <w:bCs w:val="1"/>
                <w:color w:val="FFFFFF"/>
              </w:rPr>
              <w:t>2022</w:t>
            </w:r>
          </w:p>
        </w:tc>
        <w:tc>
          <w:tcPr>
            <w:tcW w:w="1340" w:type="dxa"/>
            <w:vAlign w:val="bottom"/>
            <w:shd w:val="clear" w:color="auto" w:fill="0071CE"/>
          </w:tcPr>
          <w:p>
            <w:pPr>
              <w:jc w:val="right"/>
              <w:ind w:right="533"/>
              <w:spacing w:after="0"/>
              <w:rPr>
                <w:sz w:val="20"/>
                <w:szCs w:val="20"/>
                <w:color w:val="auto"/>
              </w:rPr>
            </w:pPr>
            <w:r>
              <w:rPr>
                <w:rFonts w:ascii="Arial" w:cs="Arial" w:eastAsia="Arial" w:hAnsi="Arial"/>
                <w:sz w:val="14"/>
                <w:szCs w:val="14"/>
                <w:b w:val="1"/>
                <w:bCs w:val="1"/>
                <w:color w:val="FFFFFF"/>
              </w:rPr>
              <w:t>2021</w:t>
            </w:r>
          </w:p>
        </w:tc>
      </w:tr>
      <w:tr>
        <w:trPr>
          <w:trHeight w:val="229"/>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Audit fees (1)</w:t>
            </w:r>
          </w:p>
        </w:tc>
        <w:tc>
          <w:tcPr>
            <w:tcW w:w="19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$324,750</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$295,400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1900" w:type="dxa"/>
            <w:vAlign w:val="bottom"/>
          </w:tcPr>
          <w:p>
            <w:pPr>
              <w:jc w:val="right"/>
              <w:ind w:right="315"/>
              <w:spacing w:after="0"/>
              <w:rPr>
                <w:sz w:val="20"/>
                <w:szCs w:val="20"/>
                <w:color w:val="auto"/>
              </w:rPr>
            </w:pPr>
            <w:r>
              <w:rPr>
                <w:rFonts w:ascii="Arial" w:cs="Arial" w:eastAsia="Arial" w:hAnsi="Arial"/>
                <w:sz w:val="18"/>
                <w:szCs w:val="18"/>
                <w:color w:val="auto"/>
              </w:rPr>
              <w:t>45,200</w:t>
            </w:r>
          </w:p>
        </w:tc>
        <w:tc>
          <w:tcPr>
            <w:tcW w:w="1340" w:type="dxa"/>
            <w:vAlign w:val="bottom"/>
          </w:tcPr>
          <w:p>
            <w:pPr>
              <w:jc w:val="right"/>
              <w:spacing w:after="0"/>
              <w:rPr>
                <w:sz w:val="20"/>
                <w:szCs w:val="20"/>
                <w:color w:val="auto"/>
              </w:rPr>
            </w:pPr>
            <w:r>
              <w:rPr>
                <w:rFonts w:ascii="Arial" w:cs="Arial" w:eastAsia="Arial" w:hAnsi="Arial"/>
                <w:sz w:val="18"/>
                <w:szCs w:val="18"/>
                <w:color w:val="auto"/>
              </w:rPr>
              <w:t>70,250</w:t>
            </w:r>
          </w:p>
        </w:tc>
      </w:tr>
      <w:tr>
        <w:trPr>
          <w:trHeight w:val="229"/>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Tax Fees</w:t>
            </w:r>
          </w:p>
        </w:tc>
        <w:tc>
          <w:tcPr>
            <w:tcW w:w="19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All other fees</w:t>
            </w:r>
          </w:p>
        </w:tc>
        <w:tc>
          <w:tcPr>
            <w:tcW w:w="1900" w:type="dxa"/>
            <w:vAlign w:val="bottom"/>
            <w:tcBorders>
              <w:bottom w:val="single" w:sz="8" w:color="0071CE"/>
            </w:tcBorders>
          </w:tcPr>
          <w:p>
            <w:pPr>
              <w:jc w:val="right"/>
              <w:ind w:right="31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0071CE"/>
            </w:tcBorders>
            <w:shd w:val="clear" w:color="auto" w:fill="E5E5E5"/>
          </w:tcPr>
          <w:p>
            <w:pPr>
              <w:jc w:val="right"/>
              <w:ind w:right="315"/>
              <w:spacing w:after="0"/>
              <w:rPr>
                <w:sz w:val="20"/>
                <w:szCs w:val="20"/>
                <w:color w:val="auto"/>
              </w:rPr>
            </w:pPr>
            <w:r>
              <w:rPr>
                <w:rFonts w:ascii="Arial" w:cs="Arial" w:eastAsia="Arial" w:hAnsi="Arial"/>
                <w:sz w:val="18"/>
                <w:szCs w:val="18"/>
                <w:color w:val="auto"/>
              </w:rPr>
              <w:t>$369,950</w:t>
            </w:r>
          </w:p>
        </w:tc>
        <w:tc>
          <w:tcPr>
            <w:tcW w:w="13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$365,650</w:t>
            </w:r>
          </w:p>
        </w:tc>
      </w:tr>
    </w:tbl>
    <w:p>
      <w:pPr>
        <w:spacing w:after="0" w:line="166"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Fees invoiced by RS&amp;J include year-end audit and periodic reviews of Forms 10-Q and 10-K.</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Fees invoiced by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581025</wp:posOffset>
            </wp:positionV>
            <wp:extent cx="9861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57</w:t>
      </w:r>
    </w:p>
    <w:p>
      <w:pPr>
        <w:sectPr>
          <w:pgSz w:w="11900" w:h="16838" w:orient="portrait"/>
          <w:cols w:equalWidth="0" w:num="1">
            <w:col w:w="11240"/>
          </w:cols>
          <w:pgMar w:left="320" w:top="2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206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Report of the Audit Committee</w:t>
      </w:r>
    </w:p>
    <w:p>
      <w:pPr>
        <w:spacing w:after="0" w:line="3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2022, which include the consolidated balance sheets of the Company as of September 30, 2022 and September 30, 2021, and the related consolidated statements of operations, stockholders’ equity and cash flows for the fiscal years ended September 30, 2022, September 30, 2021 and September 30, 2020, and the notes thereto.</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2022, the Audit Committee of the Board was comprised of four directors and operated under a written charter adopted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The members of the Audit Committee for fiscal 2022 were William Waddill, Marianne De Backer, Adeoye Olukotun, and Michael S. Perry. All members of the Audit Committee were “independent,” as defined in Rule 10A-3 under the Exchange Act and Rule 5605(c) of the Nasdaq Marketplace Rules, and are financially literate.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200"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b w:val="1"/>
          <w:bCs w:val="1"/>
          <w:color w:val="auto"/>
        </w:rPr>
        <w:t>Review with Management and independent registered public accounting firm</w:t>
      </w:r>
      <w:r>
        <w:rPr>
          <w:rFonts w:ascii="Arial" w:cs="Arial" w:eastAsia="Arial" w:hAnsi="Arial"/>
          <w:sz w:val="16"/>
          <w:szCs w:val="16"/>
          <w:color w:val="auto"/>
        </w:rPr>
        <w:t>. The Audit Committee met separately to review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(“PCAOB”) and the SEC. The Company’s independent registered public accounting firm also provided to the Audit Committee the written disclosures and the letter required by the PCAOB regarding the independent registered public accounting firm’s communications with the Audit Committee concerning independence and the Audit Committee discussed the firm’s independence with RS&amp;J.</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RS&amp;J,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2022, as filed with the SEC.</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William Waddill, Committee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Marianne De Backer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Adeoye Olukotun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927735</wp:posOffset>
            </wp:positionV>
            <wp:extent cx="98615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58</w:t>
      </w:r>
    </w:p>
    <w:p>
      <w:pPr>
        <w:sectPr>
          <w:pgSz w:w="11900" w:h="16838" w:orient="portrait"/>
          <w:cols w:equalWidth="0" w:num="1">
            <w:col w:w="11240"/>
          </w:cols>
          <w:pgMar w:left="320" w:top="2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3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10, 2023, by (i) each of the NEOs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177 E. Colorado Blvd, Suite 700, Pasadena, CA, 91105 unless otherwise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shd w:val="clear" w:color="auto" w:fill="0071CE"/>
          </w:tcPr>
          <w:p>
            <w:pPr>
              <w:spacing w:after="0"/>
              <w:rPr>
                <w:sz w:val="14"/>
                <w:szCs w:val="14"/>
                <w:color w:val="auto"/>
              </w:rPr>
            </w:pPr>
          </w:p>
        </w:tc>
        <w:tc>
          <w:tcPr>
            <w:tcW w:w="170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4640" w:type="dxa"/>
            <w:vAlign w:val="bottom"/>
            <w:shd w:val="clear" w:color="auto" w:fill="0071CE"/>
          </w:tcPr>
          <w:p>
            <w:pPr>
              <w:spacing w:after="0"/>
              <w:rPr>
                <w:sz w:val="14"/>
                <w:szCs w:val="14"/>
                <w:color w:val="auto"/>
              </w:rPr>
            </w:pPr>
          </w:p>
        </w:tc>
        <w:tc>
          <w:tcPr>
            <w:tcW w:w="3460" w:type="dxa"/>
            <w:vAlign w:val="bottom"/>
            <w:gridSpan w:val="3"/>
            <w:shd w:val="clear" w:color="auto" w:fill="0071CE"/>
          </w:tcPr>
          <w:p>
            <w:pPr>
              <w:jc w:val="right"/>
              <w:ind w:right="480"/>
              <w:spacing w:after="0"/>
              <w:rPr>
                <w:sz w:val="20"/>
                <w:szCs w:val="20"/>
                <w:color w:val="auto"/>
              </w:rPr>
            </w:pPr>
            <w:r>
              <w:rPr>
                <w:rFonts w:ascii="Arial" w:cs="Arial" w:eastAsia="Arial" w:hAnsi="Arial"/>
                <w:sz w:val="14"/>
                <w:szCs w:val="14"/>
                <w:b w:val="1"/>
                <w:bCs w:val="1"/>
                <w:color w:val="FFFFFF"/>
              </w:rPr>
              <w:t>Number and Percentage of Shares</w:t>
            </w:r>
          </w:p>
        </w:tc>
      </w:tr>
      <w:tr>
        <w:trPr>
          <w:trHeight w:val="196"/>
        </w:trPr>
        <w:tc>
          <w:tcPr>
            <w:tcW w:w="20" w:type="dxa"/>
            <w:vAlign w:val="bottom"/>
            <w:shd w:val="clear" w:color="auto" w:fill="0071CE"/>
          </w:tcPr>
          <w:p>
            <w:pPr>
              <w:spacing w:after="0"/>
              <w:rPr>
                <w:sz w:val="17"/>
                <w:szCs w:val="17"/>
                <w:color w:val="auto"/>
              </w:rPr>
            </w:pPr>
          </w:p>
        </w:tc>
        <w:tc>
          <w:tcPr>
            <w:tcW w:w="1700" w:type="dxa"/>
            <w:vAlign w:val="bottom"/>
            <w:shd w:val="clear" w:color="auto" w:fill="0071CE"/>
          </w:tcPr>
          <w:p>
            <w:pPr>
              <w:spacing w:after="0"/>
              <w:rPr>
                <w:sz w:val="17"/>
                <w:szCs w:val="17"/>
                <w:color w:val="auto"/>
              </w:rPr>
            </w:pPr>
          </w:p>
        </w:tc>
        <w:tc>
          <w:tcPr>
            <w:tcW w:w="1400" w:type="dxa"/>
            <w:vAlign w:val="bottom"/>
            <w:shd w:val="clear" w:color="auto" w:fill="0071CE"/>
          </w:tcPr>
          <w:p>
            <w:pPr>
              <w:spacing w:after="0"/>
              <w:rPr>
                <w:sz w:val="17"/>
                <w:szCs w:val="17"/>
                <w:color w:val="auto"/>
              </w:rPr>
            </w:pPr>
          </w:p>
        </w:tc>
        <w:tc>
          <w:tcPr>
            <w:tcW w:w="4640" w:type="dxa"/>
            <w:vAlign w:val="bottom"/>
            <w:shd w:val="clear" w:color="auto" w:fill="0071CE"/>
          </w:tcPr>
          <w:p>
            <w:pPr>
              <w:spacing w:after="0"/>
              <w:rPr>
                <w:sz w:val="17"/>
                <w:szCs w:val="17"/>
                <w:color w:val="auto"/>
              </w:rPr>
            </w:pPr>
          </w:p>
        </w:tc>
        <w:tc>
          <w:tcPr>
            <w:tcW w:w="3460" w:type="dxa"/>
            <w:vAlign w:val="bottom"/>
            <w:gridSpan w:val="3"/>
            <w:shd w:val="clear" w:color="auto" w:fill="0071CE"/>
          </w:tcPr>
          <w:p>
            <w:pPr>
              <w:jc w:val="right"/>
              <w:ind w:right="880"/>
              <w:spacing w:after="0"/>
              <w:rPr>
                <w:sz w:val="20"/>
                <w:szCs w:val="20"/>
                <w:color w:val="auto"/>
              </w:rPr>
            </w:pPr>
            <w:r>
              <w:rPr>
                <w:rFonts w:ascii="Arial" w:cs="Arial" w:eastAsia="Arial" w:hAnsi="Arial"/>
                <w:sz w:val="14"/>
                <w:szCs w:val="14"/>
                <w:b w:val="1"/>
                <w:bCs w:val="1"/>
                <w:color w:val="FFFFFF"/>
              </w:rPr>
              <w:t>Beneficially Owned (1)</w:t>
            </w:r>
          </w:p>
        </w:tc>
      </w:tr>
      <w:tr>
        <w:trPr>
          <w:trHeight w:val="279"/>
        </w:trPr>
        <w:tc>
          <w:tcPr>
            <w:tcW w:w="20" w:type="dxa"/>
            <w:vAlign w:val="bottom"/>
            <w:tcBorders>
              <w:bottom w:val="single" w:sz="8" w:color="0071CE"/>
            </w:tcBorders>
            <w:shd w:val="clear" w:color="auto" w:fill="0071CE"/>
          </w:tcPr>
          <w:p>
            <w:pPr>
              <w:spacing w:after="0"/>
              <w:rPr>
                <w:sz w:val="24"/>
                <w:szCs w:val="24"/>
                <w:color w:val="auto"/>
              </w:rPr>
            </w:pPr>
          </w:p>
        </w:tc>
        <w:tc>
          <w:tcPr>
            <w:tcW w:w="1700" w:type="dxa"/>
            <w:vAlign w:val="bottom"/>
            <w:tcBorders>
              <w:bottom w:val="single" w:sz="8" w:color="0071CE"/>
            </w:tcBorders>
            <w:shd w:val="clear" w:color="auto" w:fill="0071CE"/>
          </w:tcPr>
          <w:p>
            <w:pPr>
              <w:spacing w:after="0"/>
              <w:rPr>
                <w:sz w:val="24"/>
                <w:szCs w:val="24"/>
                <w:color w:val="auto"/>
              </w:rPr>
            </w:pPr>
          </w:p>
        </w:tc>
        <w:tc>
          <w:tcPr>
            <w:tcW w:w="1400" w:type="dxa"/>
            <w:vAlign w:val="bottom"/>
            <w:tcBorders>
              <w:bottom w:val="single" w:sz="8" w:color="0071CE"/>
            </w:tcBorders>
            <w:shd w:val="clear" w:color="auto" w:fill="0071CE"/>
          </w:tcPr>
          <w:p>
            <w:pPr>
              <w:spacing w:after="0"/>
              <w:rPr>
                <w:sz w:val="24"/>
                <w:szCs w:val="24"/>
                <w:color w:val="auto"/>
              </w:rPr>
            </w:pPr>
          </w:p>
        </w:tc>
        <w:tc>
          <w:tcPr>
            <w:tcW w:w="4640" w:type="dxa"/>
            <w:vAlign w:val="bottom"/>
            <w:tcBorders>
              <w:bottom w:val="single" w:sz="8" w:color="0071CE"/>
            </w:tcBorders>
            <w:shd w:val="clear" w:color="auto" w:fill="0071CE"/>
          </w:tcPr>
          <w:p>
            <w:pPr>
              <w:spacing w:after="0"/>
              <w:rPr>
                <w:sz w:val="24"/>
                <w:szCs w:val="24"/>
                <w:color w:val="auto"/>
              </w:rPr>
            </w:pPr>
          </w:p>
        </w:tc>
        <w:tc>
          <w:tcPr>
            <w:tcW w:w="1780" w:type="dxa"/>
            <w:vAlign w:val="bottom"/>
            <w:tcBorders>
              <w:bottom w:val="single" w:sz="8" w:color="0071CE"/>
            </w:tcBorders>
            <w:gridSpan w:val="2"/>
            <w:shd w:val="clear" w:color="auto" w:fill="0071CE"/>
          </w:tcPr>
          <w:p>
            <w:pPr>
              <w:ind w:left="600"/>
              <w:spacing w:after="0"/>
              <w:rPr>
                <w:sz w:val="20"/>
                <w:szCs w:val="20"/>
                <w:color w:val="auto"/>
              </w:rPr>
            </w:pPr>
            <w:r>
              <w:rPr>
                <w:rFonts w:ascii="Arial" w:cs="Arial" w:eastAsia="Arial" w:hAnsi="Arial"/>
                <w:sz w:val="14"/>
                <w:szCs w:val="14"/>
                <w:b w:val="1"/>
                <w:bCs w:val="1"/>
                <w:color w:val="FFFFFF"/>
              </w:rPr>
              <w:t>Shares</w:t>
            </w:r>
          </w:p>
        </w:tc>
        <w:tc>
          <w:tcPr>
            <w:tcW w:w="1680" w:type="dxa"/>
            <w:vAlign w:val="bottom"/>
            <w:tcBorders>
              <w:bottom w:val="single" w:sz="8" w:color="0071CE"/>
            </w:tcBorders>
            <w:shd w:val="clear" w:color="auto" w:fill="0071CE"/>
          </w:tcPr>
          <w:p>
            <w:pPr>
              <w:jc w:val="right"/>
              <w:ind w:right="320"/>
              <w:spacing w:after="0"/>
              <w:rPr>
                <w:sz w:val="20"/>
                <w:szCs w:val="20"/>
                <w:color w:val="auto"/>
              </w:rPr>
            </w:pPr>
            <w:r>
              <w:rPr>
                <w:rFonts w:ascii="Times New Roman" w:cs="Times New Roman" w:eastAsia="Times New Roman" w:hAnsi="Times New Roman"/>
                <w:sz w:val="14"/>
                <w:szCs w:val="14"/>
                <w:b w:val="1"/>
                <w:bCs w:val="1"/>
                <w:color w:val="FFFFFF"/>
              </w:rPr>
              <w:t>Percentage</w:t>
            </w:r>
          </w:p>
        </w:tc>
      </w:tr>
      <w:tr>
        <w:trPr>
          <w:trHeight w:val="196"/>
        </w:trPr>
        <w:tc>
          <w:tcPr>
            <w:tcW w:w="20" w:type="dxa"/>
            <w:vAlign w:val="bottom"/>
            <w:tcBorders>
              <w:bottom w:val="single" w:sz="8" w:color="E5E5E5"/>
            </w:tcBorders>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spacing w:after="0" w:line="175" w:lineRule="exact"/>
              <w:rPr>
                <w:sz w:val="20"/>
                <w:szCs w:val="20"/>
                <w:color w:val="auto"/>
              </w:rPr>
            </w:pPr>
            <w:r>
              <w:rPr>
                <w:rFonts w:ascii="Arial" w:cs="Arial" w:eastAsia="Arial" w:hAnsi="Arial"/>
                <w:sz w:val="16"/>
                <w:szCs w:val="16"/>
                <w:b w:val="1"/>
                <w:bCs w:val="1"/>
                <w:color w:val="auto"/>
              </w:rPr>
              <w:t>5% Beneficial Owners</w:t>
            </w:r>
          </w:p>
        </w:tc>
        <w:tc>
          <w:tcPr>
            <w:tcW w:w="6040" w:type="dxa"/>
            <w:vAlign w:val="bottom"/>
            <w:tcBorders>
              <w:bottom w:val="single" w:sz="8" w:color="E5E5E5"/>
            </w:tcBorders>
            <w:gridSpan w:val="2"/>
            <w:shd w:val="clear" w:color="auto" w:fill="E5E5E5"/>
          </w:tcPr>
          <w:p>
            <w:pPr>
              <w:spacing w:after="0"/>
              <w:rPr>
                <w:sz w:val="17"/>
                <w:szCs w:val="17"/>
                <w:color w:val="auto"/>
              </w:rPr>
            </w:pPr>
          </w:p>
        </w:tc>
        <w:tc>
          <w:tcPr>
            <w:tcW w:w="168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1680" w:type="dxa"/>
            <w:vAlign w:val="bottom"/>
            <w:tcBorders>
              <w:bottom w:val="single" w:sz="8" w:color="E5E5E5"/>
            </w:tcBorders>
            <w:shd w:val="clear" w:color="auto" w:fill="E5E5E5"/>
          </w:tcPr>
          <w:p>
            <w:pPr>
              <w:spacing w:after="0"/>
              <w:rPr>
                <w:sz w:val="17"/>
                <w:szCs w:val="17"/>
                <w:color w:val="auto"/>
              </w:rPr>
            </w:pPr>
          </w:p>
        </w:tc>
      </w:tr>
      <w:tr>
        <w:trPr>
          <w:trHeight w:val="162"/>
        </w:trPr>
        <w:tc>
          <w:tcPr>
            <w:tcW w:w="776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BlackRock Inc (2)</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8"/>
        </w:trPr>
        <w:tc>
          <w:tcPr>
            <w:tcW w:w="7760" w:type="dxa"/>
            <w:vAlign w:val="bottom"/>
            <w:gridSpan w:val="4"/>
          </w:tcPr>
          <w:p>
            <w:pPr>
              <w:ind w:left="20"/>
              <w:spacing w:after="0"/>
              <w:rPr>
                <w:sz w:val="20"/>
                <w:szCs w:val="20"/>
                <w:color w:val="auto"/>
              </w:rPr>
            </w:pPr>
            <w:r>
              <w:rPr>
                <w:rFonts w:ascii="Arial" w:cs="Arial" w:eastAsia="Arial" w:hAnsi="Arial"/>
                <w:sz w:val="16"/>
                <w:szCs w:val="16"/>
                <w:color w:val="auto"/>
              </w:rPr>
              <w:t>55 East 52nd Street, New York, NY 10055</w:t>
            </w:r>
          </w:p>
        </w:tc>
        <w:tc>
          <w:tcPr>
            <w:tcW w:w="1680" w:type="dxa"/>
            <w:vAlign w:val="bottom"/>
          </w:tcPr>
          <w:p>
            <w:pPr>
              <w:jc w:val="right"/>
              <w:spacing w:after="0"/>
              <w:rPr>
                <w:sz w:val="20"/>
                <w:szCs w:val="20"/>
                <w:color w:val="auto"/>
              </w:rPr>
            </w:pPr>
            <w:r>
              <w:rPr>
                <w:rFonts w:ascii="Arial" w:cs="Arial" w:eastAsia="Arial" w:hAnsi="Arial"/>
                <w:sz w:val="16"/>
                <w:szCs w:val="16"/>
                <w:color w:val="auto"/>
              </w:rPr>
              <w:t>12,008,063</w:t>
            </w:r>
          </w:p>
        </w:tc>
        <w:tc>
          <w:tcPr>
            <w:tcW w:w="100" w:type="dxa"/>
            <w:vAlign w:val="bottom"/>
          </w:tcPr>
          <w:p>
            <w:pPr>
              <w:spacing w:after="0"/>
              <w:rPr>
                <w:sz w:val="19"/>
                <w:szCs w:val="19"/>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11.3%</w:t>
            </w:r>
          </w:p>
        </w:tc>
      </w:tr>
      <w:tr>
        <w:trPr>
          <w:trHeight w:val="163"/>
        </w:trPr>
        <w:tc>
          <w:tcPr>
            <w:tcW w:w="7760" w:type="dxa"/>
            <w:vAlign w:val="bottom"/>
            <w:gridSpan w:val="4"/>
            <w:shd w:val="clear" w:color="auto" w:fill="E5E5E5"/>
          </w:tcPr>
          <w:p>
            <w:pPr>
              <w:ind w:left="20"/>
              <w:spacing w:after="0" w:line="163" w:lineRule="exact"/>
              <w:rPr>
                <w:sz w:val="20"/>
                <w:szCs w:val="20"/>
                <w:color w:val="auto"/>
              </w:rPr>
            </w:pPr>
            <w:r>
              <w:rPr>
                <w:rFonts w:ascii="Arial" w:cs="Arial" w:eastAsia="Arial" w:hAnsi="Arial"/>
                <w:sz w:val="16"/>
                <w:szCs w:val="16"/>
                <w:color w:val="auto"/>
              </w:rPr>
              <w:t>The Vanguard Group (3)</w:t>
            </w:r>
          </w:p>
        </w:tc>
        <w:tc>
          <w:tcPr>
            <w:tcW w:w="16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r>
      <w:tr>
        <w:trPr>
          <w:trHeight w:val="230"/>
        </w:trPr>
        <w:tc>
          <w:tcPr>
            <w:tcW w:w="7760" w:type="dxa"/>
            <w:vAlign w:val="bottom"/>
            <w:gridSpan w:val="4"/>
            <w:shd w:val="clear" w:color="auto" w:fill="E5E5E5"/>
          </w:tcPr>
          <w:p>
            <w:pPr>
              <w:ind w:left="20"/>
              <w:spacing w:after="0"/>
              <w:rPr>
                <w:sz w:val="20"/>
                <w:szCs w:val="20"/>
                <w:color w:val="auto"/>
              </w:rPr>
            </w:pPr>
            <w:r>
              <w:rPr>
                <w:rFonts w:ascii="Arial" w:cs="Arial" w:eastAsia="Arial" w:hAnsi="Arial"/>
                <w:sz w:val="16"/>
                <w:szCs w:val="16"/>
                <w:color w:val="auto"/>
              </w:rPr>
              <w:t>100 Vanguard Blvd., Malvern, PA 19355</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9,358,719</w:t>
            </w:r>
          </w:p>
        </w:tc>
        <w:tc>
          <w:tcPr>
            <w:tcW w:w="10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9.5%</w:t>
            </w:r>
          </w:p>
        </w:tc>
      </w:tr>
      <w:tr>
        <w:trPr>
          <w:trHeight w:val="175"/>
        </w:trPr>
        <w:tc>
          <w:tcPr>
            <w:tcW w:w="776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Named Executive Officers and Directors</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Christopher Anzalone (4)</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3,720,714</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3.5%</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Kenneth Myszkowski</w:t>
            </w:r>
          </w:p>
        </w:tc>
        <w:tc>
          <w:tcPr>
            <w:tcW w:w="1680" w:type="dxa"/>
            <w:vAlign w:val="bottom"/>
          </w:tcPr>
          <w:p>
            <w:pPr>
              <w:jc w:val="right"/>
              <w:spacing w:after="0"/>
              <w:rPr>
                <w:sz w:val="20"/>
                <w:szCs w:val="20"/>
                <w:color w:val="auto"/>
              </w:rPr>
            </w:pPr>
            <w:r>
              <w:rPr>
                <w:rFonts w:ascii="Arial" w:cs="Arial" w:eastAsia="Arial" w:hAnsi="Arial"/>
                <w:sz w:val="16"/>
                <w:szCs w:val="16"/>
                <w:color w:val="auto"/>
              </w:rPr>
              <w:t>396,704</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Patrick O’Brien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413,375</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Javier San Martin</w:t>
            </w:r>
          </w:p>
        </w:tc>
        <w:tc>
          <w:tcPr>
            <w:tcW w:w="1680" w:type="dxa"/>
            <w:vAlign w:val="bottom"/>
          </w:tcPr>
          <w:p>
            <w:pPr>
              <w:jc w:val="right"/>
              <w:spacing w:after="0"/>
              <w:rPr>
                <w:sz w:val="20"/>
                <w:szCs w:val="20"/>
                <w:color w:val="auto"/>
              </w:rPr>
            </w:pPr>
            <w:r>
              <w:rPr>
                <w:rFonts w:ascii="Arial" w:cs="Arial" w:eastAsia="Arial" w:hAnsi="Arial"/>
                <w:sz w:val="16"/>
                <w:szCs w:val="16"/>
                <w:color w:val="auto"/>
              </w:rPr>
              <w:t>151,500</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James Hamilton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191,484</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Tracie Oliver</w:t>
            </w:r>
          </w:p>
        </w:tc>
        <w:tc>
          <w:tcPr>
            <w:tcW w:w="1680" w:type="dxa"/>
            <w:vAlign w:val="bottom"/>
          </w:tcPr>
          <w:p>
            <w:pPr>
              <w:jc w:val="right"/>
              <w:spacing w:after="0"/>
              <w:rPr>
                <w:sz w:val="20"/>
                <w:szCs w:val="20"/>
                <w:color w:val="auto"/>
              </w:rPr>
            </w:pPr>
            <w:r>
              <w:rPr>
                <w:rFonts w:ascii="Arial" w:cs="Arial" w:eastAsia="Arial" w:hAnsi="Arial"/>
                <w:sz w:val="16"/>
                <w:szCs w:val="16"/>
                <w:color w:val="auto"/>
              </w:rPr>
              <w:t>70,500</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Douglass Given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124,135</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Michael S. Perry</w:t>
            </w:r>
          </w:p>
        </w:tc>
        <w:tc>
          <w:tcPr>
            <w:tcW w:w="1680" w:type="dxa"/>
            <w:vAlign w:val="bottom"/>
          </w:tcPr>
          <w:p>
            <w:pPr>
              <w:jc w:val="right"/>
              <w:spacing w:after="0"/>
              <w:rPr>
                <w:sz w:val="20"/>
                <w:szCs w:val="20"/>
                <w:color w:val="auto"/>
              </w:rPr>
            </w:pPr>
            <w:r>
              <w:rPr>
                <w:rFonts w:ascii="Arial" w:cs="Arial" w:eastAsia="Arial" w:hAnsi="Arial"/>
                <w:sz w:val="16"/>
                <w:szCs w:val="16"/>
                <w:color w:val="auto"/>
              </w:rPr>
              <w:t>99,767</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Mauro Ferrari</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50,838</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William Waddill</w:t>
            </w:r>
          </w:p>
        </w:tc>
        <w:tc>
          <w:tcPr>
            <w:tcW w:w="1680" w:type="dxa"/>
            <w:vAlign w:val="bottom"/>
          </w:tcPr>
          <w:p>
            <w:pPr>
              <w:jc w:val="right"/>
              <w:spacing w:after="0"/>
              <w:rPr>
                <w:sz w:val="20"/>
                <w:szCs w:val="20"/>
                <w:color w:val="auto"/>
              </w:rPr>
            </w:pPr>
            <w:r>
              <w:rPr>
                <w:rFonts w:ascii="Arial" w:cs="Arial" w:eastAsia="Arial" w:hAnsi="Arial"/>
                <w:sz w:val="16"/>
                <w:szCs w:val="16"/>
                <w:color w:val="auto"/>
              </w:rPr>
              <w:t>36,817</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Marianne De Backer</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31,267</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Adeoye Olukotun</w:t>
            </w:r>
          </w:p>
        </w:tc>
        <w:tc>
          <w:tcPr>
            <w:tcW w:w="1680" w:type="dxa"/>
            <w:vAlign w:val="bottom"/>
          </w:tcPr>
          <w:p>
            <w:pPr>
              <w:jc w:val="right"/>
              <w:spacing w:after="0"/>
              <w:rPr>
                <w:sz w:val="20"/>
                <w:szCs w:val="20"/>
                <w:color w:val="auto"/>
              </w:rPr>
            </w:pPr>
            <w:r>
              <w:rPr>
                <w:rFonts w:ascii="Arial" w:cs="Arial" w:eastAsia="Arial" w:hAnsi="Arial"/>
                <w:sz w:val="16"/>
                <w:szCs w:val="16"/>
                <w:color w:val="auto"/>
              </w:rPr>
              <w:t>19,217</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Victoria Vakiener</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23,284</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Borders>
              <w:bottom w:val="single" w:sz="8" w:color="0071CE"/>
            </w:tcBorders>
          </w:tcPr>
          <w:p>
            <w:pPr>
              <w:spacing w:after="0"/>
              <w:rPr>
                <w:sz w:val="18"/>
                <w:szCs w:val="18"/>
                <w:color w:val="auto"/>
              </w:rPr>
            </w:pPr>
          </w:p>
        </w:tc>
        <w:tc>
          <w:tcPr>
            <w:tcW w:w="7740" w:type="dxa"/>
            <w:vAlign w:val="bottom"/>
            <w:tcBorders>
              <w:bottom w:val="single" w:sz="8" w:color="0071CE"/>
            </w:tcBorders>
            <w:gridSpan w:val="3"/>
          </w:tcPr>
          <w:p>
            <w:pPr>
              <w:ind w:left="420"/>
              <w:spacing w:after="0"/>
              <w:rPr>
                <w:sz w:val="20"/>
                <w:szCs w:val="20"/>
                <w:color w:val="auto"/>
              </w:rPr>
            </w:pPr>
            <w:r>
              <w:rPr>
                <w:rFonts w:ascii="Arial" w:cs="Arial" w:eastAsia="Arial" w:hAnsi="Arial"/>
                <w:sz w:val="16"/>
                <w:szCs w:val="16"/>
                <w:color w:val="auto"/>
              </w:rPr>
              <w:t>All Executive Officers and Directors as a group (11 persons)</w:t>
            </w:r>
          </w:p>
        </w:tc>
        <w:tc>
          <w:tcPr>
            <w:tcW w:w="1680" w:type="dxa"/>
            <w:vAlign w:val="bottom"/>
            <w:tcBorders>
              <w:bottom w:val="single" w:sz="8" w:color="3051F2"/>
            </w:tcBorders>
          </w:tcPr>
          <w:p>
            <w:pPr>
              <w:jc w:val="right"/>
              <w:spacing w:after="0"/>
              <w:rPr>
                <w:sz w:val="20"/>
                <w:szCs w:val="20"/>
                <w:color w:val="auto"/>
              </w:rPr>
            </w:pPr>
            <w:r>
              <w:rPr>
                <w:rFonts w:ascii="Arial" w:cs="Arial" w:eastAsia="Arial" w:hAnsi="Arial"/>
                <w:sz w:val="16"/>
                <w:szCs w:val="16"/>
                <w:color w:val="auto"/>
              </w:rPr>
              <w:t>5,329,602</w:t>
            </w:r>
          </w:p>
        </w:tc>
        <w:tc>
          <w:tcPr>
            <w:tcW w:w="100" w:type="dxa"/>
            <w:vAlign w:val="bottom"/>
            <w:tcBorders>
              <w:bottom w:val="single" w:sz="8" w:color="0071CE"/>
            </w:tcBorders>
          </w:tcPr>
          <w:p>
            <w:pPr>
              <w:spacing w:after="0"/>
              <w:rPr>
                <w:sz w:val="18"/>
                <w:szCs w:val="18"/>
                <w:color w:val="auto"/>
              </w:rPr>
            </w:pPr>
          </w:p>
        </w:tc>
        <w:tc>
          <w:tcPr>
            <w:tcW w:w="1680" w:type="dxa"/>
            <w:vAlign w:val="bottom"/>
            <w:tcBorders>
              <w:bottom w:val="single" w:sz="8" w:color="3051F2"/>
            </w:tcBorders>
          </w:tcPr>
          <w:p>
            <w:pPr>
              <w:jc w:val="right"/>
              <w:ind w:right="160"/>
              <w:spacing w:after="0"/>
              <w:rPr>
                <w:sz w:val="20"/>
                <w:szCs w:val="20"/>
                <w:color w:val="auto"/>
              </w:rPr>
            </w:pPr>
            <w:r>
              <w:rPr>
                <w:rFonts w:ascii="Arial" w:cs="Arial" w:eastAsia="Arial" w:hAnsi="Arial"/>
                <w:sz w:val="16"/>
                <w:szCs w:val="16"/>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-2871470</wp:posOffset>
            </wp:positionV>
            <wp:extent cx="21945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46"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340" w:right="20" w:hanging="332"/>
        <w:spacing w:after="0" w:line="273"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106,624,931 shares of Common Stock issued and outstanding as of January 10, 2023. Shares not outstanding but deemed beneficially owned by virtue of the right of a person to acquire them as of January 10, 2023, or within sixty days of such date are treated as outstanding only when determining the percentage owned by such individual and when determining the percentage owned by a group.</w:t>
      </w:r>
    </w:p>
    <w:p>
      <w:pPr>
        <w:spacing w:after="0" w:line="71" w:lineRule="exact"/>
        <w:rPr>
          <w:rFonts w:ascii="Arial" w:cs="Arial" w:eastAsia="Arial" w:hAnsi="Arial"/>
          <w:sz w:val="14"/>
          <w:szCs w:val="14"/>
          <w:color w:val="auto"/>
        </w:rPr>
      </w:pPr>
    </w:p>
    <w:p>
      <w:pPr>
        <w:ind w:left="340" w:right="80" w:hanging="332"/>
        <w:spacing w:after="0" w:line="273"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Amendment No. 5 to Schedule 13G/A filed January 27, 2022 by BlackRock Inc.. According to Amendment No. 5, BlackRock Inc. has sole voting power and sole dispositive power over 11,860,689 shares and 12,008,063 shares, respectively, and has shared voting power and shared dispositive power over 0 shares and 0 shares, respectively.</w:t>
      </w:r>
    </w:p>
    <w:p>
      <w:pPr>
        <w:spacing w:after="0" w:line="71" w:lineRule="exact"/>
        <w:rPr>
          <w:rFonts w:ascii="Arial" w:cs="Arial" w:eastAsia="Arial" w:hAnsi="Arial"/>
          <w:sz w:val="14"/>
          <w:szCs w:val="14"/>
          <w:color w:val="auto"/>
        </w:rPr>
      </w:pPr>
    </w:p>
    <w:p>
      <w:pPr>
        <w:ind w:left="340" w:right="100" w:hanging="332"/>
        <w:spacing w:after="0" w:line="305"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Amendment No. 3 to Schedule 13G/A filed February 09, 2022. According to Amendment No. 3, The Vanguard Group has sole voting power and sole dispositive power over 0 and 9,358,719 shares, respectively, and has shared voting power and shared dispositive power over 191,955 shares and 281,424 shares, respectively.</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0 shares issuable upon the exercise of stock options that are exercisable within 60 days of January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735330</wp:posOffset>
            </wp:positionV>
            <wp:extent cx="9861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71CE"/>
        </w:rPr>
        <w:t>59</w:t>
      </w:r>
    </w:p>
    <w:p>
      <w:pPr>
        <w:sectPr>
          <w:pgSz w:w="11900" w:h="16838" w:orient="portrait"/>
          <w:cols w:equalWidth="0" w:num="1">
            <w:col w:w="11220"/>
          </w:cols>
          <w:pgMar w:left="320" w:top="212"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0071CE"/>
        </w:rPr>
        <w:t>2023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3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provides information as of September 30, 2022 with respect to shares of our Common Stock that may be issued under our equity compensation plans.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80" w:type="dxa"/>
            <w:vAlign w:val="bottom"/>
            <w:shd w:val="clear" w:color="auto" w:fill="0071CE"/>
          </w:tcPr>
          <w:p>
            <w:pPr>
              <w:spacing w:after="0"/>
              <w:rPr>
                <w:sz w:val="20"/>
                <w:szCs w:val="20"/>
                <w:color w:val="auto"/>
              </w:rPr>
            </w:pPr>
          </w:p>
        </w:tc>
        <w:tc>
          <w:tcPr>
            <w:tcW w:w="5340" w:type="dxa"/>
            <w:vAlign w:val="bottom"/>
            <w:gridSpan w:val="3"/>
            <w:shd w:val="clear" w:color="auto" w:fill="0071CE"/>
          </w:tcPr>
          <w:p>
            <w:pPr>
              <w:jc w:val="right"/>
              <w:ind w:right="1264"/>
              <w:spacing w:after="0"/>
              <w:rPr>
                <w:sz w:val="20"/>
                <w:szCs w:val="20"/>
                <w:color w:val="auto"/>
              </w:rPr>
            </w:pPr>
            <w:r>
              <w:rPr>
                <w:rFonts w:ascii="Arial" w:cs="Arial" w:eastAsia="Arial" w:hAnsi="Arial"/>
                <w:sz w:val="14"/>
                <w:szCs w:val="14"/>
                <w:b w:val="1"/>
                <w:bCs w:val="1"/>
                <w:color w:val="FFFFFF"/>
              </w:rPr>
              <w:t>Equity Compensation Plan Information</w:t>
            </w:r>
          </w:p>
        </w:tc>
        <w:tc>
          <w:tcPr>
            <w:tcW w:w="0" w:type="dxa"/>
            <w:vAlign w:val="bottom"/>
          </w:tcPr>
          <w:p>
            <w:pPr>
              <w:spacing w:after="0"/>
              <w:rPr>
                <w:sz w:val="1"/>
                <w:szCs w:val="1"/>
                <w:color w:val="auto"/>
              </w:rPr>
            </w:pPr>
          </w:p>
        </w:tc>
      </w:tr>
      <w:tr>
        <w:trPr>
          <w:trHeight w:val="218"/>
        </w:trPr>
        <w:tc>
          <w:tcPr>
            <w:tcW w:w="5880" w:type="dxa"/>
            <w:vAlign w:val="bottom"/>
            <w:shd w:val="clear" w:color="auto" w:fill="0071CE"/>
          </w:tcPr>
          <w:p>
            <w:pPr>
              <w:spacing w:after="0"/>
              <w:rPr>
                <w:sz w:val="18"/>
                <w:szCs w:val="18"/>
                <w:color w:val="auto"/>
              </w:rPr>
            </w:pPr>
          </w:p>
        </w:tc>
        <w:tc>
          <w:tcPr>
            <w:tcW w:w="1780" w:type="dxa"/>
            <w:vAlign w:val="bottom"/>
            <w:shd w:val="clear" w:color="auto" w:fill="0071CE"/>
          </w:tcPr>
          <w:p>
            <w:pPr>
              <w:spacing w:after="0"/>
              <w:rPr>
                <w:sz w:val="18"/>
                <w:szCs w:val="18"/>
                <w:color w:val="auto"/>
              </w:rPr>
            </w:pPr>
          </w:p>
        </w:tc>
        <w:tc>
          <w:tcPr>
            <w:tcW w:w="1680" w:type="dxa"/>
            <w:vAlign w:val="bottom"/>
            <w:shd w:val="clear" w:color="auto" w:fill="0071CE"/>
          </w:tcPr>
          <w:p>
            <w:pPr>
              <w:spacing w:after="0"/>
              <w:rPr>
                <w:sz w:val="18"/>
                <w:szCs w:val="18"/>
                <w:color w:val="auto"/>
              </w:rPr>
            </w:pPr>
          </w:p>
        </w:tc>
        <w:tc>
          <w:tcPr>
            <w:tcW w:w="1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39"/>
        </w:trPr>
        <w:tc>
          <w:tcPr>
            <w:tcW w:w="5880" w:type="dxa"/>
            <w:vAlign w:val="bottom"/>
            <w:shd w:val="clear" w:color="auto" w:fill="0071CE"/>
          </w:tcPr>
          <w:p>
            <w:pPr>
              <w:spacing w:after="0"/>
              <w:rPr>
                <w:sz w:val="12"/>
                <w:szCs w:val="12"/>
                <w:color w:val="auto"/>
              </w:rPr>
            </w:pPr>
          </w:p>
        </w:tc>
        <w:tc>
          <w:tcPr>
            <w:tcW w:w="1780" w:type="dxa"/>
            <w:vAlign w:val="bottom"/>
            <w:vMerge w:val="restart"/>
            <w:shd w:val="clear" w:color="auto" w:fill="0071CE"/>
          </w:tcPr>
          <w:p>
            <w:pPr>
              <w:jc w:val="center"/>
              <w:ind w:right="24"/>
              <w:spacing w:after="0"/>
              <w:rPr>
                <w:sz w:val="20"/>
                <w:szCs w:val="20"/>
                <w:color w:val="auto"/>
              </w:rPr>
            </w:pPr>
            <w:r>
              <w:rPr>
                <w:rFonts w:ascii="Arial" w:cs="Arial" w:eastAsia="Arial" w:hAnsi="Arial"/>
                <w:sz w:val="14"/>
                <w:szCs w:val="14"/>
                <w:b w:val="1"/>
                <w:bCs w:val="1"/>
                <w:color w:val="FFFFFF"/>
              </w:rPr>
              <w:t>Number of</w:t>
            </w:r>
          </w:p>
        </w:tc>
        <w:tc>
          <w:tcPr>
            <w:tcW w:w="1680" w:type="dxa"/>
            <w:vAlign w:val="bottom"/>
            <w:shd w:val="clear" w:color="auto" w:fill="0071CE"/>
          </w:tcPr>
          <w:p>
            <w:pPr>
              <w:spacing w:after="0"/>
              <w:rPr>
                <w:sz w:val="12"/>
                <w:szCs w:val="12"/>
                <w:color w:val="auto"/>
              </w:rPr>
            </w:pPr>
          </w:p>
        </w:tc>
        <w:tc>
          <w:tcPr>
            <w:tcW w:w="1880" w:type="dxa"/>
            <w:vAlign w:val="bottom"/>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securities</w:t>
            </w:r>
          </w:p>
        </w:tc>
        <w:tc>
          <w:tcPr>
            <w:tcW w:w="0" w:type="dxa"/>
            <w:vAlign w:val="bottom"/>
          </w:tcPr>
          <w:p>
            <w:pPr>
              <w:spacing w:after="0"/>
              <w:rPr>
                <w:sz w:val="1"/>
                <w:szCs w:val="1"/>
                <w:color w:val="auto"/>
              </w:rPr>
            </w:pPr>
          </w:p>
        </w:tc>
      </w:tr>
      <w:tr>
        <w:trPr>
          <w:trHeight w:val="81"/>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remaining</w:t>
            </w:r>
          </w:p>
        </w:tc>
        <w:tc>
          <w:tcPr>
            <w:tcW w:w="0" w:type="dxa"/>
            <w:vAlign w:val="bottom"/>
          </w:tcPr>
          <w:p>
            <w:pPr>
              <w:spacing w:after="0"/>
              <w:rPr>
                <w:sz w:val="1"/>
                <w:szCs w:val="1"/>
                <w:color w:val="auto"/>
              </w:rPr>
            </w:pPr>
          </w:p>
        </w:tc>
      </w:tr>
      <w:tr>
        <w:trPr>
          <w:trHeight w:val="68"/>
        </w:trPr>
        <w:tc>
          <w:tcPr>
            <w:tcW w:w="5880" w:type="dxa"/>
            <w:vAlign w:val="bottom"/>
            <w:shd w:val="clear" w:color="auto" w:fill="0071CE"/>
          </w:tcPr>
          <w:p>
            <w:pPr>
              <w:spacing w:after="0"/>
              <w:rPr>
                <w:sz w:val="5"/>
                <w:szCs w:val="5"/>
                <w:color w:val="auto"/>
              </w:rPr>
            </w:pPr>
          </w:p>
        </w:tc>
        <w:tc>
          <w:tcPr>
            <w:tcW w:w="1780" w:type="dxa"/>
            <w:vAlign w:val="bottom"/>
            <w:vMerge w:val="restart"/>
            <w:shd w:val="clear" w:color="auto" w:fill="0071CE"/>
          </w:tcPr>
          <w:p>
            <w:pPr>
              <w:jc w:val="center"/>
              <w:ind w:right="24"/>
              <w:spacing w:after="0" w:line="145" w:lineRule="exact"/>
              <w:rPr>
                <w:sz w:val="20"/>
                <w:szCs w:val="20"/>
                <w:color w:val="auto"/>
              </w:rPr>
            </w:pPr>
            <w:r>
              <w:rPr>
                <w:rFonts w:ascii="Arial" w:cs="Arial" w:eastAsia="Arial" w:hAnsi="Arial"/>
                <w:sz w:val="14"/>
                <w:szCs w:val="14"/>
                <w:b w:val="1"/>
                <w:bCs w:val="1"/>
                <w:color w:val="FFFFFF"/>
              </w:rPr>
              <w:t>Shares to</w:t>
            </w:r>
          </w:p>
        </w:tc>
        <w:tc>
          <w:tcPr>
            <w:tcW w:w="1680" w:type="dxa"/>
            <w:vAlign w:val="bottom"/>
            <w:shd w:val="clear" w:color="auto" w:fill="0071CE"/>
          </w:tcPr>
          <w:p>
            <w:pPr>
              <w:spacing w:after="0"/>
              <w:rPr>
                <w:sz w:val="5"/>
                <w:szCs w:val="5"/>
                <w:color w:val="auto"/>
              </w:rPr>
            </w:pPr>
          </w:p>
        </w:tc>
        <w:tc>
          <w:tcPr>
            <w:tcW w:w="18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5880" w:type="dxa"/>
            <w:vAlign w:val="bottom"/>
            <w:shd w:val="clear" w:color="auto" w:fill="0071CE"/>
          </w:tcPr>
          <w:p>
            <w:pPr>
              <w:spacing w:after="0"/>
              <w:rPr>
                <w:sz w:val="6"/>
                <w:szCs w:val="6"/>
                <w:color w:val="auto"/>
              </w:rPr>
            </w:pPr>
          </w:p>
        </w:tc>
        <w:tc>
          <w:tcPr>
            <w:tcW w:w="1780" w:type="dxa"/>
            <w:vAlign w:val="bottom"/>
            <w:vMerge w:val="continue"/>
            <w:shd w:val="clear" w:color="auto" w:fill="0071CE"/>
          </w:tcPr>
          <w:p>
            <w:pPr>
              <w:spacing w:after="0"/>
              <w:rPr>
                <w:sz w:val="6"/>
                <w:szCs w:val="6"/>
                <w:color w:val="auto"/>
              </w:rPr>
            </w:pPr>
          </w:p>
        </w:tc>
        <w:tc>
          <w:tcPr>
            <w:tcW w:w="1680" w:type="dxa"/>
            <w:vAlign w:val="bottom"/>
            <w:shd w:val="clear" w:color="auto" w:fill="0071CE"/>
          </w:tcPr>
          <w:p>
            <w:pPr>
              <w:spacing w:after="0"/>
              <w:rPr>
                <w:sz w:val="6"/>
                <w:szCs w:val="6"/>
                <w:color w:val="auto"/>
              </w:rPr>
            </w:pPr>
          </w:p>
        </w:tc>
        <w:tc>
          <w:tcPr>
            <w:tcW w:w="1880" w:type="dxa"/>
            <w:vAlign w:val="bottom"/>
            <w:vMerge w:val="restart"/>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available for</w:t>
            </w:r>
          </w:p>
        </w:tc>
        <w:tc>
          <w:tcPr>
            <w:tcW w:w="0" w:type="dxa"/>
            <w:vAlign w:val="bottom"/>
          </w:tcPr>
          <w:p>
            <w:pPr>
              <w:spacing w:after="0"/>
              <w:rPr>
                <w:sz w:val="1"/>
                <w:szCs w:val="1"/>
                <w:color w:val="auto"/>
              </w:rPr>
            </w:pPr>
          </w:p>
        </w:tc>
      </w:tr>
      <w:tr>
        <w:trPr>
          <w:trHeight w:val="68"/>
        </w:trPr>
        <w:tc>
          <w:tcPr>
            <w:tcW w:w="5880" w:type="dxa"/>
            <w:vAlign w:val="bottom"/>
            <w:shd w:val="clear" w:color="auto" w:fill="0071CE"/>
          </w:tcPr>
          <w:p>
            <w:pPr>
              <w:spacing w:after="0"/>
              <w:rPr>
                <w:sz w:val="5"/>
                <w:szCs w:val="5"/>
                <w:color w:val="auto"/>
              </w:rPr>
            </w:pPr>
          </w:p>
        </w:tc>
        <w:tc>
          <w:tcPr>
            <w:tcW w:w="1780" w:type="dxa"/>
            <w:vAlign w:val="bottom"/>
            <w:vMerge w:val="restart"/>
            <w:shd w:val="clear" w:color="auto" w:fill="0071CE"/>
          </w:tcPr>
          <w:p>
            <w:pPr>
              <w:jc w:val="center"/>
              <w:ind w:right="24"/>
              <w:spacing w:after="0" w:line="149" w:lineRule="exact"/>
              <w:rPr>
                <w:sz w:val="20"/>
                <w:szCs w:val="20"/>
                <w:color w:val="auto"/>
              </w:rPr>
            </w:pPr>
            <w:r>
              <w:rPr>
                <w:rFonts w:ascii="Arial" w:cs="Arial" w:eastAsia="Arial" w:hAnsi="Arial"/>
                <w:sz w:val="14"/>
                <w:szCs w:val="14"/>
                <w:b w:val="1"/>
                <w:bCs w:val="1"/>
                <w:color w:val="FFFFFF"/>
              </w:rPr>
              <w:t>be Issued</w:t>
            </w:r>
          </w:p>
        </w:tc>
        <w:tc>
          <w:tcPr>
            <w:tcW w:w="168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Weighted</w:t>
            </w:r>
          </w:p>
        </w:tc>
        <w:tc>
          <w:tcPr>
            <w:tcW w:w="18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vMerge w:val="continue"/>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future issuance</w:t>
            </w:r>
          </w:p>
        </w:tc>
        <w:tc>
          <w:tcPr>
            <w:tcW w:w="0" w:type="dxa"/>
            <w:vAlign w:val="bottom"/>
          </w:tcPr>
          <w:p>
            <w:pPr>
              <w:spacing w:after="0"/>
              <w:rPr>
                <w:sz w:val="1"/>
                <w:szCs w:val="1"/>
                <w:color w:val="auto"/>
              </w:rPr>
            </w:pPr>
          </w:p>
        </w:tc>
      </w:tr>
      <w:tr>
        <w:trPr>
          <w:trHeight w:val="58"/>
        </w:trPr>
        <w:tc>
          <w:tcPr>
            <w:tcW w:w="5880" w:type="dxa"/>
            <w:vAlign w:val="bottom"/>
            <w:shd w:val="clear" w:color="auto" w:fill="0071CE"/>
          </w:tcPr>
          <w:p>
            <w:pPr>
              <w:spacing w:after="0"/>
              <w:rPr>
                <w:sz w:val="5"/>
                <w:szCs w:val="5"/>
                <w:color w:val="auto"/>
              </w:rPr>
            </w:pPr>
          </w:p>
        </w:tc>
        <w:tc>
          <w:tcPr>
            <w:tcW w:w="1780" w:type="dxa"/>
            <w:vAlign w:val="bottom"/>
            <w:vMerge w:val="restart"/>
            <w:shd w:val="clear" w:color="auto" w:fill="0071CE"/>
          </w:tcPr>
          <w:p>
            <w:pPr>
              <w:jc w:val="center"/>
              <w:ind w:right="24"/>
              <w:spacing w:after="0" w:line="149" w:lineRule="exact"/>
              <w:rPr>
                <w:sz w:val="20"/>
                <w:szCs w:val="20"/>
                <w:color w:val="auto"/>
              </w:rPr>
            </w:pPr>
            <w:r>
              <w:rPr>
                <w:rFonts w:ascii="Arial" w:cs="Arial" w:eastAsia="Arial" w:hAnsi="Arial"/>
                <w:sz w:val="14"/>
                <w:szCs w:val="14"/>
                <w:b w:val="1"/>
                <w:bCs w:val="1"/>
                <w:color w:val="FFFFFF"/>
              </w:rPr>
              <w:t>upon</w:t>
            </w:r>
          </w:p>
        </w:tc>
        <w:tc>
          <w:tcPr>
            <w:tcW w:w="168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w:t>
            </w:r>
          </w:p>
        </w:tc>
        <w:tc>
          <w:tcPr>
            <w:tcW w:w="18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vMerge w:val="continue"/>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under equity</w:t>
            </w:r>
          </w:p>
        </w:tc>
        <w:tc>
          <w:tcPr>
            <w:tcW w:w="0" w:type="dxa"/>
            <w:vAlign w:val="bottom"/>
          </w:tcPr>
          <w:p>
            <w:pPr>
              <w:spacing w:after="0"/>
              <w:rPr>
                <w:sz w:val="1"/>
                <w:szCs w:val="1"/>
                <w:color w:val="auto"/>
              </w:rPr>
            </w:pPr>
          </w:p>
        </w:tc>
      </w:tr>
      <w:tr>
        <w:trPr>
          <w:trHeight w:val="54"/>
        </w:trPr>
        <w:tc>
          <w:tcPr>
            <w:tcW w:w="5880" w:type="dxa"/>
            <w:vAlign w:val="bottom"/>
            <w:shd w:val="clear" w:color="auto" w:fill="0071CE"/>
          </w:tcPr>
          <w:p>
            <w:pPr>
              <w:spacing w:after="0"/>
              <w:rPr>
                <w:sz w:val="4"/>
                <w:szCs w:val="4"/>
                <w:color w:val="auto"/>
              </w:rPr>
            </w:pPr>
          </w:p>
        </w:tc>
        <w:tc>
          <w:tcPr>
            <w:tcW w:w="1780" w:type="dxa"/>
            <w:vAlign w:val="bottom"/>
            <w:vMerge w:val="restart"/>
            <w:shd w:val="clear" w:color="auto" w:fill="0071CE"/>
          </w:tcPr>
          <w:p>
            <w:pPr>
              <w:jc w:val="center"/>
              <w:ind w:right="24"/>
              <w:spacing w:after="0" w:line="135" w:lineRule="exact"/>
              <w:rPr>
                <w:sz w:val="20"/>
                <w:szCs w:val="20"/>
                <w:color w:val="auto"/>
              </w:rPr>
            </w:pPr>
            <w:r>
              <w:rPr>
                <w:rFonts w:ascii="Arial" w:cs="Arial" w:eastAsia="Arial" w:hAnsi="Arial"/>
                <w:sz w:val="14"/>
                <w:szCs w:val="14"/>
                <w:b w:val="1"/>
                <w:bCs w:val="1"/>
                <w:color w:val="FFFFFF"/>
              </w:rPr>
              <w:t>exercise of</w:t>
            </w:r>
          </w:p>
        </w:tc>
        <w:tc>
          <w:tcPr>
            <w:tcW w:w="1680" w:type="dxa"/>
            <w:vAlign w:val="bottom"/>
            <w:vMerge w:val="restart"/>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exercise price</w:t>
            </w:r>
          </w:p>
        </w:tc>
        <w:tc>
          <w:tcPr>
            <w:tcW w:w="188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vMerge w:val="continue"/>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58"/>
        </w:trPr>
        <w:tc>
          <w:tcPr>
            <w:tcW w:w="5880" w:type="dxa"/>
            <w:vAlign w:val="bottom"/>
            <w:shd w:val="clear" w:color="auto" w:fill="0071CE"/>
          </w:tcPr>
          <w:p>
            <w:pPr>
              <w:spacing w:after="0"/>
              <w:rPr>
                <w:sz w:val="5"/>
                <w:szCs w:val="5"/>
                <w:color w:val="auto"/>
              </w:rPr>
            </w:pPr>
          </w:p>
        </w:tc>
        <w:tc>
          <w:tcPr>
            <w:tcW w:w="1780" w:type="dxa"/>
            <w:vAlign w:val="bottom"/>
            <w:vMerge w:val="restart"/>
            <w:shd w:val="clear" w:color="auto" w:fill="0071CE"/>
          </w:tcPr>
          <w:p>
            <w:pPr>
              <w:jc w:val="center"/>
              <w:ind w:right="24"/>
              <w:spacing w:after="0" w:line="149" w:lineRule="exact"/>
              <w:rPr>
                <w:sz w:val="20"/>
                <w:szCs w:val="20"/>
                <w:color w:val="auto"/>
              </w:rPr>
            </w:pPr>
            <w:r>
              <w:rPr>
                <w:rFonts w:ascii="Arial" w:cs="Arial" w:eastAsia="Arial" w:hAnsi="Arial"/>
                <w:sz w:val="14"/>
                <w:szCs w:val="14"/>
                <w:b w:val="1"/>
                <w:bCs w:val="1"/>
                <w:color w:val="FFFFFF"/>
              </w:rPr>
              <w:t>outstanding</w:t>
            </w:r>
          </w:p>
        </w:tc>
        <w:tc>
          <w:tcPr>
            <w:tcW w:w="168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of outstanding</w:t>
            </w:r>
          </w:p>
        </w:tc>
        <w:tc>
          <w:tcPr>
            <w:tcW w:w="18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vMerge w:val="continue"/>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plans (excluding</w:t>
            </w:r>
          </w:p>
        </w:tc>
        <w:tc>
          <w:tcPr>
            <w:tcW w:w="0" w:type="dxa"/>
            <w:vAlign w:val="bottom"/>
          </w:tcPr>
          <w:p>
            <w:pPr>
              <w:spacing w:after="0"/>
              <w:rPr>
                <w:sz w:val="1"/>
                <w:szCs w:val="1"/>
                <w:color w:val="auto"/>
              </w:rPr>
            </w:pPr>
          </w:p>
        </w:tc>
      </w:tr>
      <w:tr>
        <w:trPr>
          <w:trHeight w:val="58"/>
        </w:trPr>
        <w:tc>
          <w:tcPr>
            <w:tcW w:w="5880" w:type="dxa"/>
            <w:vAlign w:val="bottom"/>
            <w:shd w:val="clear" w:color="auto" w:fill="0071CE"/>
          </w:tcPr>
          <w:p>
            <w:pPr>
              <w:spacing w:after="0"/>
              <w:rPr>
                <w:sz w:val="5"/>
                <w:szCs w:val="5"/>
                <w:color w:val="auto"/>
              </w:rPr>
            </w:pPr>
          </w:p>
        </w:tc>
        <w:tc>
          <w:tcPr>
            <w:tcW w:w="1780" w:type="dxa"/>
            <w:vAlign w:val="bottom"/>
            <w:vMerge w:val="restart"/>
            <w:shd w:val="clear" w:color="auto" w:fill="0071CE"/>
          </w:tcPr>
          <w:p>
            <w:pPr>
              <w:jc w:val="center"/>
              <w:ind w:right="24"/>
              <w:spacing w:after="0" w:line="149" w:lineRule="exact"/>
              <w:rPr>
                <w:sz w:val="20"/>
                <w:szCs w:val="20"/>
                <w:color w:val="auto"/>
              </w:rPr>
            </w:pPr>
            <w:r>
              <w:rPr>
                <w:rFonts w:ascii="Arial" w:cs="Arial" w:eastAsia="Arial" w:hAnsi="Arial"/>
                <w:sz w:val="14"/>
                <w:szCs w:val="14"/>
                <w:b w:val="1"/>
                <w:bCs w:val="1"/>
                <w:color w:val="FFFFFF"/>
              </w:rPr>
              <w:t>options,</w:t>
            </w:r>
          </w:p>
        </w:tc>
        <w:tc>
          <w:tcPr>
            <w:tcW w:w="168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options,</w:t>
            </w:r>
          </w:p>
        </w:tc>
        <w:tc>
          <w:tcPr>
            <w:tcW w:w="18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vMerge w:val="continue"/>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securities</w:t>
            </w:r>
          </w:p>
        </w:tc>
        <w:tc>
          <w:tcPr>
            <w:tcW w:w="0" w:type="dxa"/>
            <w:vAlign w:val="bottom"/>
          </w:tcPr>
          <w:p>
            <w:pPr>
              <w:spacing w:after="0"/>
              <w:rPr>
                <w:sz w:val="1"/>
                <w:szCs w:val="1"/>
                <w:color w:val="auto"/>
              </w:rPr>
            </w:pPr>
          </w:p>
        </w:tc>
      </w:tr>
      <w:tr>
        <w:trPr>
          <w:trHeight w:val="54"/>
        </w:trPr>
        <w:tc>
          <w:tcPr>
            <w:tcW w:w="5880" w:type="dxa"/>
            <w:vAlign w:val="bottom"/>
            <w:shd w:val="clear" w:color="auto" w:fill="0071CE"/>
          </w:tcPr>
          <w:p>
            <w:pPr>
              <w:spacing w:after="0"/>
              <w:rPr>
                <w:sz w:val="4"/>
                <w:szCs w:val="4"/>
                <w:color w:val="auto"/>
              </w:rPr>
            </w:pPr>
          </w:p>
        </w:tc>
        <w:tc>
          <w:tcPr>
            <w:tcW w:w="1780" w:type="dxa"/>
            <w:vAlign w:val="bottom"/>
            <w:vMerge w:val="restart"/>
            <w:shd w:val="clear" w:color="auto" w:fill="0071CE"/>
          </w:tcPr>
          <w:p>
            <w:pPr>
              <w:jc w:val="center"/>
              <w:ind w:right="24"/>
              <w:spacing w:after="0" w:line="135" w:lineRule="exact"/>
              <w:rPr>
                <w:sz w:val="20"/>
                <w:szCs w:val="20"/>
                <w:color w:val="auto"/>
              </w:rPr>
            </w:pPr>
            <w:r>
              <w:rPr>
                <w:rFonts w:ascii="Arial" w:cs="Arial" w:eastAsia="Arial" w:hAnsi="Arial"/>
                <w:sz w:val="14"/>
                <w:szCs w:val="14"/>
                <w:b w:val="1"/>
                <w:bCs w:val="1"/>
                <w:color w:val="FFFFFF"/>
              </w:rPr>
              <w:t>warrants</w:t>
            </w:r>
          </w:p>
        </w:tc>
        <w:tc>
          <w:tcPr>
            <w:tcW w:w="1680" w:type="dxa"/>
            <w:vAlign w:val="bottom"/>
            <w:vMerge w:val="restart"/>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warrants and</w:t>
            </w:r>
          </w:p>
        </w:tc>
        <w:tc>
          <w:tcPr>
            <w:tcW w:w="188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5880" w:type="dxa"/>
            <w:vAlign w:val="bottom"/>
            <w:shd w:val="clear" w:color="auto" w:fill="0071CE"/>
          </w:tcPr>
          <w:p>
            <w:pPr>
              <w:spacing w:after="0"/>
              <w:rPr>
                <w:sz w:val="7"/>
                <w:szCs w:val="7"/>
                <w:color w:val="auto"/>
              </w:rPr>
            </w:pPr>
          </w:p>
        </w:tc>
        <w:tc>
          <w:tcPr>
            <w:tcW w:w="1780" w:type="dxa"/>
            <w:vAlign w:val="bottom"/>
            <w:vMerge w:val="continue"/>
            <w:shd w:val="clear" w:color="auto" w:fill="0071CE"/>
          </w:tcPr>
          <w:p>
            <w:pPr>
              <w:spacing w:after="0"/>
              <w:rPr>
                <w:sz w:val="7"/>
                <w:szCs w:val="7"/>
                <w:color w:val="auto"/>
              </w:rPr>
            </w:pPr>
          </w:p>
        </w:tc>
        <w:tc>
          <w:tcPr>
            <w:tcW w:w="1680" w:type="dxa"/>
            <w:vAlign w:val="bottom"/>
            <w:vMerge w:val="continue"/>
            <w:shd w:val="clear" w:color="auto" w:fill="0071CE"/>
          </w:tcPr>
          <w:p>
            <w:pPr>
              <w:spacing w:after="0"/>
              <w:rPr>
                <w:sz w:val="7"/>
                <w:szCs w:val="7"/>
                <w:color w:val="auto"/>
              </w:rPr>
            </w:pPr>
          </w:p>
        </w:tc>
        <w:tc>
          <w:tcPr>
            <w:tcW w:w="188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reflected in</w:t>
            </w:r>
          </w:p>
        </w:tc>
        <w:tc>
          <w:tcPr>
            <w:tcW w:w="0" w:type="dxa"/>
            <w:vAlign w:val="bottom"/>
          </w:tcPr>
          <w:p>
            <w:pPr>
              <w:spacing w:after="0"/>
              <w:rPr>
                <w:sz w:val="1"/>
                <w:szCs w:val="1"/>
                <w:color w:val="auto"/>
              </w:rPr>
            </w:pPr>
          </w:p>
        </w:tc>
      </w:tr>
      <w:tr>
        <w:trPr>
          <w:trHeight w:val="58"/>
        </w:trPr>
        <w:tc>
          <w:tcPr>
            <w:tcW w:w="5880" w:type="dxa"/>
            <w:vAlign w:val="bottom"/>
            <w:shd w:val="clear" w:color="auto" w:fill="0071CE"/>
          </w:tcPr>
          <w:p>
            <w:pPr>
              <w:spacing w:after="0"/>
              <w:rPr>
                <w:sz w:val="5"/>
                <w:szCs w:val="5"/>
                <w:color w:val="auto"/>
              </w:rPr>
            </w:pPr>
          </w:p>
        </w:tc>
        <w:tc>
          <w:tcPr>
            <w:tcW w:w="1780" w:type="dxa"/>
            <w:vAlign w:val="bottom"/>
            <w:vMerge w:val="restart"/>
            <w:shd w:val="clear" w:color="auto" w:fill="0071CE"/>
          </w:tcPr>
          <w:p>
            <w:pPr>
              <w:jc w:val="center"/>
              <w:ind w:right="24"/>
              <w:spacing w:after="0"/>
              <w:rPr>
                <w:sz w:val="20"/>
                <w:szCs w:val="20"/>
                <w:color w:val="auto"/>
              </w:rPr>
            </w:pPr>
            <w:r>
              <w:rPr>
                <w:rFonts w:ascii="Arial" w:cs="Arial" w:eastAsia="Arial" w:hAnsi="Arial"/>
                <w:sz w:val="14"/>
                <w:szCs w:val="14"/>
                <w:b w:val="1"/>
                <w:bCs w:val="1"/>
                <w:color w:val="FFFFFF"/>
              </w:rPr>
              <w:t>and rights</w:t>
            </w:r>
          </w:p>
        </w:tc>
        <w:tc>
          <w:tcPr>
            <w:tcW w:w="16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rights</w:t>
            </w:r>
          </w:p>
        </w:tc>
        <w:tc>
          <w:tcPr>
            <w:tcW w:w="18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880" w:type="dxa"/>
            <w:vAlign w:val="bottom"/>
            <w:shd w:val="clear" w:color="auto" w:fill="0071CE"/>
          </w:tcPr>
          <w:p>
            <w:pPr>
              <w:spacing w:after="0"/>
              <w:rPr>
                <w:sz w:val="16"/>
                <w:szCs w:val="16"/>
                <w:color w:val="auto"/>
              </w:rPr>
            </w:pPr>
          </w:p>
        </w:tc>
        <w:tc>
          <w:tcPr>
            <w:tcW w:w="1780" w:type="dxa"/>
            <w:vAlign w:val="bottom"/>
            <w:vMerge w:val="continue"/>
            <w:shd w:val="clear" w:color="auto" w:fill="0071CE"/>
          </w:tcPr>
          <w:p>
            <w:pPr>
              <w:spacing w:after="0"/>
              <w:rPr>
                <w:sz w:val="16"/>
                <w:szCs w:val="16"/>
                <w:color w:val="auto"/>
              </w:rPr>
            </w:pPr>
          </w:p>
        </w:tc>
        <w:tc>
          <w:tcPr>
            <w:tcW w:w="1680" w:type="dxa"/>
            <w:vAlign w:val="bottom"/>
            <w:vMerge w:val="continue"/>
            <w:shd w:val="clear" w:color="auto" w:fill="0071CE"/>
          </w:tcPr>
          <w:p>
            <w:pPr>
              <w:spacing w:after="0"/>
              <w:rPr>
                <w:sz w:val="16"/>
                <w:szCs w:val="16"/>
                <w:color w:val="auto"/>
              </w:rPr>
            </w:pPr>
          </w:p>
        </w:tc>
        <w:tc>
          <w:tcPr>
            <w:tcW w:w="18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column (a))</w:t>
            </w:r>
          </w:p>
        </w:tc>
        <w:tc>
          <w:tcPr>
            <w:tcW w:w="0" w:type="dxa"/>
            <w:vAlign w:val="bottom"/>
          </w:tcPr>
          <w:p>
            <w:pPr>
              <w:spacing w:after="0"/>
              <w:rPr>
                <w:sz w:val="1"/>
                <w:szCs w:val="1"/>
                <w:color w:val="auto"/>
              </w:rPr>
            </w:pPr>
          </w:p>
        </w:tc>
      </w:tr>
      <w:tr>
        <w:trPr>
          <w:trHeight w:val="229"/>
        </w:trPr>
        <w:tc>
          <w:tcPr>
            <w:tcW w:w="58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Equity compensation plans approved by security holders (1)</w:t>
            </w:r>
          </w:p>
        </w:tc>
        <w:tc>
          <w:tcPr>
            <w:tcW w:w="1780" w:type="dxa"/>
            <w:vAlign w:val="bottom"/>
            <w:shd w:val="clear" w:color="auto" w:fill="E5E5E5"/>
          </w:tcPr>
          <w:p>
            <w:pPr>
              <w:jc w:val="right"/>
              <w:ind w:right="44"/>
              <w:spacing w:after="0"/>
              <w:rPr>
                <w:sz w:val="20"/>
                <w:szCs w:val="20"/>
                <w:color w:val="auto"/>
              </w:rPr>
            </w:pPr>
            <w:r>
              <w:rPr>
                <w:rFonts w:ascii="Arial" w:cs="Arial" w:eastAsia="Arial" w:hAnsi="Arial"/>
                <w:sz w:val="18"/>
                <w:szCs w:val="18"/>
                <w:color w:val="auto"/>
              </w:rPr>
              <w:t>6,790,815</w:t>
            </w:r>
          </w:p>
        </w:tc>
        <w:tc>
          <w:tcPr>
            <w:tcW w:w="168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$46.04</w:t>
            </w:r>
          </w:p>
        </w:tc>
        <w:tc>
          <w:tcPr>
            <w:tcW w:w="1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7,190,077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E5E5E5"/>
            </w:tcBorders>
          </w:tcPr>
          <w:p>
            <w:pPr>
              <w:ind w:left="120"/>
              <w:spacing w:after="0"/>
              <w:rPr>
                <w:sz w:val="20"/>
                <w:szCs w:val="20"/>
                <w:color w:val="auto"/>
              </w:rPr>
            </w:pPr>
            <w:r>
              <w:rPr>
                <w:rFonts w:ascii="Arial" w:cs="Arial" w:eastAsia="Arial" w:hAnsi="Arial"/>
                <w:sz w:val="18"/>
                <w:szCs w:val="18"/>
                <w:color w:val="auto"/>
              </w:rPr>
              <w:t>Equity compensation plans not approved by security holders (2)</w:t>
            </w:r>
          </w:p>
        </w:tc>
        <w:tc>
          <w:tcPr>
            <w:tcW w:w="1780" w:type="dxa"/>
            <w:vAlign w:val="bottom"/>
            <w:tcBorders>
              <w:bottom w:val="single" w:sz="8" w:color="0071CE"/>
            </w:tcBorders>
          </w:tcPr>
          <w:p>
            <w:pPr>
              <w:jc w:val="right"/>
              <w:ind w:right="44"/>
              <w:spacing w:after="0"/>
              <w:rPr>
                <w:sz w:val="20"/>
                <w:szCs w:val="20"/>
                <w:color w:val="auto"/>
              </w:rPr>
            </w:pPr>
            <w:r>
              <w:rPr>
                <w:rFonts w:ascii="Arial" w:cs="Arial" w:eastAsia="Arial" w:hAnsi="Arial"/>
                <w:sz w:val="18"/>
                <w:szCs w:val="18"/>
                <w:color w:val="auto"/>
              </w:rPr>
              <w:t>1,617,050</w:t>
            </w:r>
          </w:p>
        </w:tc>
        <w:tc>
          <w:tcPr>
            <w:tcW w:w="1680" w:type="dxa"/>
            <w:vAlign w:val="bottom"/>
            <w:tcBorders>
              <w:bottom w:val="single" w:sz="8" w:color="E5E5E5"/>
            </w:tcBorders>
          </w:tcPr>
          <w:p>
            <w:pPr>
              <w:jc w:val="center"/>
              <w:spacing w:after="0"/>
              <w:rPr>
                <w:sz w:val="20"/>
                <w:szCs w:val="20"/>
                <w:color w:val="auto"/>
              </w:rPr>
            </w:pPr>
            <w:r>
              <w:rPr>
                <w:rFonts w:ascii="Arial" w:cs="Arial" w:eastAsia="Arial" w:hAnsi="Arial"/>
                <w:sz w:val="18"/>
                <w:szCs w:val="18"/>
                <w:color w:val="auto"/>
              </w:rPr>
              <w:t>$43.88</w:t>
            </w:r>
          </w:p>
        </w:tc>
        <w:tc>
          <w:tcPr>
            <w:tcW w:w="188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0071CE"/>
            </w:tcBorders>
            <w:shd w:val="clear" w:color="auto" w:fill="E5E5E5"/>
          </w:tcPr>
          <w:p>
            <w:pPr>
              <w:jc w:val="right"/>
              <w:ind w:right="44"/>
              <w:spacing w:after="0"/>
              <w:rPr>
                <w:sz w:val="20"/>
                <w:szCs w:val="20"/>
                <w:color w:val="auto"/>
              </w:rPr>
            </w:pPr>
            <w:r>
              <w:rPr>
                <w:rFonts w:ascii="Arial" w:cs="Arial" w:eastAsia="Arial" w:hAnsi="Arial"/>
                <w:sz w:val="18"/>
                <w:szCs w:val="18"/>
                <w:color w:val="auto"/>
              </w:rPr>
              <w:t>8,407,865</w:t>
            </w:r>
          </w:p>
        </w:tc>
        <w:tc>
          <w:tcPr>
            <w:tcW w:w="168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$45.62</w:t>
            </w:r>
          </w:p>
        </w:tc>
        <w:tc>
          <w:tcPr>
            <w:tcW w:w="188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7,190,077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-1499870</wp:posOffset>
            </wp:positionV>
            <wp:extent cx="33947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46" w:lineRule="exact"/>
        <w:rPr>
          <w:sz w:val="20"/>
          <w:szCs w:val="20"/>
          <w:color w:val="auto"/>
        </w:rPr>
      </w:pPr>
    </w:p>
    <w:p>
      <w:pPr>
        <w:ind w:left="340" w:right="100" w:hanging="332"/>
        <w:spacing w:after="0" w:line="249"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options outstanding representing 175,083, 2,543,301 and 3,000 shares of Common Stock under the 2004 Equity Incentive Plan, the 2013 Incentive Plan, and the 2021 Incentive Plan, respectively. Also includes 3,145,886 and 923,545 restricted stock units subject to the 2013 Incentive Plan and the 2021 Incentive Plan, respectively. There is no exercise price associated with a restricted stock unit award. Accordingly, these have been excluded from the column in the table reporting the weighted-average exercise price of outstanding awards.</w:t>
      </w:r>
    </w:p>
    <w:p>
      <w:pPr>
        <w:spacing w:after="0" w:line="222"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778,425 inducement option grants and 838,625 inducement restricted stock unit grants issued to newly hired employees.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names, ages, and positions of our current executive officers serving as of January 10, 2023 are provided below. Biographical information regarding these officers is set forth under the following table, except for Dr. Anzalone, whose biography is set forth above with our other directors.</w:t>
      </w:r>
    </w:p>
    <w:tbl>
      <w:tblPr>
        <w:tblLayout w:type="fixed"/>
        <w:tblInd w:w="0" w:type="dxa"/>
        <w:tblCellMar>
          <w:top w:w="0" w:type="dxa"/>
          <w:left w:w="0" w:type="dxa"/>
          <w:bottom w:w="0" w:type="dxa"/>
          <w:right w:w="0" w:type="dxa"/>
        </w:tblCellMar>
      </w:tblPr>
      <w:tr>
        <w:trPr>
          <w:trHeight w:val="379"/>
        </w:trPr>
        <w:tc>
          <w:tcPr>
            <w:tcW w:w="3140" w:type="dxa"/>
            <w:vAlign w:val="bottom"/>
            <w:shd w:val="clear" w:color="auto" w:fill="0071CE"/>
          </w:tcPr>
          <w:p>
            <w:pPr>
              <w:ind w:left="140"/>
              <w:spacing w:after="0"/>
              <w:rPr>
                <w:sz w:val="20"/>
                <w:szCs w:val="20"/>
                <w:color w:val="auto"/>
              </w:rPr>
            </w:pPr>
            <w:r>
              <w:rPr>
                <w:rFonts w:ascii="Arial" w:cs="Arial" w:eastAsia="Arial" w:hAnsi="Arial"/>
                <w:sz w:val="16"/>
                <w:szCs w:val="16"/>
                <w:b w:val="1"/>
                <w:bCs w:val="1"/>
                <w:color w:val="FFFFFF"/>
              </w:rPr>
              <w:t>Name</w:t>
            </w:r>
          </w:p>
        </w:tc>
        <w:tc>
          <w:tcPr>
            <w:tcW w:w="5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Age</w:t>
            </w:r>
          </w:p>
        </w:tc>
        <w:tc>
          <w:tcPr>
            <w:tcW w:w="7520" w:type="dxa"/>
            <w:vAlign w:val="bottom"/>
            <w:shd w:val="clear" w:color="auto" w:fill="0071CE"/>
          </w:tcPr>
          <w:p>
            <w:pPr>
              <w:ind w:left="2880"/>
              <w:spacing w:after="0"/>
              <w:rPr>
                <w:sz w:val="20"/>
                <w:szCs w:val="20"/>
                <w:color w:val="auto"/>
              </w:rPr>
            </w:pPr>
            <w:r>
              <w:rPr>
                <w:rFonts w:ascii="Arial" w:cs="Arial" w:eastAsia="Arial" w:hAnsi="Arial"/>
                <w:sz w:val="16"/>
                <w:szCs w:val="16"/>
                <w:b w:val="1"/>
                <w:bCs w:val="1"/>
                <w:color w:val="FFFFFF"/>
              </w:rPr>
              <w:t>Position with Arrowhead</w:t>
            </w:r>
          </w:p>
        </w:tc>
        <w:tc>
          <w:tcPr>
            <w:tcW w:w="20" w:type="dxa"/>
            <w:vAlign w:val="bottom"/>
            <w:shd w:val="clear" w:color="auto" w:fill="0071CE"/>
          </w:tcPr>
          <w:p>
            <w:pPr>
              <w:spacing w:after="0"/>
              <w:rPr>
                <w:sz w:val="24"/>
                <w:szCs w:val="24"/>
                <w:color w:val="auto"/>
              </w:rPr>
            </w:pPr>
          </w:p>
        </w:tc>
      </w:tr>
      <w:tr>
        <w:trPr>
          <w:trHeight w:val="197"/>
        </w:trPr>
        <w:tc>
          <w:tcPr>
            <w:tcW w:w="3140" w:type="dxa"/>
            <w:vAlign w:val="bottom"/>
            <w:shd w:val="clear" w:color="auto" w:fill="0071CE"/>
          </w:tcPr>
          <w:p>
            <w:pPr>
              <w:spacing w:after="0"/>
              <w:rPr>
                <w:sz w:val="17"/>
                <w:szCs w:val="17"/>
                <w:color w:val="auto"/>
              </w:rPr>
            </w:pPr>
          </w:p>
        </w:tc>
        <w:tc>
          <w:tcPr>
            <w:tcW w:w="560" w:type="dxa"/>
            <w:vAlign w:val="bottom"/>
            <w:shd w:val="clear" w:color="auto" w:fill="0071CE"/>
          </w:tcPr>
          <w:p>
            <w:pPr>
              <w:spacing w:after="0"/>
              <w:rPr>
                <w:sz w:val="17"/>
                <w:szCs w:val="17"/>
                <w:color w:val="auto"/>
              </w:rPr>
            </w:pPr>
          </w:p>
        </w:tc>
        <w:tc>
          <w:tcPr>
            <w:tcW w:w="7520" w:type="dxa"/>
            <w:vAlign w:val="bottom"/>
            <w:shd w:val="clear" w:color="auto" w:fill="0071CE"/>
          </w:tcPr>
          <w:p>
            <w:pPr>
              <w:spacing w:after="0"/>
              <w:rPr>
                <w:sz w:val="17"/>
                <w:szCs w:val="17"/>
                <w:color w:val="auto"/>
              </w:rPr>
            </w:pPr>
          </w:p>
        </w:tc>
        <w:tc>
          <w:tcPr>
            <w:tcW w:w="20" w:type="dxa"/>
            <w:vAlign w:val="bottom"/>
            <w:shd w:val="clear" w:color="auto" w:fill="0071CE"/>
          </w:tcPr>
          <w:p>
            <w:pPr>
              <w:spacing w:after="0"/>
              <w:rPr>
                <w:sz w:val="17"/>
                <w:szCs w:val="17"/>
                <w:color w:val="auto"/>
              </w:rPr>
            </w:pPr>
          </w:p>
        </w:tc>
      </w:tr>
      <w:tr>
        <w:trPr>
          <w:trHeight w:val="216"/>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Christopher Anzalone</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53</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Executive Officer &amp; President and Director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Kenneth A. Myszkowski</w:t>
            </w:r>
          </w:p>
        </w:tc>
        <w:tc>
          <w:tcPr>
            <w:tcW w:w="560" w:type="dxa"/>
            <w:vAlign w:val="bottom"/>
          </w:tcPr>
          <w:p>
            <w:pPr>
              <w:jc w:val="center"/>
              <w:spacing w:after="0"/>
              <w:rPr>
                <w:sz w:val="20"/>
                <w:szCs w:val="20"/>
                <w:color w:val="auto"/>
              </w:rPr>
            </w:pPr>
            <w:r>
              <w:rPr>
                <w:rFonts w:ascii="Arial" w:cs="Arial" w:eastAsia="Arial" w:hAnsi="Arial"/>
                <w:sz w:val="16"/>
                <w:szCs w:val="16"/>
                <w:color w:val="auto"/>
              </w:rPr>
              <w:t>56</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20" w:type="dxa"/>
            <w:vAlign w:val="bottom"/>
          </w:tcPr>
          <w:p>
            <w:pPr>
              <w:spacing w:after="0"/>
              <w:rPr>
                <w:sz w:val="18"/>
                <w:szCs w:val="18"/>
                <w:color w:val="auto"/>
              </w:rPr>
            </w:pPr>
          </w:p>
        </w:tc>
      </w:tr>
      <w:tr>
        <w:trPr>
          <w:trHeight w:val="217"/>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Javier San Martin</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57</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Medical Officer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James Hamilton</w:t>
            </w:r>
          </w:p>
        </w:tc>
        <w:tc>
          <w:tcPr>
            <w:tcW w:w="560" w:type="dxa"/>
            <w:vAlign w:val="bottom"/>
          </w:tcPr>
          <w:p>
            <w:pPr>
              <w:jc w:val="center"/>
              <w:spacing w:after="0"/>
              <w:rPr>
                <w:sz w:val="20"/>
                <w:szCs w:val="20"/>
                <w:color w:val="auto"/>
              </w:rPr>
            </w:pPr>
            <w:r>
              <w:rPr>
                <w:rFonts w:ascii="Arial" w:cs="Arial" w:eastAsia="Arial" w:hAnsi="Arial"/>
                <w:sz w:val="16"/>
                <w:szCs w:val="16"/>
                <w:color w:val="auto"/>
              </w:rPr>
              <w:t>45</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of Discovery and Translational Medicine</w:t>
            </w:r>
          </w:p>
        </w:tc>
        <w:tc>
          <w:tcPr>
            <w:tcW w:w="20" w:type="dxa"/>
            <w:vAlign w:val="bottom"/>
          </w:tcPr>
          <w:p>
            <w:pPr>
              <w:spacing w:after="0"/>
              <w:rPr>
                <w:sz w:val="18"/>
                <w:szCs w:val="18"/>
                <w:color w:val="auto"/>
              </w:rPr>
            </w:pPr>
          </w:p>
        </w:tc>
      </w:tr>
      <w:tr>
        <w:trPr>
          <w:trHeight w:val="217"/>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Patrick O’Brien</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59</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Operating Officer and General Counsel</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Tracie Oliver</w:t>
            </w:r>
          </w:p>
        </w:tc>
        <w:tc>
          <w:tcPr>
            <w:tcW w:w="560" w:type="dxa"/>
            <w:vAlign w:val="bottom"/>
          </w:tcPr>
          <w:p>
            <w:pPr>
              <w:jc w:val="center"/>
              <w:spacing w:after="0"/>
              <w:rPr>
                <w:sz w:val="20"/>
                <w:szCs w:val="20"/>
                <w:color w:val="auto"/>
              </w:rPr>
            </w:pPr>
            <w:r>
              <w:rPr>
                <w:rFonts w:ascii="Arial" w:cs="Arial" w:eastAsia="Arial" w:hAnsi="Arial"/>
                <w:sz w:val="16"/>
                <w:szCs w:val="16"/>
                <w:color w:val="auto"/>
              </w:rPr>
              <w:t>61</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Commercial Officer</w:t>
            </w:r>
          </w:p>
        </w:tc>
        <w:tc>
          <w:tcPr>
            <w:tcW w:w="20" w:type="dxa"/>
            <w:vAlign w:val="bottom"/>
          </w:tcPr>
          <w:p>
            <w:pPr>
              <w:spacing w:after="0"/>
              <w:rPr>
                <w:sz w:val="18"/>
                <w:szCs w:val="18"/>
                <w:color w:val="auto"/>
              </w:rPr>
            </w:pPr>
          </w:p>
        </w:tc>
      </w:tr>
    </w:tbl>
    <w:p>
      <w:pPr>
        <w:spacing w:after="0" w:line="311" w:lineRule="exact"/>
        <w:rPr>
          <w:sz w:val="20"/>
          <w:szCs w:val="20"/>
          <w:color w:val="auto"/>
        </w:rPr>
      </w:pPr>
    </w:p>
    <w:p>
      <w:pPr>
        <w:ind w:right="440"/>
        <w:spacing w:after="0" w:line="218"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the Company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ind w:right="320"/>
        <w:spacing w:after="0" w:line="220"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Chief Operating Officer and General Counsel, joined the Company in December 2014, where he has served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2022 and as General Counsel since 2014. Mr. O’Brien has practiced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60</w:t>
      </w:r>
    </w:p>
    <w:p>
      <w:pPr>
        <w:sectPr>
          <w:pgSz w:w="11900" w:h="16838" w:orient="portrait"/>
          <w:cols w:equalWidth="0" w:num="1">
            <w:col w:w="11240"/>
          </w:cols>
          <w:pgMar w:left="320" w:top="2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healthcare legal field for over 30 years. Before joining the Company, from 2012 to 2014, Mr. O’Brien was with Shire, as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Javier San Martin, </w:t>
      </w:r>
      <w:r>
        <w:rPr>
          <w:rFonts w:ascii="Arial" w:cs="Arial" w:eastAsia="Arial" w:hAnsi="Arial"/>
          <w:sz w:val="16"/>
          <w:szCs w:val="16"/>
          <w:color w:val="auto"/>
        </w:rPr>
        <w:t>Chief Medical Officer, joined the Company in November 2019. Dr. San Martin previously served as Senior Vice President and Head</w:t>
      </w:r>
      <w:r>
        <w:rPr>
          <w:rFonts w:ascii="Arial" w:cs="Arial" w:eastAsia="Arial" w:hAnsi="Arial"/>
          <w:sz w:val="16"/>
          <w:szCs w:val="16"/>
          <w:b w:val="1"/>
          <w:bCs w:val="1"/>
          <w:color w:val="auto"/>
        </w:rPr>
        <w:t xml:space="preserve"> </w:t>
      </w:r>
      <w:r>
        <w:rPr>
          <w:rFonts w:ascii="Arial" w:cs="Arial" w:eastAsia="Arial" w:hAnsi="Arial"/>
          <w:sz w:val="16"/>
          <w:szCs w:val="16"/>
          <w:color w:val="auto"/>
        </w:rPr>
        <w:t>of Global Clinical Development at Ultragenyx from 2013 until November 2019. At Ultragenyx he led the development of burosumab, a novel drug for the treatment of X-Linked Hypophosphatemia approved across major regions including the United States, the European Union, and Canada. Before his tenure at Ultragenyx, he served as Senior Vice President of Clinical Development at Alder Biopharmaceuticals, where he was responsible for managing the medical, regulatory, and clinical operations group focused on early clinical programs. From 2006 to 2011, Dr. San Martin was a Global Development Leader at Amgen, Inc., where he was responsible for two major development programs. He directed the romosozumab clinical program through the end of phase II, and before that, was responsible for the development and approval of denosumab, the largest branded anti-osteoporosis treatment for postmenopausal osteoporosis and the first monoclonal antibody to address a very prevalent disease treated by primary care physicians. Prior to his time at Amgen, he spent seven years at Eli Lilly and Company, supporting late stage clinical development as well as medical affairs activities, including the successful launch of Evista and Forteo. He received his medical degree from the University of Buenos Aires Medical School and completed his residence in internal medicine at CEMIC University Hospital in Buenos Aires, Argentina, serving as Chief Resident, and, thereafter, as Attending Physician responsible for the internal medicine ward.</w:t>
      </w: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James Hamilton, </w:t>
      </w:r>
      <w:r>
        <w:rPr>
          <w:rFonts w:ascii="Arial" w:cs="Arial" w:eastAsia="Arial" w:hAnsi="Arial"/>
          <w:sz w:val="16"/>
          <w:szCs w:val="16"/>
          <w:color w:val="auto"/>
        </w:rPr>
        <w:t>Chief of Discovery &amp; Translational Medicine, joined the Company in 2014. He is responsible for target discovery as well as non-clinical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early clinical development. Previously, Dr. Hamilton served as Vice President, Clinical Development, responsible for clinical strategy, clinical trial design and execution including early translational and mid-stage development of all Arrowhead programs. He is experienced in multiple disease areas including virology, hepatology, cardiovascular disease, rare disease and oncology. Dr. Hamilton led the clinical development of ARO-HBV (now JNJ-3989), which was licensed to Janssen Pharmaceuticals. In parallel, Dr. Hamilton served as Head of Corporate Development and led Arrowhead’s in-licensing transaction of Novartis’s RNAi assets, as well as the out-licensing of ARO-LPA (now AMG890) to Amgen and the ARO-AAT partnership with Takeda. Dr. Hamilton started his employment at Arrowhead as Medical Director and Head of Corporate development. He holds both MD and MBA degrees from The Ohio State University. He is a licensed physician and completed residency training with board certification in emergency medicine.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Tracie Oliver</w:t>
      </w:r>
      <w:r>
        <w:rPr>
          <w:rFonts w:ascii="Arial" w:cs="Arial" w:eastAsia="Arial" w:hAnsi="Arial"/>
          <w:sz w:val="16"/>
          <w:szCs w:val="16"/>
          <w:color w:val="auto"/>
        </w:rPr>
        <w:t>, Chief Commercial Officer, joined Arrowhead in June 2022. Ms. Oliver has over 30 years of global experience in the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leading both R&amp;D and Commercial organizations. Prior to joining Arrowhead, she had her own consulting practice focused on development of commercial and development strategy for small biotech companies since 2019. She joined Shire Pharmaceuticals in 2016 through the acquisition of Baxalta and was Global Head of New Product Planning and Device Strategy until 2019. Prior to that she held several commercial roles at Baxter and Baxalta including establishing a new oncology franchise and leading the North America Immunology Business Unit and Autoimmune Franchise. Ms. Oliver began her career in the biopharmaceutical industry with Johnson &amp; Johnson and served as head of Ortho Biotech Nephrology Business Unit in Canada, Ortho McNeil Neurologics, and McNeil Pediatrics in the USA and led an internal venture developing an allogeneic cell therapy for acute ischemic stroke. She received her BSc and MSc from Queen’s University in Kingston, Ontario and her MBA from the Shulich School of Business, York University, Toronto.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492125</wp:posOffset>
            </wp:positionV>
            <wp:extent cx="98615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61</w:t>
      </w:r>
    </w:p>
    <w:p>
      <w:pPr>
        <w:sectPr>
          <w:pgSz w:w="11900" w:h="16838" w:orient="portrait"/>
          <w:cols w:equalWidth="0" w:num="1">
            <w:col w:w="11240"/>
          </w:cols>
          <w:pgMar w:left="320" w:top="21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has adopted written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determining whether to approve or ratify a related-party transaction, the Board and/or Audit Committee may consider, among other factors it deems appropriate, the potential benefits to the Company, the impact on a director’s or nominee’s independence or an executive officer’s relationship with or service to the Company,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62</w:t>
      </w:r>
    </w:p>
    <w:p>
      <w:pPr>
        <w:sectPr>
          <w:pgSz w:w="11900" w:h="16838" w:orient="portrait"/>
          <w:cols w:equalWidth="0" w:num="1">
            <w:col w:w="11240"/>
          </w:cols>
          <w:pgMar w:left="320" w:top="2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0"/>
        <w:spacing w:after="0" w:line="307"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2022,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former Chief Operating Officer. Non-employee directors do not receive consulting, legal or other fees from the Company, other than Board compensation.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 Vincent Anzalone earned base salary and bonus of $311,173 during fiscal year 2022. His current base salary is $294,581. In January 2022, Mr. Anzalone was awarded 15,000 restricted stock units, and this award vests in four annual tranches from the grant date. The grant date fair value of this award is $994,500.</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will mail, without charge to any stockholder upon written request, a copy of the Company’s Annual Report on Form 10-K for the year ended September 30, 2022 including the financial statements, schedules and a list of exhibits. Requests should be sent to Arrowhead Pharmaceuticals, Inc., 177 E. Colorado Blvd., Suite 700, Pasadena, CA 91105, Attn: Corporate Secretary, Phone (626) 304-3400.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Arrowhead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177 E. Colorado Blvd., Suite 700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Pasadena CA 91105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Phone (626)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508000</wp:posOffset>
            </wp:positionV>
            <wp:extent cx="98615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63</w:t>
      </w:r>
    </w:p>
    <w:p>
      <w:pPr>
        <w:sectPr>
          <w:pgSz w:w="11900" w:h="16838" w:orient="portrait"/>
          <w:cols w:equalWidth="0" w:num="1">
            <w:col w:w="11240"/>
          </w:cols>
          <w:pgMar w:left="320" w:top="2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518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on such matters in accordance with their best judgment.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Secretary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Pasadena, California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577850</wp:posOffset>
            </wp:positionV>
            <wp:extent cx="98615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64</w:t>
      </w:r>
    </w:p>
    <w:p>
      <w:pPr>
        <w:sectPr>
          <w:pgSz w:w="11900" w:h="16838" w:orient="portrait"/>
          <w:cols w:equalWidth="0" w:num="1">
            <w:col w:w="11240"/>
          </w:cols>
          <w:pgMar w:left="320" w:top="2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0139"/>
          </w:cols>
          <w:pgMar w:left="320" w:top="212"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867410</wp:posOffset>
            </wp:positionV>
            <wp:extent cx="5349240" cy="6892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713105</wp:posOffset>
            </wp:positionV>
            <wp:extent cx="5349240" cy="6917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0" w:num="1">
        <w:col w:w="10139"/>
      </w:cols>
      <w:pgMar w:left="320" w:top="2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Roman"/>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5"/>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3"/>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30"/>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2023-01-30T16:28:16Z</dcterms:created>
  <dcterms:modified xsi:type="dcterms:W3CDTF">2023-01-30T16:28:16Z</dcterms:modified>
</cp:coreProperties>
</file>