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791210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UNITED STATES</w:t>
      </w:r>
    </w:p>
    <w:p>
      <w:pPr>
        <w:spacing w:after="0" w:line="22"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SECURITIES AND EXCHANGE COMMISSION</w:t>
      </w:r>
    </w:p>
    <w:p>
      <w:pPr>
        <w:spacing w:after="0" w:line="18" w:lineRule="exact"/>
        <w:rPr>
          <w:sz w:val="24"/>
          <w:szCs w:val="24"/>
          <w:color w:val="auto"/>
        </w:rPr>
      </w:pPr>
    </w:p>
    <w:p>
      <w:pPr>
        <w:ind w:left="4820"/>
        <w:spacing w:after="0"/>
        <w:rPr>
          <w:sz w:val="20"/>
          <w:szCs w:val="20"/>
          <w:color w:val="auto"/>
        </w:rPr>
      </w:pPr>
      <w:r>
        <w:rPr>
          <w:rFonts w:ascii="Arial" w:cs="Arial" w:eastAsia="Arial" w:hAnsi="Arial"/>
          <w:sz w:val="14"/>
          <w:szCs w:val="14"/>
          <w:b w:val="1"/>
          <w:bCs w:val="1"/>
          <w:color w:val="auto"/>
        </w:rPr>
        <w:t>Washington, D.C. 20549</w:t>
      </w:r>
    </w:p>
    <w:p>
      <w:pPr>
        <w:spacing w:after="0" w:line="99"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SCHEDULE 14A</w:t>
      </w:r>
    </w:p>
    <w:p>
      <w:pPr>
        <w:spacing w:after="0" w:line="1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(Rule 14a-101)</w:t>
      </w:r>
    </w:p>
    <w:p>
      <w:pPr>
        <w:spacing w:after="0" w:line="98" w:lineRule="exact"/>
        <w:rPr>
          <w:sz w:val="24"/>
          <w:szCs w:val="24"/>
          <w:color w:val="auto"/>
        </w:rPr>
      </w:pPr>
    </w:p>
    <w:p>
      <w:pPr>
        <w:jc w:val="center"/>
        <w:ind w:right="-1120"/>
        <w:spacing w:after="0"/>
        <w:rPr>
          <w:sz w:val="20"/>
          <w:szCs w:val="20"/>
          <w:color w:val="auto"/>
        </w:rPr>
      </w:pPr>
      <w:r>
        <w:rPr>
          <w:rFonts w:ascii="Arial" w:cs="Arial" w:eastAsia="Arial" w:hAnsi="Arial"/>
          <w:sz w:val="15"/>
          <w:szCs w:val="15"/>
          <w:b w:val="1"/>
          <w:bCs w:val="1"/>
          <w:color w:val="auto"/>
        </w:rPr>
        <w:t>INFORMATION REQUIRED IN PROXY STATEMENT</w:t>
      </w:r>
    </w:p>
    <w:p>
      <w:pPr>
        <w:spacing w:after="0" w:line="125" w:lineRule="exact"/>
        <w:rPr>
          <w:sz w:val="24"/>
          <w:szCs w:val="24"/>
          <w:color w:val="auto"/>
        </w:rPr>
      </w:pPr>
    </w:p>
    <w:p>
      <w:pPr>
        <w:jc w:val="center"/>
        <w:ind w:right="-1120"/>
        <w:spacing w:after="0"/>
        <w:rPr>
          <w:sz w:val="20"/>
          <w:szCs w:val="20"/>
          <w:color w:val="auto"/>
        </w:rPr>
      </w:pPr>
      <w:r>
        <w:rPr>
          <w:rFonts w:ascii="Arial" w:cs="Arial" w:eastAsia="Arial" w:hAnsi="Arial"/>
          <w:sz w:val="15"/>
          <w:szCs w:val="15"/>
          <w:b w:val="1"/>
          <w:bCs w:val="1"/>
          <w:color w:val="auto"/>
        </w:rPr>
        <w:t>SCHEDULE 14A INFORMATION</w:t>
      </w:r>
    </w:p>
    <w:p>
      <w:pPr>
        <w:spacing w:after="0" w:line="121"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Proxy Statement Pursuant to Section 14(a) of the</w:t>
      </w:r>
    </w:p>
    <w:p>
      <w:pPr>
        <w:spacing w:after="0" w:line="29"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Securities Exchange Act of 1934</w:t>
      </w:r>
    </w:p>
    <w:p>
      <w:pPr>
        <w:spacing w:after="0" w:line="77" w:lineRule="exact"/>
        <w:rPr>
          <w:sz w:val="24"/>
          <w:szCs w:val="24"/>
          <w:color w:val="auto"/>
        </w:rPr>
      </w:pPr>
    </w:p>
    <w:p>
      <w:pPr>
        <w:spacing w:after="0" w:line="161" w:lineRule="exact"/>
        <w:tabs>
          <w:tab w:leader="none" w:pos="2800" w:val="left"/>
        </w:tabs>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w:t>
      </w:r>
    </w:p>
    <w:p>
      <w:pPr>
        <w:spacing w:after="0" w:line="177" w:lineRule="exact"/>
        <w:rPr>
          <w:sz w:val="24"/>
          <w:szCs w:val="24"/>
          <w:color w:val="auto"/>
        </w:rPr>
      </w:pPr>
    </w:p>
    <w:p>
      <w:pPr>
        <w:ind w:left="620" w:hanging="593"/>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49" w:lineRule="exact"/>
        <w:rPr>
          <w:rFonts w:ascii="MS PGothic" w:cs="MS PGothic" w:eastAsia="MS PGothic" w:hAnsi="MS PGothic"/>
          <w:sz w:val="14"/>
          <w:szCs w:val="14"/>
          <w:color w:val="auto"/>
        </w:rPr>
      </w:pPr>
    </w:p>
    <w:p>
      <w:pPr>
        <w:ind w:left="620" w:hanging="593"/>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Confidential, For Use of the Commission Only (as permitted by 14a-6(e)(2))</w:t>
      </w:r>
    </w:p>
    <w:p>
      <w:pPr>
        <w:spacing w:after="0" w:line="41" w:lineRule="exact"/>
        <w:rPr>
          <w:rFonts w:ascii="MS PGothic" w:cs="MS PGothic" w:eastAsia="MS PGothic" w:hAnsi="MS PGothic"/>
          <w:sz w:val="14"/>
          <w:szCs w:val="14"/>
          <w:color w:val="auto"/>
        </w:rPr>
      </w:pPr>
    </w:p>
    <w:p>
      <w:pPr>
        <w:ind w:left="20"/>
        <w:spacing w:after="0" w:line="161"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Definitive Proxy Statement</w:t>
      </w:r>
    </w:p>
    <w:p>
      <w:pPr>
        <w:spacing w:after="0" w:line="41" w:lineRule="exact"/>
        <w:rPr>
          <w:rFonts w:ascii="MS PGothic" w:cs="MS PGothic" w:eastAsia="MS PGothic" w:hAnsi="MS PGothic"/>
          <w:sz w:val="14"/>
          <w:szCs w:val="14"/>
          <w:color w:val="auto"/>
        </w:rPr>
      </w:pPr>
    </w:p>
    <w:p>
      <w:pPr>
        <w:ind w:left="620" w:hanging="593"/>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41" w:lineRule="exact"/>
        <w:rPr>
          <w:rFonts w:ascii="MS PGothic" w:cs="MS PGothic" w:eastAsia="MS PGothic" w:hAnsi="MS PGothic"/>
          <w:sz w:val="14"/>
          <w:szCs w:val="14"/>
          <w:color w:val="auto"/>
        </w:rPr>
      </w:pPr>
    </w:p>
    <w:p>
      <w:pPr>
        <w:ind w:left="620" w:hanging="593"/>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198" w:lineRule="exact"/>
        <w:rPr>
          <w:sz w:val="24"/>
          <w:szCs w:val="24"/>
          <w:color w:val="auto"/>
        </w:rPr>
      </w:pPr>
    </w:p>
    <w:p>
      <w:pPr>
        <w:jc w:val="center"/>
        <w:ind w:right="-1120"/>
        <w:spacing w:after="0"/>
        <w:rPr>
          <w:sz w:val="20"/>
          <w:szCs w:val="20"/>
          <w:color w:val="auto"/>
        </w:rPr>
      </w:pPr>
      <w:r>
        <w:rPr>
          <w:rFonts w:ascii="Arial" w:cs="Arial" w:eastAsia="Arial" w:hAnsi="Arial"/>
          <w:sz w:val="28"/>
          <w:szCs w:val="28"/>
          <w:b w:val="1"/>
          <w:bCs w:val="1"/>
          <w:color w:val="auto"/>
        </w:rPr>
        <w:t>ARROWHEAD PHARMACEUTICALS, INC.</w:t>
      </w:r>
    </w:p>
    <w:p>
      <w:pPr>
        <w:spacing w:after="0" w:line="54"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09"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all boxes that apply):</w:t>
      </w:r>
    </w:p>
    <w:p>
      <w:pPr>
        <w:spacing w:after="0" w:line="41" w:lineRule="exact"/>
        <w:rPr>
          <w:sz w:val="24"/>
          <w:szCs w:val="24"/>
          <w:color w:val="auto"/>
        </w:rPr>
      </w:pPr>
    </w:p>
    <w:p>
      <w:pPr>
        <w:ind w:left="620" w:hanging="593"/>
        <w:spacing w:after="0"/>
        <w:tabs>
          <w:tab w:leader="none" w:pos="62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63" w:lineRule="exact"/>
        <w:rPr>
          <w:sz w:val="24"/>
          <w:szCs w:val="24"/>
          <w:color w:val="auto"/>
        </w:rPr>
      </w:pPr>
    </w:p>
    <w:p>
      <w:pPr>
        <w:ind w:left="620" w:hanging="593"/>
        <w:spacing w:after="0"/>
        <w:tabs>
          <w:tab w:leader="none" w:pos="62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149" w:lineRule="exact"/>
        <w:rPr>
          <w:rFonts w:ascii="MS PGothic" w:cs="MS PGothic" w:eastAsia="MS PGothic" w:hAnsi="MS PGothic"/>
          <w:sz w:val="14"/>
          <w:szCs w:val="14"/>
          <w:color w:val="auto"/>
        </w:rPr>
      </w:pPr>
    </w:p>
    <w:p>
      <w:pPr>
        <w:ind w:left="620" w:hanging="593"/>
        <w:spacing w:after="0"/>
        <w:tabs>
          <w:tab w:leader="none" w:pos="62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1193800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100965</wp:posOffset>
            </wp:positionV>
            <wp:extent cx="6454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54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1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8724265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875665</wp:posOffset>
            </wp:positionV>
            <wp:extent cx="5349240" cy="6917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0" w:num="1">
            <w:col w:w="10139"/>
          </w:cols>
          <w:pgMar w:left="320" w:top="19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817245</wp:posOffset>
            </wp:positionV>
            <wp:extent cx="2263140" cy="4718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6314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35"/>
          <w:szCs w:val="35"/>
          <w:b w:val="1"/>
          <w:bCs w:val="1"/>
          <w:color w:val="0071CE"/>
        </w:rPr>
        <w:t>Notice of Annual Meeting of Stockholders</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To Be Held on Wednesday, 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3077210" cy="7080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77210" cy="7080885"/>
                    </a:xfrm>
                    <a:prstGeom prst="rect">
                      <a:avLst/>
                    </a:prstGeom>
                    <a:noFill/>
                  </pic:spPr>
                </pic:pic>
              </a:graphicData>
            </a:graphic>
          </wp:anchor>
        </w:drawing>
      </w:r>
    </w:p>
    <w:p>
      <w:pPr>
        <w:sectPr>
          <w:pgSz w:w="11900" w:h="16838" w:orient="portrait"/>
          <w:cols w:equalWidth="0" w:num="1">
            <w:col w:w="11200"/>
          </w:cols>
          <w:pgMar w:left="320" w:top="198" w:right="379" w:bottom="3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180"/>
        <w:spacing w:after="0" w:line="263" w:lineRule="auto"/>
        <w:rPr>
          <w:sz w:val="20"/>
          <w:szCs w:val="20"/>
          <w:color w:val="auto"/>
        </w:rPr>
      </w:pPr>
      <w:r>
        <w:rPr>
          <w:rFonts w:ascii="Arial" w:cs="Arial" w:eastAsia="Arial" w:hAnsi="Arial"/>
          <w:sz w:val="16"/>
          <w:szCs w:val="16"/>
          <w:b w:val="1"/>
          <w:bCs w:val="1"/>
          <w:color w:val="auto"/>
        </w:rPr>
        <w:t>Your vote is important, whether or not you expect to attend the Annual Meeting of Stockholders. Stockholders of record are urged to vote via the Internet or telephone as instructed, or if you are voting by mail, to mark, sign and date and promptly return the proxy in the postage-prepaid return envelope provided.</w:t>
      </w:r>
    </w:p>
    <w:p>
      <w:pPr>
        <w:spacing w:after="0" w:line="181" w:lineRule="exact"/>
        <w:rPr>
          <w:sz w:val="20"/>
          <w:szCs w:val="20"/>
          <w:color w:val="auto"/>
        </w:rPr>
      </w:pPr>
    </w:p>
    <w:p>
      <w:pPr>
        <w:jc w:val="both"/>
        <w:ind w:left="180" w:right="20"/>
        <w:spacing w:after="0" w:line="296" w:lineRule="auto"/>
        <w:rPr>
          <w:sz w:val="20"/>
          <w:szCs w:val="20"/>
          <w:color w:val="auto"/>
        </w:rPr>
      </w:pPr>
      <w:r>
        <w:rPr>
          <w:rFonts w:ascii="Arial" w:cs="Arial" w:eastAsia="Arial" w:hAnsi="Arial"/>
          <w:sz w:val="16"/>
          <w:szCs w:val="16"/>
          <w:b w:val="1"/>
          <w:bCs w:val="1"/>
          <w:color w:val="auto"/>
        </w:rPr>
        <w:t>Voting promptly will help avoid the additional expense of further solicitation to assure a quorum at the meeting.</w:t>
      </w:r>
    </w:p>
    <w:p>
      <w:pPr>
        <w:spacing w:after="0" w:line="154" w:lineRule="exact"/>
        <w:rPr>
          <w:sz w:val="20"/>
          <w:szCs w:val="20"/>
          <w:color w:val="auto"/>
        </w:rPr>
      </w:pPr>
    </w:p>
    <w:p>
      <w:pPr>
        <w:jc w:val="both"/>
        <w:ind w:left="180"/>
        <w:spacing w:after="0" w:line="280" w:lineRule="auto"/>
        <w:rPr>
          <w:sz w:val="20"/>
          <w:szCs w:val="20"/>
          <w:color w:val="auto"/>
        </w:rPr>
      </w:pPr>
      <w:r>
        <w:rPr>
          <w:rFonts w:ascii="Arial" w:cs="Arial" w:eastAsia="Arial" w:hAnsi="Arial"/>
          <w:sz w:val="16"/>
          <w:szCs w:val="16"/>
          <w:b w:val="1"/>
          <w:bCs w:val="1"/>
          <w:color w:val="auto"/>
        </w:rPr>
        <w:t>Important Notice Regarding the Availability of Proxy Materials for the Stockholder Meeting to be Held on Thursday, March 12, 2025:</w:t>
      </w:r>
    </w:p>
    <w:p>
      <w:pPr>
        <w:spacing w:after="0" w:line="15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You may access the following proxy materials at</w:t>
      </w:r>
    </w:p>
    <w:p>
      <w:pPr>
        <w:spacing w:after="0" w:line="21" w:lineRule="exact"/>
        <w:rPr>
          <w:sz w:val="20"/>
          <w:szCs w:val="20"/>
          <w:color w:val="auto"/>
        </w:rPr>
      </w:pPr>
    </w:p>
    <w:p>
      <w:pPr>
        <w:jc w:val="both"/>
        <w:ind w:left="180"/>
        <w:spacing w:after="0" w:line="264" w:lineRule="auto"/>
        <w:rPr>
          <w:sz w:val="20"/>
          <w:szCs w:val="20"/>
          <w:color w:val="auto"/>
        </w:rPr>
      </w:pPr>
      <w:r>
        <w:rPr>
          <w:rFonts w:ascii="Arial" w:cs="Arial" w:eastAsia="Arial" w:hAnsi="Arial"/>
          <w:sz w:val="16"/>
          <w:szCs w:val="16"/>
          <w:color w:val="auto"/>
        </w:rPr>
        <w:t>www.proxyvote.com before the meeting and www.virtualshareholdermeeting.com/ARWR2025 during the meeting.</w:t>
      </w:r>
    </w:p>
    <w:p>
      <w:pPr>
        <w:spacing w:after="0" w:line="92" w:lineRule="exact"/>
        <w:rPr>
          <w:sz w:val="20"/>
          <w:szCs w:val="20"/>
          <w:color w:val="auto"/>
        </w:rPr>
      </w:pPr>
    </w:p>
    <w:p>
      <w:pPr>
        <w:ind w:left="220" w:hanging="112"/>
        <w:spacing w:after="0"/>
        <w:tabs>
          <w:tab w:leader="none" w:pos="220" w:val="left"/>
        </w:tabs>
        <w:numPr>
          <w:ilvl w:val="0"/>
          <w:numId w:val="4"/>
        </w:numPr>
        <w:rPr>
          <w:rFonts w:ascii="Arial" w:cs="Arial" w:eastAsia="Arial" w:hAnsi="Arial"/>
          <w:sz w:val="16"/>
          <w:szCs w:val="16"/>
          <w:color w:val="0071CE"/>
        </w:rPr>
      </w:pPr>
      <w:r>
        <w:rPr>
          <w:rFonts w:ascii="Arial" w:cs="Arial" w:eastAsia="Arial" w:hAnsi="Arial"/>
          <w:sz w:val="16"/>
          <w:szCs w:val="16"/>
          <w:color w:val="auto"/>
        </w:rPr>
        <w:t>Notice of the 2025 Annual Meeting of Stockholders;</w:t>
      </w:r>
    </w:p>
    <w:p>
      <w:pPr>
        <w:spacing w:after="0" w:line="140" w:lineRule="exact"/>
        <w:rPr>
          <w:rFonts w:ascii="Arial" w:cs="Arial" w:eastAsia="Arial" w:hAnsi="Arial"/>
          <w:sz w:val="16"/>
          <w:szCs w:val="16"/>
          <w:color w:val="0071CE"/>
        </w:rPr>
      </w:pPr>
    </w:p>
    <w:p>
      <w:pPr>
        <w:ind w:left="140"/>
        <w:spacing w:after="0"/>
        <w:rPr>
          <w:rFonts w:ascii="Arial" w:cs="Arial" w:eastAsia="Arial" w:hAnsi="Arial"/>
          <w:sz w:val="16"/>
          <w:szCs w:val="16"/>
          <w:color w:val="0071CE"/>
        </w:rPr>
      </w:pPr>
      <w:r>
        <w:rPr>
          <w:rFonts w:ascii="Arial" w:cs="Arial" w:eastAsia="Arial" w:hAnsi="Arial"/>
          <w:sz w:val="16"/>
          <w:szCs w:val="16"/>
          <w:color w:val="0071CE"/>
        </w:rPr>
        <w:t>•</w:t>
      </w:r>
      <w:r>
        <w:rPr>
          <w:rFonts w:ascii="Arial" w:cs="Arial" w:eastAsia="Arial" w:hAnsi="Arial"/>
          <w:sz w:val="16"/>
          <w:szCs w:val="16"/>
          <w:color w:val="000000"/>
        </w:rPr>
        <w:t>  Company’s 2025 Proxy Statement;</w:t>
      </w:r>
    </w:p>
    <w:p>
      <w:pPr>
        <w:spacing w:after="0" w:line="154" w:lineRule="exact"/>
        <w:rPr>
          <w:sz w:val="20"/>
          <w:szCs w:val="20"/>
          <w:color w:val="auto"/>
        </w:rPr>
      </w:pPr>
    </w:p>
    <w:p>
      <w:pPr>
        <w:ind w:left="360" w:hanging="215"/>
        <w:spacing w:after="0" w:line="286" w:lineRule="auto"/>
        <w:rPr>
          <w:sz w:val="20"/>
          <w:szCs w:val="20"/>
          <w:color w:val="auto"/>
        </w:rPr>
      </w:pPr>
      <w:r>
        <w:rPr>
          <w:rFonts w:ascii="Arial" w:cs="Arial" w:eastAsia="Arial" w:hAnsi="Arial"/>
          <w:sz w:val="16"/>
          <w:szCs w:val="16"/>
          <w:color w:val="0071CE"/>
        </w:rPr>
        <w:t>•</w:t>
      </w:r>
      <w:r>
        <w:rPr>
          <w:rFonts w:ascii="Arial" w:cs="Arial" w:eastAsia="Arial" w:hAnsi="Arial"/>
          <w:sz w:val="16"/>
          <w:szCs w:val="16"/>
          <w:color w:val="000000"/>
        </w:rPr>
        <w:t> Company’s Annual Report on Form 10-K for the year ended</w:t>
      </w:r>
      <w:r>
        <w:rPr>
          <w:rFonts w:ascii="Arial" w:cs="Arial" w:eastAsia="Arial" w:hAnsi="Arial"/>
          <w:sz w:val="16"/>
          <w:szCs w:val="16"/>
          <w:color w:val="0071CE"/>
        </w:rPr>
        <w:t xml:space="preserve"> </w:t>
      </w:r>
      <w:r>
        <w:rPr>
          <w:rFonts w:ascii="Arial" w:cs="Arial" w:eastAsia="Arial" w:hAnsi="Arial"/>
          <w:sz w:val="16"/>
          <w:szCs w:val="16"/>
          <w:color w:val="000000"/>
        </w:rPr>
        <w:t>September 30, 2024; and</w:t>
      </w:r>
    </w:p>
    <w:p>
      <w:pPr>
        <w:spacing w:after="0" w:line="75" w:lineRule="exact"/>
        <w:rPr>
          <w:sz w:val="20"/>
          <w:szCs w:val="20"/>
          <w:color w:val="auto"/>
        </w:rPr>
      </w:pPr>
    </w:p>
    <w:p>
      <w:pPr>
        <w:ind w:left="140"/>
        <w:spacing w:after="0"/>
        <w:rPr>
          <w:sz w:val="20"/>
          <w:szCs w:val="20"/>
          <w:color w:val="auto"/>
        </w:rPr>
      </w:pPr>
      <w:r>
        <w:rPr>
          <w:rFonts w:ascii="Arial" w:cs="Arial" w:eastAsia="Arial" w:hAnsi="Arial"/>
          <w:sz w:val="16"/>
          <w:szCs w:val="16"/>
          <w:color w:val="0071CE"/>
        </w:rPr>
        <w:t>•</w:t>
      </w:r>
      <w:r>
        <w:rPr>
          <w:rFonts w:ascii="Arial" w:cs="Arial" w:eastAsia="Arial" w:hAnsi="Arial"/>
          <w:sz w:val="16"/>
          <w:szCs w:val="16"/>
          <w:color w:val="000000"/>
        </w:rPr>
        <w:t>  Form of Proxy Card</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4"/>
        <w:spacing w:after="0"/>
        <w:rPr>
          <w:sz w:val="20"/>
          <w:szCs w:val="20"/>
          <w:color w:val="auto"/>
        </w:rPr>
      </w:pPr>
      <w:r>
        <w:rPr>
          <w:rFonts w:ascii="Arial" w:cs="Arial" w:eastAsia="Arial" w:hAnsi="Arial"/>
          <w:sz w:val="16"/>
          <w:szCs w:val="16"/>
          <w:color w:val="auto"/>
        </w:rPr>
        <w:t>TO THE STOCKHOLDERS OF ARROWHEAD PHARMACEUTICALS, INC.:</w:t>
      </w:r>
    </w:p>
    <w:p>
      <w:pPr>
        <w:spacing w:after="0" w:line="127" w:lineRule="exact"/>
        <w:rPr>
          <w:sz w:val="20"/>
          <w:szCs w:val="20"/>
          <w:color w:val="auto"/>
        </w:rPr>
      </w:pPr>
    </w:p>
    <w:p>
      <w:pPr>
        <w:jc w:val="both"/>
        <w:ind w:left="4"/>
        <w:spacing w:after="0" w:line="256" w:lineRule="auto"/>
        <w:rPr>
          <w:sz w:val="20"/>
          <w:szCs w:val="20"/>
          <w:color w:val="auto"/>
        </w:rPr>
      </w:pPr>
      <w:r>
        <w:rPr>
          <w:rFonts w:ascii="Arial" w:cs="Arial" w:eastAsia="Arial" w:hAnsi="Arial"/>
          <w:sz w:val="16"/>
          <w:szCs w:val="16"/>
          <w:color w:val="auto"/>
        </w:rPr>
        <w:t>NOTICE IS HEREBY GIVEN that the 2025 Annual Meeting of Stockholders of Arrowhead Pharmaceuticals, Inc., a Delaware corporation (the “Company” or “Arrowhead”), will be held on Wednesday, March 12, 2024, at 10:00 a.m., Pacific time (the “Annual Meeting”). This year’s meeting will be a completely “virtual” meeting of stockholders. You can attend the Annual Meeting online, vote your shares electronically, and submit your questions during the Annual Meeting by visiting www.virtualshareholdermeeting.com/ARWR2025. Prior to the Annual Meeting, you will be able to vote at www.proxyvote.com. The Annual Meeting will be held for the purpose of considering and voting upon the following proposals, as more fully described in the accompanying Proxy Statement:</w:t>
      </w:r>
    </w:p>
    <w:p>
      <w:pPr>
        <w:spacing w:after="0" w:line="49" w:lineRule="exact"/>
        <w:rPr>
          <w:sz w:val="20"/>
          <w:szCs w:val="20"/>
          <w:color w:val="auto"/>
        </w:rPr>
      </w:pPr>
    </w:p>
    <w:p>
      <w:pPr>
        <w:jc w:val="both"/>
        <w:ind w:left="424" w:hanging="431"/>
        <w:spacing w:after="0" w:line="266" w:lineRule="auto"/>
        <w:rPr>
          <w:sz w:val="20"/>
          <w:szCs w:val="20"/>
          <w:color w:val="auto"/>
        </w:rPr>
      </w:pPr>
      <w:r>
        <w:rPr>
          <w:rFonts w:ascii="Arial" w:cs="Arial" w:eastAsia="Arial" w:hAnsi="Arial"/>
          <w:sz w:val="16"/>
          <w:szCs w:val="16"/>
          <w:color w:val="auto"/>
        </w:rPr>
        <w:t>1.   To elect the eight directors named in the Proxy Statement to serve as members of the Company’s Board of Directors until the next Annual Meeting or until their successors are elected;</w:t>
      </w:r>
    </w:p>
    <w:p>
      <w:pPr>
        <w:spacing w:after="0" w:line="36" w:lineRule="exact"/>
        <w:rPr>
          <w:sz w:val="20"/>
          <w:szCs w:val="20"/>
          <w:color w:val="auto"/>
        </w:rPr>
      </w:pPr>
    </w:p>
    <w:p>
      <w:pPr>
        <w:ind w:left="4"/>
        <w:spacing w:after="0"/>
        <w:rPr>
          <w:sz w:val="20"/>
          <w:szCs w:val="20"/>
          <w:color w:val="auto"/>
        </w:rPr>
      </w:pPr>
      <w:r>
        <w:rPr>
          <w:rFonts w:ascii="Arial" w:cs="Arial" w:eastAsia="Arial" w:hAnsi="Arial"/>
          <w:sz w:val="16"/>
          <w:szCs w:val="16"/>
          <w:color w:val="auto"/>
        </w:rPr>
        <w:t>2.    To conduct an advisory (non-binding) vote to approve executive compensation;</w:t>
      </w:r>
    </w:p>
    <w:p>
      <w:pPr>
        <w:spacing w:after="0" w:line="73" w:lineRule="exact"/>
        <w:rPr>
          <w:sz w:val="20"/>
          <w:szCs w:val="20"/>
          <w:color w:val="auto"/>
        </w:rPr>
      </w:pPr>
    </w:p>
    <w:p>
      <w:pPr>
        <w:jc w:val="both"/>
        <w:ind w:left="424" w:hanging="431"/>
        <w:spacing w:after="0" w:line="286" w:lineRule="auto"/>
        <w:rPr>
          <w:sz w:val="20"/>
          <w:szCs w:val="20"/>
          <w:color w:val="auto"/>
        </w:rPr>
      </w:pPr>
      <w:r>
        <w:rPr>
          <w:rFonts w:ascii="Arial" w:cs="Arial" w:eastAsia="Arial" w:hAnsi="Arial"/>
          <w:sz w:val="16"/>
          <w:szCs w:val="16"/>
          <w:color w:val="auto"/>
        </w:rPr>
        <w:t>3.  To conduct an advisory (non-binding) vote on the frequency of future advisory votes to approve executive compensation;</w:t>
      </w:r>
    </w:p>
    <w:p>
      <w:pPr>
        <w:spacing w:after="0" w:line="196" w:lineRule="exact"/>
        <w:rPr>
          <w:sz w:val="20"/>
          <w:szCs w:val="20"/>
          <w:color w:val="auto"/>
        </w:rPr>
      </w:pPr>
    </w:p>
    <w:p>
      <w:pPr>
        <w:ind w:left="424" w:hanging="424"/>
        <w:spacing w:after="0" w:line="286" w:lineRule="auto"/>
        <w:tabs>
          <w:tab w:leader="none" w:pos="185"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ratify the selection of KPMG LLP as independent auditors of the Company for the fiscal year ending September 30, 2025; and</w:t>
      </w:r>
    </w:p>
    <w:p>
      <w:pPr>
        <w:spacing w:after="0" w:line="21" w:lineRule="exact"/>
        <w:rPr>
          <w:sz w:val="20"/>
          <w:szCs w:val="20"/>
          <w:color w:val="auto"/>
        </w:rPr>
      </w:pPr>
    </w:p>
    <w:p>
      <w:pPr>
        <w:jc w:val="both"/>
        <w:ind w:left="424" w:hanging="431"/>
        <w:spacing w:after="0" w:line="286" w:lineRule="auto"/>
        <w:rPr>
          <w:sz w:val="20"/>
          <w:szCs w:val="20"/>
          <w:color w:val="auto"/>
        </w:rPr>
      </w:pPr>
      <w:r>
        <w:rPr>
          <w:rFonts w:ascii="Arial" w:cs="Arial" w:eastAsia="Arial" w:hAnsi="Arial"/>
          <w:sz w:val="16"/>
          <w:szCs w:val="16"/>
          <w:color w:val="auto"/>
        </w:rPr>
        <w:t xml:space="preserve">5.  </w:t>
      </w:r>
      <w:r>
        <w:rPr>
          <w:rFonts w:ascii="Arial" w:cs="Arial" w:eastAsia="Arial" w:hAnsi="Arial"/>
          <w:sz w:val="16"/>
          <w:szCs w:val="16"/>
          <w:b w:val="1"/>
          <w:bCs w:val="1"/>
          <w:color w:val="auto"/>
        </w:rPr>
        <w:t xml:space="preserve"> </w:t>
      </w:r>
      <w:r>
        <w:rPr>
          <w:rFonts w:ascii="Arial" w:cs="Arial" w:eastAsia="Arial" w:hAnsi="Arial"/>
          <w:sz w:val="16"/>
          <w:szCs w:val="16"/>
          <w:color w:val="auto"/>
        </w:rPr>
        <w:t>To transact any other matters that may properly come before the Annual Meeting or any adjournments or postponements thereof.</w:t>
      </w:r>
    </w:p>
    <w:p>
      <w:pPr>
        <w:spacing w:after="0" w:line="115" w:lineRule="exact"/>
        <w:rPr>
          <w:sz w:val="20"/>
          <w:szCs w:val="20"/>
          <w:color w:val="auto"/>
        </w:rPr>
      </w:pPr>
    </w:p>
    <w:p>
      <w:pPr>
        <w:jc w:val="both"/>
        <w:ind w:left="4"/>
        <w:spacing w:after="0" w:line="265" w:lineRule="auto"/>
        <w:rPr>
          <w:sz w:val="20"/>
          <w:szCs w:val="20"/>
          <w:color w:val="auto"/>
        </w:rPr>
      </w:pPr>
      <w:r>
        <w:rPr>
          <w:rFonts w:ascii="Arial" w:cs="Arial" w:eastAsia="Arial" w:hAnsi="Arial"/>
          <w:sz w:val="16"/>
          <w:szCs w:val="16"/>
          <w:color w:val="auto"/>
        </w:rPr>
        <w:t>The foregoing items of business are more fully described in the Proxy Statement accompanying this Notice. Proposal No. 1 relates solely to the election of the eight directors nominated by the Board of Directors and does not include any other matters relating to the election of directors, including, without limitation, the election of directors nominated by any stockholder of the Company.</w:t>
      </w:r>
    </w:p>
    <w:p>
      <w:pPr>
        <w:spacing w:after="0" w:line="200" w:lineRule="exact"/>
        <w:rPr>
          <w:sz w:val="20"/>
          <w:szCs w:val="20"/>
          <w:color w:val="auto"/>
        </w:rPr>
      </w:pPr>
    </w:p>
    <w:p>
      <w:pPr>
        <w:spacing w:after="0" w:line="350" w:lineRule="exact"/>
        <w:rPr>
          <w:sz w:val="20"/>
          <w:szCs w:val="20"/>
          <w:color w:val="auto"/>
        </w:rPr>
      </w:pPr>
    </w:p>
    <w:p>
      <w:pPr>
        <w:ind w:left="4"/>
        <w:spacing w:after="0" w:line="257" w:lineRule="auto"/>
        <w:rPr>
          <w:sz w:val="20"/>
          <w:szCs w:val="20"/>
          <w:color w:val="auto"/>
        </w:rPr>
      </w:pPr>
      <w:r>
        <w:rPr>
          <w:rFonts w:ascii="Arial" w:cs="Arial" w:eastAsia="Arial" w:hAnsi="Arial"/>
          <w:sz w:val="16"/>
          <w:szCs w:val="16"/>
          <w:color w:val="auto"/>
        </w:rPr>
        <w:t>All stockholders of record are cordially invited to attend the Annual Meeting by visiting www.virtualshareholdermeeting.com/ARWR2025. Instructions for accessing the virtual Annual Meeting are provided in the Proxy Statement. In the event of a technical malfunction or other situation that the meeting chair determines may affect the ability of the Annual Meeting to satisfy the requirements for a meeting of stockholders to be held by means of remote communication under the Delaware General Corporation Law, or that otherwise makes it advisable to adjourn the Annual Meeting, the chair or secretary of the Annual Meeting will convene the meeting at 10:30 a.m., Pacific Time on the date specified above and at the Company’s address specified below solely for the purpose of adjourning the meeting to reconvene at a date, time and physical or virtual location announced by the meeting chair. Under either of the foregoing circumstances, we will post information regarding the announcement on the Investors page of the Company’s website at ir.arrowheadpharma.com.</w:t>
      </w:r>
    </w:p>
    <w:p>
      <w:pPr>
        <w:spacing w:after="0" w:line="152" w:lineRule="exact"/>
        <w:rPr>
          <w:sz w:val="20"/>
          <w:szCs w:val="20"/>
          <w:color w:val="auto"/>
        </w:rPr>
      </w:pPr>
    </w:p>
    <w:p>
      <w:pPr>
        <w:ind w:left="4" w:right="60"/>
        <w:spacing w:after="0" w:line="262" w:lineRule="auto"/>
        <w:rPr>
          <w:sz w:val="20"/>
          <w:szCs w:val="20"/>
          <w:color w:val="auto"/>
        </w:rPr>
      </w:pPr>
      <w:r>
        <w:rPr>
          <w:rFonts w:ascii="Arial" w:cs="Arial" w:eastAsia="Arial" w:hAnsi="Arial"/>
          <w:sz w:val="16"/>
          <w:szCs w:val="16"/>
          <w:color w:val="auto"/>
        </w:rPr>
        <w:t>If you prefer to receive paper copies of our proxy materials, please follow the instructions included in the Notice of Internet Availability. To ensure your representation at the meeting, you are urged to vote via the Internet or telephone as instructed in the Notice of Internet Availability, or to mark, sign, date and return the proxy card as promptly as possible in the postage-prepaid envelope enclosed for that purpose. Any stockholder of record attending the Annual Meeting may vote at the Annual Meeting even if such stockholder has previously returned a proxy.</w:t>
      </w:r>
    </w:p>
    <w:p>
      <w:pPr>
        <w:spacing w:after="0" w:line="4"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2220" w:type="dxa"/>
            <w:vAlign w:val="bottom"/>
          </w:tcPr>
          <w:p>
            <w:pPr>
              <w:spacing w:after="0"/>
              <w:rPr>
                <w:sz w:val="20"/>
                <w:szCs w:val="20"/>
                <w:color w:val="auto"/>
              </w:rPr>
            </w:pPr>
            <w:r>
              <w:rPr>
                <w:rFonts w:ascii="Arial" w:cs="Arial" w:eastAsia="Arial" w:hAnsi="Arial"/>
                <w:sz w:val="16"/>
                <w:szCs w:val="16"/>
                <w:color w:val="auto"/>
              </w:rPr>
              <w:t>/s/ Patrick O’Brien</w:t>
            </w:r>
          </w:p>
        </w:tc>
        <w:tc>
          <w:tcPr>
            <w:tcW w:w="2440" w:type="dxa"/>
            <w:vAlign w:val="bottom"/>
            <w:vMerge w:val="restart"/>
          </w:tcPr>
          <w:p>
            <w:pPr>
              <w:ind w:left="940"/>
              <w:spacing w:after="0"/>
              <w:rPr>
                <w:sz w:val="20"/>
                <w:szCs w:val="20"/>
                <w:color w:val="auto"/>
              </w:rPr>
            </w:pPr>
            <w:r>
              <w:rPr>
                <w:rFonts w:ascii="Arial" w:cs="Arial" w:eastAsia="Arial" w:hAnsi="Arial"/>
                <w:sz w:val="16"/>
                <w:szCs w:val="16"/>
                <w:color w:val="auto"/>
                <w:w w:val="99"/>
              </w:rPr>
              <w:t>Pasadena, California</w:t>
            </w:r>
          </w:p>
        </w:tc>
        <w:tc>
          <w:tcPr>
            <w:tcW w:w="0" w:type="dxa"/>
            <w:vAlign w:val="bottom"/>
          </w:tcPr>
          <w:p>
            <w:pPr>
              <w:spacing w:after="0"/>
              <w:rPr>
                <w:sz w:val="1"/>
                <w:szCs w:val="1"/>
                <w:color w:val="auto"/>
              </w:rPr>
            </w:pPr>
          </w:p>
        </w:tc>
      </w:tr>
      <w:tr>
        <w:trPr>
          <w:trHeight w:val="162"/>
        </w:trPr>
        <w:tc>
          <w:tcPr>
            <w:tcW w:w="2220" w:type="dxa"/>
            <w:vAlign w:val="bottom"/>
          </w:tcPr>
          <w:p>
            <w:pPr>
              <w:spacing w:after="0" w:line="162" w:lineRule="exact"/>
              <w:rPr>
                <w:sz w:val="20"/>
                <w:szCs w:val="20"/>
                <w:color w:val="auto"/>
              </w:rPr>
            </w:pPr>
            <w:r>
              <w:rPr>
                <w:rFonts w:ascii="Arial" w:cs="Arial" w:eastAsia="Arial" w:hAnsi="Arial"/>
                <w:sz w:val="16"/>
                <w:szCs w:val="16"/>
                <w:b w:val="1"/>
                <w:bCs w:val="1"/>
                <w:color w:val="auto"/>
              </w:rPr>
              <w:t>Patrick O’Brien</w:t>
            </w:r>
          </w:p>
        </w:tc>
        <w:tc>
          <w:tcPr>
            <w:tcW w:w="2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220" w:type="dxa"/>
            <w:vAlign w:val="bottom"/>
          </w:tcPr>
          <w:p>
            <w:pPr>
              <w:spacing w:after="0"/>
              <w:rPr>
                <w:sz w:val="20"/>
                <w:szCs w:val="20"/>
                <w:color w:val="auto"/>
              </w:rPr>
            </w:pPr>
            <w:r>
              <w:rPr>
                <w:rFonts w:ascii="Arial" w:cs="Arial" w:eastAsia="Arial" w:hAnsi="Arial"/>
                <w:sz w:val="16"/>
                <w:szCs w:val="16"/>
                <w:i w:val="1"/>
                <w:iCs w:val="1"/>
                <w:color w:val="auto"/>
              </w:rPr>
              <w:t>Secretary</w:t>
            </w:r>
          </w:p>
        </w:tc>
        <w:tc>
          <w:tcPr>
            <w:tcW w:w="2440" w:type="dxa"/>
            <w:vAlign w:val="bottom"/>
          </w:tcPr>
          <w:p>
            <w:pPr>
              <w:ind w:left="940"/>
              <w:spacing w:after="0"/>
              <w:rPr>
                <w:sz w:val="20"/>
                <w:szCs w:val="20"/>
                <w:color w:val="auto"/>
              </w:rPr>
            </w:pPr>
            <w:r>
              <w:rPr>
                <w:rFonts w:ascii="Arial" w:cs="Arial" w:eastAsia="Arial" w:hAnsi="Arial"/>
                <w:sz w:val="16"/>
                <w:szCs w:val="16"/>
                <w:color w:val="auto"/>
              </w:rPr>
              <w:t>January 28, 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840" w:space="196"/>
            <w:col w:w="6164"/>
          </w:cols>
          <w:pgMar w:left="320" w:top="198" w:right="379" w:bottom="35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4C4C4C"/>
        </w:rPr>
        <w:t xml:space="preserve">Arrowhead Pharmaceuticals, Inc. </w:t>
      </w:r>
      <w:r>
        <w:rPr>
          <w:rFonts w:ascii="Arial" w:cs="Arial" w:eastAsia="Arial" w:hAnsi="Arial"/>
          <w:sz w:val="16"/>
          <w:szCs w:val="16"/>
          <w:b w:val="1"/>
          <w:bCs w:val="1"/>
          <w:color w:val="0071CE"/>
        </w:rPr>
        <w:t>●</w:t>
      </w:r>
      <w:r>
        <w:rPr>
          <w:rFonts w:ascii="Arial" w:cs="Arial" w:eastAsia="Arial" w:hAnsi="Arial"/>
          <w:sz w:val="16"/>
          <w:szCs w:val="16"/>
          <w:b w:val="1"/>
          <w:bCs w:val="1"/>
          <w:color w:val="4C4C4C"/>
        </w:rPr>
        <w:t xml:space="preserve"> 177 E. Colorado Blvd., Suite 700 </w:t>
      </w:r>
      <w:r>
        <w:rPr>
          <w:rFonts w:ascii="Arial" w:cs="Arial" w:eastAsia="Arial" w:hAnsi="Arial"/>
          <w:sz w:val="16"/>
          <w:szCs w:val="16"/>
          <w:b w:val="1"/>
          <w:bCs w:val="1"/>
          <w:color w:val="0071CE"/>
        </w:rPr>
        <w:t>●</w:t>
      </w:r>
      <w:r>
        <w:rPr>
          <w:rFonts w:ascii="Arial" w:cs="Arial" w:eastAsia="Arial" w:hAnsi="Arial"/>
          <w:sz w:val="16"/>
          <w:szCs w:val="16"/>
          <w:b w:val="1"/>
          <w:bCs w:val="1"/>
          <w:color w:val="4C4C4C"/>
        </w:rPr>
        <w:t xml:space="preserve"> Pasadena, California 91105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98" w:right="379" w:bottom="358"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jc w:val="right"/>
        <w:spacing w:after="0"/>
        <w:tabs>
          <w:tab w:leader="none" w:pos="118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36"/>
          <w:szCs w:val="36"/>
          <w:b w:val="1"/>
          <w:bCs w:val="1"/>
          <w:color w:val="0071CE"/>
        </w:rPr>
        <w:t>Table of Contents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60" w:type="dxa"/>
            <w:vAlign w:val="bottom"/>
            <w:tcBorders>
              <w:bottom w:val="single" w:sz="8" w:color="0000FF"/>
            </w:tcBorders>
            <w:gridSpan w:val="32"/>
          </w:tcPr>
          <w:p>
            <w:pPr>
              <w:spacing w:after="0"/>
              <w:rPr>
                <w:sz w:val="20"/>
                <w:szCs w:val="20"/>
                <w:color w:val="auto"/>
              </w:rPr>
            </w:pPr>
            <w:r>
              <w:rPr>
                <w:rFonts w:ascii="Arial" w:cs="Arial" w:eastAsia="Arial" w:hAnsi="Arial"/>
                <w:sz w:val="18"/>
                <w:szCs w:val="18"/>
                <w:b w:val="1"/>
                <w:bCs w:val="1"/>
                <w:color w:val="0000FF"/>
                <w:w w:val="99"/>
              </w:rPr>
              <w:t>General Information Concerning Solicitation and Voting</w:t>
            </w:r>
          </w:p>
        </w:tc>
        <w:tc>
          <w:tcPr>
            <w:tcW w:w="4640" w:type="dxa"/>
            <w:vAlign w:val="bottom"/>
            <w:gridSpan w:val="7"/>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b w:val="1"/>
                <w:bCs w:val="1"/>
                <w:color w:val="026DCE"/>
              </w:rPr>
              <w:t>1</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320" w:type="dxa"/>
            <w:vAlign w:val="bottom"/>
            <w:gridSpan w:val="38"/>
          </w:tcPr>
          <w:p>
            <w:pPr>
              <w:spacing w:after="0"/>
              <w:rPr>
                <w:sz w:val="20"/>
                <w:szCs w:val="20"/>
                <w:color w:val="auto"/>
              </w:rPr>
            </w:pPr>
            <w:r>
              <w:rPr>
                <w:rFonts w:ascii="Arial" w:cs="Arial" w:eastAsia="Arial" w:hAnsi="Arial"/>
                <w:sz w:val="16"/>
                <w:szCs w:val="16"/>
                <w:b w:val="1"/>
                <w:bCs w:val="1"/>
                <w:color w:val="0000FF"/>
              </w:rPr>
              <w:t>Record Date</w:t>
            </w:r>
          </w:p>
        </w:tc>
        <w:tc>
          <w:tcPr>
            <w:tcW w:w="1820" w:type="dxa"/>
            <w:vAlign w:val="bottom"/>
          </w:tcPr>
          <w:p>
            <w:pPr>
              <w:jc w:val="right"/>
              <w:spacing w:after="0"/>
              <w:rPr>
                <w:sz w:val="20"/>
                <w:szCs w:val="20"/>
                <w:color w:val="auto"/>
              </w:rPr>
            </w:pPr>
            <w:r>
              <w:rPr>
                <w:rFonts w:ascii="Arial" w:cs="Arial" w:eastAsia="Arial" w:hAnsi="Arial"/>
                <w:sz w:val="16"/>
                <w:szCs w:val="16"/>
                <w:b w:val="1"/>
                <w:bCs w:val="1"/>
                <w:color w:val="026DCE"/>
              </w:rPr>
              <w:t>2</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b w:val="1"/>
                <w:bCs w:val="1"/>
                <w:color w:val="0000FF"/>
              </w:rPr>
              <w:t>Revocability of Proxies</w:t>
            </w:r>
          </w:p>
        </w:tc>
        <w:tc>
          <w:tcPr>
            <w:tcW w:w="7520" w:type="dxa"/>
            <w:vAlign w:val="bottom"/>
            <w:gridSpan w:val="29"/>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b w:val="1"/>
                <w:bCs w:val="1"/>
                <w:color w:val="026DCE"/>
              </w:rPr>
              <w:t>2</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b w:val="1"/>
                <w:bCs w:val="1"/>
                <w:color w:val="0000FF"/>
              </w:rPr>
              <w:t>Voting and Solicitation</w:t>
            </w:r>
          </w:p>
        </w:tc>
        <w:tc>
          <w:tcPr>
            <w:tcW w:w="7560" w:type="dxa"/>
            <w:vAlign w:val="bottom"/>
            <w:gridSpan w:val="31"/>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b w:val="1"/>
                <w:bCs w:val="1"/>
                <w:color w:val="026DCE"/>
              </w:rPr>
              <w:t>2</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60" w:type="dxa"/>
            <w:vAlign w:val="bottom"/>
            <w:tcBorders>
              <w:bottom w:val="single" w:sz="8" w:color="0000FF"/>
            </w:tcBorders>
            <w:gridSpan w:val="21"/>
          </w:tcPr>
          <w:p>
            <w:pPr>
              <w:spacing w:after="0"/>
              <w:rPr>
                <w:sz w:val="20"/>
                <w:szCs w:val="20"/>
                <w:color w:val="auto"/>
              </w:rPr>
            </w:pPr>
            <w:r>
              <w:rPr>
                <w:rFonts w:ascii="Arial" w:cs="Arial" w:eastAsia="Arial" w:hAnsi="Arial"/>
                <w:sz w:val="16"/>
                <w:szCs w:val="16"/>
                <w:b w:val="1"/>
                <w:bCs w:val="1"/>
                <w:color w:val="0000FF"/>
              </w:rPr>
              <w:t>Quorum; Abstentions; Broker Non-Votes</w:t>
            </w:r>
          </w:p>
        </w:tc>
        <w:tc>
          <w:tcPr>
            <w:tcW w:w="6160" w:type="dxa"/>
            <w:vAlign w:val="bottom"/>
            <w:gridSpan w:val="17"/>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b w:val="1"/>
                <w:bCs w:val="1"/>
                <w:color w:val="026DCE"/>
              </w:rPr>
              <w:t>2</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320" w:type="dxa"/>
            <w:vAlign w:val="bottom"/>
            <w:gridSpan w:val="38"/>
          </w:tcPr>
          <w:p>
            <w:pPr>
              <w:spacing w:after="0"/>
              <w:rPr>
                <w:sz w:val="20"/>
                <w:szCs w:val="20"/>
                <w:color w:val="auto"/>
              </w:rPr>
            </w:pPr>
            <w:r>
              <w:rPr>
                <w:rFonts w:ascii="Arial" w:cs="Arial" w:eastAsia="Arial" w:hAnsi="Arial"/>
                <w:sz w:val="16"/>
                <w:szCs w:val="16"/>
                <w:b w:val="1"/>
                <w:bCs w:val="1"/>
                <w:color w:val="0000FF"/>
              </w:rPr>
              <w:t>Deadline for Receipt of Stockholder Proposals</w:t>
            </w:r>
          </w:p>
        </w:tc>
        <w:tc>
          <w:tcPr>
            <w:tcW w:w="1820" w:type="dxa"/>
            <w:vAlign w:val="bottom"/>
          </w:tcPr>
          <w:p>
            <w:pPr>
              <w:jc w:val="right"/>
              <w:spacing w:after="0"/>
              <w:rPr>
                <w:sz w:val="20"/>
                <w:szCs w:val="20"/>
                <w:color w:val="auto"/>
              </w:rPr>
            </w:pPr>
            <w:r>
              <w:rPr>
                <w:rFonts w:ascii="Arial" w:cs="Arial" w:eastAsia="Arial" w:hAnsi="Arial"/>
                <w:sz w:val="16"/>
                <w:szCs w:val="16"/>
                <w:b w:val="1"/>
                <w:bCs w:val="1"/>
                <w:color w:val="026DCE"/>
              </w:rPr>
              <w:t>3</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22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b w:val="1"/>
                <w:bCs w:val="1"/>
                <w:color w:val="0000FF"/>
                <w:w w:val="99"/>
              </w:rPr>
              <w:t>Proposal One — Election of Directors</w:t>
            </w:r>
          </w:p>
        </w:tc>
        <w:tc>
          <w:tcPr>
            <w:tcW w:w="6180" w:type="dxa"/>
            <w:vAlign w:val="bottom"/>
            <w:gridSpan w:val="18"/>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6"/>
                <w:szCs w:val="16"/>
                <w:b w:val="1"/>
                <w:bCs w:val="1"/>
                <w:color w:val="026DCE"/>
              </w:rPr>
              <w:t>4</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60" w:type="dxa"/>
            <w:vAlign w:val="bottom"/>
            <w:tcBorders>
              <w:bottom w:val="single" w:sz="8" w:color="0000FF"/>
            </w:tcBorders>
            <w:gridSpan w:val="26"/>
          </w:tcPr>
          <w:p>
            <w:pPr>
              <w:spacing w:after="0"/>
              <w:rPr>
                <w:sz w:val="20"/>
                <w:szCs w:val="20"/>
                <w:color w:val="auto"/>
              </w:rPr>
            </w:pPr>
            <w:r>
              <w:rPr>
                <w:rFonts w:ascii="Arial" w:cs="Arial" w:eastAsia="Arial" w:hAnsi="Arial"/>
                <w:sz w:val="16"/>
                <w:szCs w:val="16"/>
                <w:b w:val="1"/>
                <w:bCs w:val="1"/>
                <w:color w:val="0000FF"/>
              </w:rPr>
              <w:t>Board Composition and Nominating Process</w:t>
            </w:r>
          </w:p>
        </w:tc>
        <w:tc>
          <w:tcPr>
            <w:tcW w:w="5860" w:type="dxa"/>
            <w:vAlign w:val="bottom"/>
            <w:gridSpan w:val="12"/>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b w:val="1"/>
                <w:bCs w:val="1"/>
                <w:color w:val="026DCE"/>
              </w:rPr>
              <w:t>12</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320" w:type="dxa"/>
            <w:vAlign w:val="bottom"/>
            <w:gridSpan w:val="38"/>
          </w:tcPr>
          <w:p>
            <w:pPr>
              <w:spacing w:after="0"/>
              <w:rPr>
                <w:sz w:val="20"/>
                <w:szCs w:val="20"/>
                <w:color w:val="auto"/>
              </w:rPr>
            </w:pPr>
            <w:r>
              <w:rPr>
                <w:rFonts w:ascii="Arial" w:cs="Arial" w:eastAsia="Arial" w:hAnsi="Arial"/>
                <w:sz w:val="16"/>
                <w:szCs w:val="16"/>
                <w:b w:val="1"/>
                <w:bCs w:val="1"/>
                <w:color w:val="0000FF"/>
              </w:rPr>
              <w:t>Corporate Governance, Environmental and Social Commitment</w:t>
            </w:r>
          </w:p>
        </w:tc>
        <w:tc>
          <w:tcPr>
            <w:tcW w:w="1820" w:type="dxa"/>
            <w:vAlign w:val="bottom"/>
          </w:tcPr>
          <w:p>
            <w:pPr>
              <w:jc w:val="right"/>
              <w:spacing w:after="0"/>
              <w:rPr>
                <w:sz w:val="20"/>
                <w:szCs w:val="20"/>
                <w:color w:val="auto"/>
              </w:rPr>
            </w:pPr>
            <w:r>
              <w:rPr>
                <w:rFonts w:ascii="Arial" w:cs="Arial" w:eastAsia="Arial" w:hAnsi="Arial"/>
                <w:sz w:val="16"/>
                <w:szCs w:val="16"/>
                <w:b w:val="1"/>
                <w:bCs w:val="1"/>
                <w:color w:val="026DCE"/>
              </w:rPr>
              <w:t>14</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60" w:type="dxa"/>
            <w:vAlign w:val="bottom"/>
            <w:tcBorders>
              <w:top w:val="single" w:sz="8" w:color="0000FF"/>
            </w:tcBorders>
            <w:gridSpan w:val="32"/>
          </w:tcPr>
          <w:p>
            <w:pPr>
              <w:spacing w:after="0"/>
              <w:rPr>
                <w:sz w:val="20"/>
                <w:szCs w:val="20"/>
                <w:color w:val="auto"/>
              </w:rPr>
            </w:pPr>
            <w:r>
              <w:rPr>
                <w:rFonts w:ascii="Arial" w:cs="Arial" w:eastAsia="Arial" w:hAnsi="Arial"/>
                <w:sz w:val="16"/>
                <w:szCs w:val="16"/>
                <w:b w:val="1"/>
                <w:bCs w:val="1"/>
                <w:color w:val="0000FF"/>
              </w:rPr>
              <w:t>Stockholder Communications with Directors</w:t>
            </w:r>
          </w:p>
        </w:tc>
        <w:tc>
          <w:tcPr>
            <w:tcW w:w="4460" w:type="dxa"/>
            <w:vAlign w:val="bottom"/>
            <w:gridSpan w:val="6"/>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b w:val="1"/>
                <w:bCs w:val="1"/>
                <w:color w:val="026DCE"/>
              </w:rPr>
              <w:t>15</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20" w:type="dxa"/>
            <w:vAlign w:val="bottom"/>
            <w:tcBorders>
              <w:top w:val="single" w:sz="8" w:color="0000FF"/>
            </w:tcBorders>
            <w:gridSpan w:val="25"/>
          </w:tcPr>
          <w:p>
            <w:pPr>
              <w:spacing w:after="0"/>
              <w:rPr>
                <w:sz w:val="20"/>
                <w:szCs w:val="20"/>
                <w:color w:val="auto"/>
              </w:rPr>
            </w:pPr>
            <w:r>
              <w:rPr>
                <w:rFonts w:ascii="Arial" w:cs="Arial" w:eastAsia="Arial" w:hAnsi="Arial"/>
                <w:sz w:val="16"/>
                <w:szCs w:val="16"/>
                <w:b w:val="1"/>
                <w:bCs w:val="1"/>
                <w:color w:val="0000FF"/>
              </w:rPr>
              <w:t>Board Meetings and Committees</w:t>
            </w:r>
          </w:p>
        </w:tc>
        <w:tc>
          <w:tcPr>
            <w:tcW w:w="5900" w:type="dxa"/>
            <w:vAlign w:val="bottom"/>
            <w:gridSpan w:val="13"/>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b w:val="1"/>
                <w:bCs w:val="1"/>
                <w:color w:val="026DCE"/>
              </w:rPr>
              <w:t>15</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0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b w:val="1"/>
                <w:bCs w:val="1"/>
                <w:color w:val="0000FF"/>
                <w:w w:val="99"/>
              </w:rPr>
              <w:t>Director Compensation</w:t>
            </w:r>
          </w:p>
        </w:tc>
        <w:tc>
          <w:tcPr>
            <w:tcW w:w="7400" w:type="dxa"/>
            <w:vAlign w:val="bottom"/>
            <w:gridSpan w:val="27"/>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6"/>
                <w:szCs w:val="16"/>
                <w:b w:val="1"/>
                <w:bCs w:val="1"/>
                <w:color w:val="026DCE"/>
              </w:rPr>
              <w:t>18</w:t>
            </w:r>
          </w:p>
        </w:tc>
      </w:tr>
      <w:tr>
        <w:trPr>
          <w:trHeight w:val="358"/>
        </w:trPr>
        <w:tc>
          <w:tcPr>
            <w:tcW w:w="20" w:type="dxa"/>
            <w:vAlign w:val="bottom"/>
          </w:tcPr>
          <w:p>
            <w:pPr>
              <w:spacing w:after="0"/>
              <w:rPr>
                <w:sz w:val="24"/>
                <w:szCs w:val="24"/>
                <w:color w:val="auto"/>
              </w:rPr>
            </w:pPr>
          </w:p>
        </w:tc>
        <w:tc>
          <w:tcPr>
            <w:tcW w:w="9400" w:type="dxa"/>
            <w:vAlign w:val="bottom"/>
            <w:gridSpan w:val="39"/>
          </w:tcPr>
          <w:p>
            <w:pPr>
              <w:spacing w:after="0"/>
              <w:rPr>
                <w:sz w:val="20"/>
                <w:szCs w:val="20"/>
                <w:color w:val="auto"/>
              </w:rPr>
            </w:pPr>
            <w:r>
              <w:rPr>
                <w:rFonts w:ascii="Arial" w:cs="Arial" w:eastAsia="Arial" w:hAnsi="Arial"/>
                <w:sz w:val="18"/>
                <w:szCs w:val="18"/>
                <w:b w:val="1"/>
                <w:bCs w:val="1"/>
                <w:color w:val="0000FF"/>
              </w:rPr>
              <w:t>Proposal Two — Advisory Vote to Approve Executive Compensation</w:t>
            </w:r>
          </w:p>
        </w:tc>
        <w:tc>
          <w:tcPr>
            <w:tcW w:w="1820" w:type="dxa"/>
            <w:vAlign w:val="bottom"/>
          </w:tcPr>
          <w:p>
            <w:pPr>
              <w:jc w:val="right"/>
              <w:spacing w:after="0"/>
              <w:rPr>
                <w:sz w:val="20"/>
                <w:szCs w:val="20"/>
                <w:color w:val="auto"/>
              </w:rPr>
            </w:pPr>
            <w:r>
              <w:rPr>
                <w:rFonts w:ascii="Arial" w:cs="Arial" w:eastAsia="Arial" w:hAnsi="Arial"/>
                <w:sz w:val="16"/>
                <w:szCs w:val="16"/>
                <w:b w:val="1"/>
                <w:bCs w:val="1"/>
                <w:color w:val="026DCE"/>
              </w:rPr>
              <w:t>20</w:t>
            </w: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9400" w:type="dxa"/>
            <w:vAlign w:val="bottom"/>
            <w:gridSpan w:val="39"/>
          </w:tcPr>
          <w:p>
            <w:pPr>
              <w:spacing w:after="0"/>
              <w:rPr>
                <w:sz w:val="20"/>
                <w:szCs w:val="20"/>
                <w:color w:val="auto"/>
              </w:rPr>
            </w:pPr>
            <w:r>
              <w:rPr>
                <w:rFonts w:ascii="Arial" w:cs="Arial" w:eastAsia="Arial" w:hAnsi="Arial"/>
                <w:sz w:val="18"/>
                <w:szCs w:val="18"/>
                <w:b w:val="1"/>
                <w:bCs w:val="1"/>
                <w:color w:val="0000FF"/>
              </w:rPr>
              <w:t>Proposal Three — Advisory Vote on Frequency of Executive Compensation Advisory Votes</w:t>
            </w:r>
          </w:p>
        </w:tc>
        <w:tc>
          <w:tcPr>
            <w:tcW w:w="1820" w:type="dxa"/>
            <w:vAlign w:val="bottom"/>
          </w:tcPr>
          <w:p>
            <w:pPr>
              <w:jc w:val="right"/>
              <w:spacing w:after="0"/>
              <w:rPr>
                <w:sz w:val="20"/>
                <w:szCs w:val="20"/>
                <w:color w:val="auto"/>
              </w:rPr>
            </w:pPr>
            <w:r>
              <w:rPr>
                <w:rFonts w:ascii="Arial" w:cs="Arial" w:eastAsia="Arial" w:hAnsi="Arial"/>
                <w:sz w:val="16"/>
                <w:szCs w:val="16"/>
                <w:b w:val="1"/>
                <w:bCs w:val="1"/>
                <w:color w:val="026DCE"/>
              </w:rPr>
              <w:t>21</w:t>
            </w:r>
          </w:p>
        </w:tc>
      </w:tr>
      <w:tr>
        <w:trPr>
          <w:trHeight w:val="358"/>
        </w:trPr>
        <w:tc>
          <w:tcPr>
            <w:tcW w:w="20" w:type="dxa"/>
            <w:vAlign w:val="bottom"/>
          </w:tcPr>
          <w:p>
            <w:pPr>
              <w:spacing w:after="0"/>
              <w:rPr>
                <w:sz w:val="24"/>
                <w:szCs w:val="24"/>
                <w:color w:val="auto"/>
              </w:rPr>
            </w:pPr>
          </w:p>
        </w:tc>
        <w:tc>
          <w:tcPr>
            <w:tcW w:w="7780" w:type="dxa"/>
            <w:vAlign w:val="bottom"/>
            <w:tcBorders>
              <w:top w:val="single" w:sz="8" w:color="0000FF"/>
            </w:tcBorders>
            <w:gridSpan w:val="38"/>
          </w:tcPr>
          <w:p>
            <w:pPr>
              <w:spacing w:after="0"/>
              <w:rPr>
                <w:sz w:val="20"/>
                <w:szCs w:val="20"/>
                <w:color w:val="auto"/>
              </w:rPr>
            </w:pPr>
            <w:r>
              <w:rPr>
                <w:rFonts w:ascii="Arial" w:cs="Arial" w:eastAsia="Arial" w:hAnsi="Arial"/>
                <w:sz w:val="18"/>
                <w:szCs w:val="18"/>
                <w:b w:val="1"/>
                <w:bCs w:val="1"/>
                <w:color w:val="0000FF"/>
              </w:rPr>
              <w:t>Executive Compensation</w:t>
            </w:r>
          </w:p>
        </w:tc>
        <w:tc>
          <w:tcPr>
            <w:tcW w:w="16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6"/>
                <w:szCs w:val="16"/>
                <w:b w:val="1"/>
                <w:bCs w:val="1"/>
                <w:color w:val="026DCE"/>
              </w:rPr>
              <w:t>22</w:t>
            </w: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320" w:type="dxa"/>
            <w:vAlign w:val="bottom"/>
            <w:gridSpan w:val="38"/>
          </w:tcPr>
          <w:p>
            <w:pPr>
              <w:spacing w:after="0"/>
              <w:rPr>
                <w:sz w:val="20"/>
                <w:szCs w:val="20"/>
                <w:color w:val="auto"/>
              </w:rPr>
            </w:pPr>
            <w:r>
              <w:rPr>
                <w:rFonts w:ascii="Arial" w:cs="Arial" w:eastAsia="Arial" w:hAnsi="Arial"/>
                <w:sz w:val="16"/>
                <w:szCs w:val="16"/>
                <w:b w:val="1"/>
                <w:bCs w:val="1"/>
                <w:color w:val="0000FF"/>
              </w:rPr>
              <w:t>Compensation Discussion and Analysis</w:t>
            </w:r>
          </w:p>
        </w:tc>
        <w:tc>
          <w:tcPr>
            <w:tcW w:w="1820" w:type="dxa"/>
            <w:vAlign w:val="bottom"/>
          </w:tcPr>
          <w:p>
            <w:pPr>
              <w:jc w:val="right"/>
              <w:spacing w:after="0"/>
              <w:rPr>
                <w:sz w:val="20"/>
                <w:szCs w:val="20"/>
                <w:color w:val="auto"/>
              </w:rPr>
            </w:pPr>
            <w:r>
              <w:rPr>
                <w:rFonts w:ascii="Arial" w:cs="Arial" w:eastAsia="Arial" w:hAnsi="Arial"/>
                <w:sz w:val="16"/>
                <w:szCs w:val="16"/>
                <w:b w:val="1"/>
                <w:bCs w:val="1"/>
                <w:color w:val="026DCE"/>
              </w:rPr>
              <w:t>22</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6"/>
                <w:szCs w:val="16"/>
                <w:color w:val="0000FF"/>
                <w:w w:val="98"/>
              </w:rPr>
              <w:t>Our Company</w:t>
            </w:r>
          </w:p>
        </w:tc>
        <w:tc>
          <w:tcPr>
            <w:tcW w:w="1900" w:type="dxa"/>
            <w:vAlign w:val="bottom"/>
            <w:tcBorders>
              <w:top w:val="single" w:sz="8" w:color="0000FF"/>
            </w:tcBorders>
            <w:gridSpan w:val="13"/>
          </w:tcPr>
          <w:p>
            <w:pPr>
              <w:spacing w:after="0"/>
              <w:rPr>
                <w:sz w:val="17"/>
                <w:szCs w:val="17"/>
                <w:color w:val="auto"/>
              </w:rPr>
            </w:pPr>
          </w:p>
        </w:tc>
        <w:tc>
          <w:tcPr>
            <w:tcW w:w="6240" w:type="dxa"/>
            <w:vAlign w:val="bottom"/>
            <w:gridSpan w:val="19"/>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b w:val="1"/>
                <w:bCs w:val="1"/>
                <w:color w:val="026DCE"/>
              </w:rPr>
              <w:t>22</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40" w:type="dxa"/>
            <w:vAlign w:val="bottom"/>
            <w:gridSpan w:val="37"/>
          </w:tcPr>
          <w:p>
            <w:pPr>
              <w:spacing w:after="0"/>
              <w:rPr>
                <w:sz w:val="20"/>
                <w:szCs w:val="20"/>
                <w:color w:val="auto"/>
              </w:rPr>
            </w:pPr>
            <w:r>
              <w:rPr>
                <w:rFonts w:ascii="Arial" w:cs="Arial" w:eastAsia="Arial" w:hAnsi="Arial"/>
                <w:sz w:val="16"/>
                <w:szCs w:val="16"/>
                <w:color w:val="0000FF"/>
              </w:rPr>
              <w:t>Business Development</w:t>
            </w:r>
          </w:p>
        </w:tc>
        <w:tc>
          <w:tcPr>
            <w:tcW w:w="1820" w:type="dxa"/>
            <w:vAlign w:val="bottom"/>
          </w:tcPr>
          <w:p>
            <w:pPr>
              <w:jc w:val="right"/>
              <w:spacing w:after="0"/>
              <w:rPr>
                <w:sz w:val="20"/>
                <w:szCs w:val="20"/>
                <w:color w:val="auto"/>
              </w:rPr>
            </w:pPr>
            <w:r>
              <w:rPr>
                <w:rFonts w:ascii="Arial" w:cs="Arial" w:eastAsia="Arial" w:hAnsi="Arial"/>
                <w:sz w:val="16"/>
                <w:szCs w:val="16"/>
                <w:b w:val="1"/>
                <w:bCs w:val="1"/>
                <w:color w:val="026DCE"/>
              </w:rPr>
              <w:t>23</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6"/>
                <w:szCs w:val="16"/>
                <w:color w:val="0000FF"/>
                <w:w w:val="97"/>
              </w:rPr>
              <w:t>Platform</w:t>
            </w:r>
          </w:p>
        </w:tc>
        <w:tc>
          <w:tcPr>
            <w:tcW w:w="1040" w:type="dxa"/>
            <w:vAlign w:val="bottom"/>
            <w:tcBorders>
              <w:top w:val="single" w:sz="8" w:color="0000FF"/>
            </w:tcBorders>
            <w:gridSpan w:val="7"/>
          </w:tcPr>
          <w:p>
            <w:pPr>
              <w:spacing w:after="0"/>
              <w:rPr>
                <w:sz w:val="17"/>
                <w:szCs w:val="17"/>
                <w:color w:val="auto"/>
              </w:rPr>
            </w:pPr>
          </w:p>
        </w:tc>
        <w:tc>
          <w:tcPr>
            <w:tcW w:w="7500" w:type="dxa"/>
            <w:vAlign w:val="bottom"/>
            <w:gridSpan w:val="28"/>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b w:val="1"/>
                <w:bCs w:val="1"/>
                <w:color w:val="026DCE"/>
              </w:rPr>
              <w:t>24</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40" w:type="dxa"/>
            <w:vAlign w:val="bottom"/>
            <w:gridSpan w:val="37"/>
          </w:tcPr>
          <w:p>
            <w:pPr>
              <w:spacing w:after="0"/>
              <w:rPr>
                <w:sz w:val="20"/>
                <w:szCs w:val="20"/>
                <w:color w:val="auto"/>
              </w:rPr>
            </w:pPr>
            <w:r>
              <w:rPr>
                <w:rFonts w:ascii="Arial" w:cs="Arial" w:eastAsia="Arial" w:hAnsi="Arial"/>
                <w:sz w:val="16"/>
                <w:szCs w:val="16"/>
                <w:color w:val="0000FF"/>
              </w:rPr>
              <w:t>Pipeline</w:t>
            </w:r>
          </w:p>
        </w:tc>
        <w:tc>
          <w:tcPr>
            <w:tcW w:w="1820" w:type="dxa"/>
            <w:vAlign w:val="bottom"/>
          </w:tcPr>
          <w:p>
            <w:pPr>
              <w:jc w:val="right"/>
              <w:spacing w:after="0"/>
              <w:rPr>
                <w:sz w:val="20"/>
                <w:szCs w:val="20"/>
                <w:color w:val="auto"/>
              </w:rPr>
            </w:pPr>
            <w:r>
              <w:rPr>
                <w:rFonts w:ascii="Arial" w:cs="Arial" w:eastAsia="Arial" w:hAnsi="Arial"/>
                <w:sz w:val="16"/>
                <w:szCs w:val="16"/>
                <w:b w:val="1"/>
                <w:bCs w:val="1"/>
                <w:color w:val="026DCE"/>
              </w:rPr>
              <w:t>25</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40" w:type="dxa"/>
            <w:vAlign w:val="bottom"/>
            <w:gridSpan w:val="37"/>
          </w:tcPr>
          <w:p>
            <w:pPr>
              <w:spacing w:after="0"/>
              <w:rPr>
                <w:sz w:val="20"/>
                <w:szCs w:val="20"/>
                <w:color w:val="auto"/>
              </w:rPr>
            </w:pPr>
            <w:r>
              <w:rPr>
                <w:rFonts w:ascii="Arial" w:cs="Arial" w:eastAsia="Arial" w:hAnsi="Arial"/>
                <w:sz w:val="16"/>
                <w:szCs w:val="16"/>
                <w:color w:val="0000FF"/>
              </w:rPr>
              <w:t>Executive Compensation Philosophy</w:t>
            </w:r>
          </w:p>
        </w:tc>
        <w:tc>
          <w:tcPr>
            <w:tcW w:w="1820" w:type="dxa"/>
            <w:vAlign w:val="bottom"/>
          </w:tcPr>
          <w:p>
            <w:pPr>
              <w:jc w:val="right"/>
              <w:spacing w:after="0"/>
              <w:rPr>
                <w:sz w:val="20"/>
                <w:szCs w:val="20"/>
                <w:color w:val="auto"/>
              </w:rPr>
            </w:pPr>
            <w:r>
              <w:rPr>
                <w:rFonts w:ascii="Arial" w:cs="Arial" w:eastAsia="Arial" w:hAnsi="Arial"/>
                <w:sz w:val="16"/>
                <w:szCs w:val="16"/>
                <w:b w:val="1"/>
                <w:bCs w:val="1"/>
                <w:color w:val="026DCE"/>
              </w:rPr>
              <w:t>33</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0" w:type="dxa"/>
            <w:vAlign w:val="bottom"/>
            <w:tcBorders>
              <w:bottom w:val="single" w:sz="8" w:color="0000FF"/>
            </w:tcBorders>
            <w:gridSpan w:val="21"/>
          </w:tcPr>
          <w:p>
            <w:pPr>
              <w:spacing w:after="0"/>
              <w:rPr>
                <w:sz w:val="20"/>
                <w:szCs w:val="20"/>
                <w:color w:val="auto"/>
              </w:rPr>
            </w:pPr>
            <w:r>
              <w:rPr>
                <w:rFonts w:ascii="Arial" w:cs="Arial" w:eastAsia="Arial" w:hAnsi="Arial"/>
                <w:sz w:val="16"/>
                <w:szCs w:val="16"/>
                <w:color w:val="0000FF"/>
              </w:rPr>
              <w:t>Executive Compensation Program Design</w:t>
            </w:r>
          </w:p>
        </w:tc>
        <w:tc>
          <w:tcPr>
            <w:tcW w:w="6140" w:type="dxa"/>
            <w:vAlign w:val="bottom"/>
            <w:gridSpan w:val="16"/>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b w:val="1"/>
                <w:bCs w:val="1"/>
                <w:color w:val="026DCE"/>
              </w:rPr>
              <w:t>33</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60" w:type="dxa"/>
            <w:vAlign w:val="bottom"/>
            <w:tcBorders>
              <w:bottom w:val="single" w:sz="8" w:color="0000FF"/>
            </w:tcBorders>
            <w:gridSpan w:val="28"/>
          </w:tcPr>
          <w:p>
            <w:pPr>
              <w:spacing w:after="0"/>
              <w:rPr>
                <w:sz w:val="20"/>
                <w:szCs w:val="20"/>
                <w:color w:val="auto"/>
              </w:rPr>
            </w:pPr>
            <w:r>
              <w:rPr>
                <w:rFonts w:ascii="Arial" w:cs="Arial" w:eastAsia="Arial" w:hAnsi="Arial"/>
                <w:sz w:val="16"/>
                <w:szCs w:val="16"/>
                <w:color w:val="0000FF"/>
              </w:rPr>
              <w:t>Governance of Executive Compensation Program</w:t>
            </w:r>
          </w:p>
        </w:tc>
        <w:tc>
          <w:tcPr>
            <w:tcW w:w="5580" w:type="dxa"/>
            <w:vAlign w:val="bottom"/>
            <w:gridSpan w:val="9"/>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b w:val="1"/>
                <w:bCs w:val="1"/>
                <w:color w:val="026DCE"/>
              </w:rPr>
              <w:t>34</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40" w:type="dxa"/>
            <w:vAlign w:val="bottom"/>
            <w:gridSpan w:val="37"/>
          </w:tcPr>
          <w:p>
            <w:pPr>
              <w:spacing w:after="0"/>
              <w:rPr>
                <w:sz w:val="20"/>
                <w:szCs w:val="20"/>
                <w:color w:val="auto"/>
              </w:rPr>
            </w:pPr>
            <w:r>
              <w:rPr>
                <w:rFonts w:ascii="Arial" w:cs="Arial" w:eastAsia="Arial" w:hAnsi="Arial"/>
                <w:sz w:val="16"/>
                <w:szCs w:val="16"/>
                <w:color w:val="0000FF"/>
              </w:rPr>
              <w:t>Individual Compensation Elements</w:t>
            </w:r>
          </w:p>
        </w:tc>
        <w:tc>
          <w:tcPr>
            <w:tcW w:w="1820" w:type="dxa"/>
            <w:vAlign w:val="bottom"/>
          </w:tcPr>
          <w:p>
            <w:pPr>
              <w:jc w:val="right"/>
              <w:spacing w:after="0"/>
              <w:rPr>
                <w:sz w:val="20"/>
                <w:szCs w:val="20"/>
                <w:color w:val="auto"/>
              </w:rPr>
            </w:pPr>
            <w:r>
              <w:rPr>
                <w:rFonts w:ascii="Arial" w:cs="Arial" w:eastAsia="Arial" w:hAnsi="Arial"/>
                <w:sz w:val="16"/>
                <w:szCs w:val="16"/>
                <w:b w:val="1"/>
                <w:bCs w:val="1"/>
                <w:color w:val="026DCE"/>
              </w:rPr>
              <w:t>36</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6"/>
                <w:szCs w:val="16"/>
                <w:color w:val="0000FF"/>
              </w:rPr>
              <w:t>Employment Arrangements</w:t>
            </w:r>
          </w:p>
        </w:tc>
        <w:tc>
          <w:tcPr>
            <w:tcW w:w="520" w:type="dxa"/>
            <w:vAlign w:val="bottom"/>
            <w:tcBorders>
              <w:top w:val="single" w:sz="8" w:color="0000FF"/>
            </w:tcBorders>
            <w:gridSpan w:val="3"/>
          </w:tcPr>
          <w:p>
            <w:pPr>
              <w:spacing w:after="0"/>
              <w:rPr>
                <w:sz w:val="17"/>
                <w:szCs w:val="17"/>
                <w:color w:val="auto"/>
              </w:rPr>
            </w:pPr>
          </w:p>
        </w:tc>
        <w:tc>
          <w:tcPr>
            <w:tcW w:w="6660" w:type="dxa"/>
            <w:vAlign w:val="bottom"/>
            <w:gridSpan w:val="22"/>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b w:val="1"/>
                <w:bCs w:val="1"/>
                <w:color w:val="026DCE"/>
              </w:rPr>
              <w:t>41</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40" w:type="dxa"/>
            <w:vAlign w:val="bottom"/>
            <w:gridSpan w:val="37"/>
          </w:tcPr>
          <w:p>
            <w:pPr>
              <w:spacing w:after="0"/>
              <w:rPr>
                <w:sz w:val="20"/>
                <w:szCs w:val="20"/>
                <w:color w:val="auto"/>
              </w:rPr>
            </w:pPr>
            <w:r>
              <w:rPr>
                <w:rFonts w:ascii="Arial" w:cs="Arial" w:eastAsia="Arial" w:hAnsi="Arial"/>
                <w:sz w:val="16"/>
                <w:szCs w:val="16"/>
                <w:color w:val="0000FF"/>
              </w:rPr>
              <w:t>Post-Employment Compensation Arrangements</w:t>
            </w:r>
          </w:p>
        </w:tc>
        <w:tc>
          <w:tcPr>
            <w:tcW w:w="1820" w:type="dxa"/>
            <w:vAlign w:val="bottom"/>
          </w:tcPr>
          <w:p>
            <w:pPr>
              <w:jc w:val="right"/>
              <w:spacing w:after="0"/>
              <w:rPr>
                <w:sz w:val="20"/>
                <w:szCs w:val="20"/>
                <w:color w:val="auto"/>
              </w:rPr>
            </w:pPr>
            <w:r>
              <w:rPr>
                <w:rFonts w:ascii="Arial" w:cs="Arial" w:eastAsia="Arial" w:hAnsi="Arial"/>
                <w:sz w:val="16"/>
                <w:szCs w:val="16"/>
                <w:b w:val="1"/>
                <w:bCs w:val="1"/>
                <w:color w:val="026DCE"/>
              </w:rPr>
              <w:t>41</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tcBorders>
              <w:top w:val="single" w:sz="8" w:color="0000FF"/>
              <w:bottom w:val="single" w:sz="8" w:color="0000FF"/>
            </w:tcBorders>
            <w:gridSpan w:val="23"/>
          </w:tcPr>
          <w:p>
            <w:pPr>
              <w:spacing w:after="0"/>
              <w:rPr>
                <w:sz w:val="20"/>
                <w:szCs w:val="20"/>
                <w:color w:val="auto"/>
              </w:rPr>
            </w:pPr>
            <w:r>
              <w:rPr>
                <w:rFonts w:ascii="Arial" w:cs="Arial" w:eastAsia="Arial" w:hAnsi="Arial"/>
                <w:sz w:val="16"/>
                <w:szCs w:val="16"/>
                <w:color w:val="0000FF"/>
              </w:rPr>
              <w:t>Other Compensation Policies and Practices</w:t>
            </w:r>
          </w:p>
        </w:tc>
        <w:tc>
          <w:tcPr>
            <w:tcW w:w="300" w:type="dxa"/>
            <w:vAlign w:val="bottom"/>
            <w:tcBorders>
              <w:top w:val="single" w:sz="8" w:color="0000FF"/>
            </w:tcBorders>
            <w:gridSpan w:val="4"/>
          </w:tcPr>
          <w:p>
            <w:pPr>
              <w:spacing w:after="0"/>
              <w:rPr>
                <w:sz w:val="17"/>
                <w:szCs w:val="17"/>
                <w:color w:val="auto"/>
              </w:rPr>
            </w:pPr>
          </w:p>
        </w:tc>
        <w:tc>
          <w:tcPr>
            <w:tcW w:w="5720" w:type="dxa"/>
            <w:vAlign w:val="bottom"/>
            <w:gridSpan w:val="10"/>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b w:val="1"/>
                <w:bCs w:val="1"/>
                <w:color w:val="026DCE"/>
              </w:rPr>
              <w:t>41</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tcBorders>
              <w:bottom w:val="single" w:sz="8" w:color="0000FF"/>
            </w:tcBorders>
            <w:gridSpan w:val="16"/>
          </w:tcPr>
          <w:p>
            <w:pPr>
              <w:spacing w:after="0"/>
              <w:rPr>
                <w:sz w:val="20"/>
                <w:szCs w:val="20"/>
                <w:color w:val="auto"/>
              </w:rPr>
            </w:pPr>
            <w:r>
              <w:rPr>
                <w:rFonts w:ascii="Arial" w:cs="Arial" w:eastAsia="Arial" w:hAnsi="Arial"/>
                <w:sz w:val="16"/>
                <w:szCs w:val="16"/>
                <w:color w:val="0000FF"/>
                <w:w w:val="99"/>
              </w:rPr>
              <w:t>Tax and Accounting Considerations</w:t>
            </w:r>
          </w:p>
        </w:tc>
        <w:tc>
          <w:tcPr>
            <w:tcW w:w="6600" w:type="dxa"/>
            <w:vAlign w:val="bottom"/>
            <w:gridSpan w:val="21"/>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b w:val="1"/>
                <w:bCs w:val="1"/>
                <w:color w:val="026DCE"/>
              </w:rPr>
              <w:t>42</w:t>
            </w: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40" w:type="dxa"/>
            <w:vAlign w:val="bottom"/>
            <w:gridSpan w:val="37"/>
          </w:tcPr>
          <w:p>
            <w:pPr>
              <w:spacing w:after="0"/>
              <w:rPr>
                <w:sz w:val="20"/>
                <w:szCs w:val="20"/>
                <w:color w:val="auto"/>
              </w:rPr>
            </w:pPr>
            <w:r>
              <w:rPr>
                <w:rFonts w:ascii="Arial" w:cs="Arial" w:eastAsia="Arial" w:hAnsi="Arial"/>
                <w:sz w:val="16"/>
                <w:szCs w:val="16"/>
                <w:color w:val="0000FF"/>
              </w:rPr>
              <w:t>Compensation Risk Assessment</w:t>
            </w:r>
          </w:p>
        </w:tc>
        <w:tc>
          <w:tcPr>
            <w:tcW w:w="1820" w:type="dxa"/>
            <w:vAlign w:val="bottom"/>
          </w:tcPr>
          <w:p>
            <w:pPr>
              <w:jc w:val="right"/>
              <w:spacing w:after="0"/>
              <w:rPr>
                <w:sz w:val="20"/>
                <w:szCs w:val="20"/>
                <w:color w:val="auto"/>
              </w:rPr>
            </w:pPr>
            <w:r>
              <w:rPr>
                <w:rFonts w:ascii="Arial" w:cs="Arial" w:eastAsia="Arial" w:hAnsi="Arial"/>
                <w:sz w:val="16"/>
                <w:szCs w:val="16"/>
                <w:b w:val="1"/>
                <w:bCs w:val="1"/>
                <w:color w:val="026DCE"/>
              </w:rPr>
              <w:t>43</w:t>
            </w:r>
          </w:p>
        </w:tc>
      </w:tr>
      <w:tr>
        <w:trPr>
          <w:trHeight w:val="20"/>
        </w:trPr>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720" w:type="dxa"/>
            <w:vAlign w:val="bottom"/>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9400" w:type="dxa"/>
            <w:vAlign w:val="bottom"/>
            <w:gridSpan w:val="39"/>
          </w:tcPr>
          <w:p>
            <w:pPr>
              <w:spacing w:after="0"/>
              <w:rPr>
                <w:sz w:val="20"/>
                <w:szCs w:val="20"/>
                <w:color w:val="auto"/>
              </w:rPr>
            </w:pPr>
            <w:r>
              <w:rPr>
                <w:rFonts w:ascii="Arial" w:cs="Arial" w:eastAsia="Arial" w:hAnsi="Arial"/>
                <w:sz w:val="18"/>
                <w:szCs w:val="18"/>
                <w:b w:val="1"/>
                <w:bCs w:val="1"/>
                <w:color w:val="0000FF"/>
              </w:rPr>
              <w:t>Compensation Tables</w:t>
            </w:r>
          </w:p>
        </w:tc>
        <w:tc>
          <w:tcPr>
            <w:tcW w:w="1820" w:type="dxa"/>
            <w:vAlign w:val="bottom"/>
          </w:tcPr>
          <w:p>
            <w:pPr>
              <w:jc w:val="right"/>
              <w:spacing w:after="0"/>
              <w:rPr>
                <w:sz w:val="20"/>
                <w:szCs w:val="20"/>
                <w:color w:val="auto"/>
              </w:rPr>
            </w:pPr>
            <w:r>
              <w:rPr>
                <w:rFonts w:ascii="Arial" w:cs="Arial" w:eastAsia="Arial" w:hAnsi="Arial"/>
                <w:sz w:val="16"/>
                <w:szCs w:val="16"/>
                <w:b w:val="1"/>
                <w:bCs w:val="1"/>
                <w:color w:val="026DCE"/>
              </w:rPr>
              <w:t>44</w:t>
            </w:r>
          </w:p>
        </w:tc>
      </w:tr>
      <w:tr>
        <w:trPr>
          <w:trHeight w:val="20"/>
        </w:trPr>
        <w:tc>
          <w:tcPr>
            <w:tcW w:w="20" w:type="dxa"/>
            <w:vAlign w:val="bottom"/>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000" w:type="dxa"/>
            <w:vAlign w:val="bottom"/>
            <w:tcBorders>
              <w:bottom w:val="single" w:sz="8" w:color="0000FF"/>
            </w:tcBorders>
            <w:gridSpan w:val="36"/>
          </w:tcPr>
          <w:p>
            <w:pPr>
              <w:spacing w:after="0"/>
              <w:rPr>
                <w:sz w:val="20"/>
                <w:szCs w:val="20"/>
                <w:color w:val="auto"/>
              </w:rPr>
            </w:pPr>
            <w:r>
              <w:rPr>
                <w:rFonts w:ascii="Arial" w:cs="Arial" w:eastAsia="Arial" w:hAnsi="Arial"/>
                <w:sz w:val="18"/>
                <w:szCs w:val="18"/>
                <w:b w:val="1"/>
                <w:bCs w:val="1"/>
                <w:color w:val="0000FF"/>
                <w:w w:val="99"/>
              </w:rPr>
              <w:t>Proposal Four — Ratification of Appointment of Independent Auditors</w:t>
            </w:r>
          </w:p>
        </w:tc>
        <w:tc>
          <w:tcPr>
            <w:tcW w:w="3400" w:type="dxa"/>
            <w:vAlign w:val="bottom"/>
            <w:gridSpan w:val="3"/>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6"/>
                <w:szCs w:val="16"/>
                <w:b w:val="1"/>
                <w:bCs w:val="1"/>
                <w:color w:val="026DCE"/>
              </w:rPr>
              <w:t>58</w:t>
            </w:r>
          </w:p>
        </w:tc>
      </w:tr>
      <w:tr>
        <w:trPr>
          <w:trHeight w:val="358"/>
        </w:trPr>
        <w:tc>
          <w:tcPr>
            <w:tcW w:w="20" w:type="dxa"/>
            <w:vAlign w:val="bottom"/>
          </w:tcPr>
          <w:p>
            <w:pPr>
              <w:spacing w:after="0"/>
              <w:rPr>
                <w:sz w:val="24"/>
                <w:szCs w:val="24"/>
                <w:color w:val="auto"/>
              </w:rPr>
            </w:pPr>
          </w:p>
        </w:tc>
        <w:tc>
          <w:tcPr>
            <w:tcW w:w="9400" w:type="dxa"/>
            <w:vAlign w:val="bottom"/>
            <w:gridSpan w:val="39"/>
          </w:tcPr>
          <w:p>
            <w:pPr>
              <w:spacing w:after="0"/>
              <w:rPr>
                <w:sz w:val="20"/>
                <w:szCs w:val="20"/>
                <w:color w:val="auto"/>
              </w:rPr>
            </w:pPr>
            <w:r>
              <w:rPr>
                <w:rFonts w:ascii="Arial" w:cs="Arial" w:eastAsia="Arial" w:hAnsi="Arial"/>
                <w:sz w:val="18"/>
                <w:szCs w:val="18"/>
                <w:b w:val="1"/>
                <w:bCs w:val="1"/>
                <w:color w:val="0000FF"/>
              </w:rPr>
              <w:t>Audit Fees</w:t>
            </w:r>
          </w:p>
        </w:tc>
        <w:tc>
          <w:tcPr>
            <w:tcW w:w="1820" w:type="dxa"/>
            <w:vAlign w:val="bottom"/>
          </w:tcPr>
          <w:p>
            <w:pPr>
              <w:jc w:val="right"/>
              <w:spacing w:after="0"/>
              <w:rPr>
                <w:sz w:val="20"/>
                <w:szCs w:val="20"/>
                <w:color w:val="auto"/>
              </w:rPr>
            </w:pPr>
            <w:r>
              <w:rPr>
                <w:rFonts w:ascii="Arial" w:cs="Arial" w:eastAsia="Arial" w:hAnsi="Arial"/>
                <w:sz w:val="16"/>
                <w:szCs w:val="16"/>
                <w:b w:val="1"/>
                <w:bCs w:val="1"/>
                <w:color w:val="026DCE"/>
              </w:rPr>
              <w:t>59</w:t>
            </w:r>
          </w:p>
        </w:tc>
      </w:tr>
      <w:tr>
        <w:trPr>
          <w:trHeight w:val="20"/>
        </w:trPr>
        <w:tc>
          <w:tcPr>
            <w:tcW w:w="20" w:type="dxa"/>
            <w:vAlign w:val="bottom"/>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1700" w:type="dxa"/>
            <w:vAlign w:val="bottom"/>
            <w:gridSpan w:val="11"/>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6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b w:val="1"/>
                <w:bCs w:val="1"/>
                <w:color w:val="0000FF"/>
                <w:w w:val="99"/>
              </w:rPr>
              <w:t>Report of the Audit Committee</w:t>
            </w:r>
          </w:p>
        </w:tc>
        <w:tc>
          <w:tcPr>
            <w:tcW w:w="6780" w:type="dxa"/>
            <w:vAlign w:val="bottom"/>
            <w:gridSpan w:val="23"/>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6"/>
                <w:szCs w:val="16"/>
                <w:b w:val="1"/>
                <w:bCs w:val="1"/>
                <w:color w:val="026DCE"/>
              </w:rPr>
              <w:t>60</w:t>
            </w:r>
          </w:p>
        </w:tc>
      </w:tr>
      <w:tr>
        <w:trPr>
          <w:trHeight w:val="358"/>
        </w:trPr>
        <w:tc>
          <w:tcPr>
            <w:tcW w:w="20" w:type="dxa"/>
            <w:vAlign w:val="bottom"/>
          </w:tcPr>
          <w:p>
            <w:pPr>
              <w:spacing w:after="0"/>
              <w:rPr>
                <w:sz w:val="24"/>
                <w:szCs w:val="24"/>
                <w:color w:val="auto"/>
              </w:rPr>
            </w:pPr>
          </w:p>
        </w:tc>
        <w:tc>
          <w:tcPr>
            <w:tcW w:w="9400" w:type="dxa"/>
            <w:vAlign w:val="bottom"/>
            <w:gridSpan w:val="39"/>
          </w:tcPr>
          <w:p>
            <w:pPr>
              <w:spacing w:after="0"/>
              <w:rPr>
                <w:sz w:val="20"/>
                <w:szCs w:val="20"/>
                <w:color w:val="auto"/>
              </w:rPr>
            </w:pPr>
            <w:r>
              <w:rPr>
                <w:rFonts w:ascii="Arial" w:cs="Arial" w:eastAsia="Arial" w:hAnsi="Arial"/>
                <w:sz w:val="18"/>
                <w:szCs w:val="18"/>
                <w:b w:val="1"/>
                <w:bCs w:val="1"/>
                <w:color w:val="0000FF"/>
              </w:rPr>
              <w:t>Voting Securities of Principal Stockholders and Management</w:t>
            </w:r>
          </w:p>
        </w:tc>
        <w:tc>
          <w:tcPr>
            <w:tcW w:w="1820" w:type="dxa"/>
            <w:vAlign w:val="bottom"/>
          </w:tcPr>
          <w:p>
            <w:pPr>
              <w:jc w:val="right"/>
              <w:spacing w:after="0"/>
              <w:rPr>
                <w:sz w:val="20"/>
                <w:szCs w:val="20"/>
                <w:color w:val="auto"/>
              </w:rPr>
            </w:pPr>
            <w:r>
              <w:rPr>
                <w:rFonts w:ascii="Arial" w:cs="Arial" w:eastAsia="Arial" w:hAnsi="Arial"/>
                <w:sz w:val="16"/>
                <w:szCs w:val="16"/>
                <w:b w:val="1"/>
                <w:bCs w:val="1"/>
                <w:color w:val="026DCE"/>
              </w:rPr>
              <w:t>61</w:t>
            </w:r>
          </w:p>
        </w:tc>
      </w:tr>
      <w:tr>
        <w:trPr>
          <w:trHeight w:val="358"/>
        </w:trPr>
        <w:tc>
          <w:tcPr>
            <w:tcW w:w="20" w:type="dxa"/>
            <w:vAlign w:val="bottom"/>
          </w:tcPr>
          <w:p>
            <w:pPr>
              <w:spacing w:after="0"/>
              <w:rPr>
                <w:sz w:val="24"/>
                <w:szCs w:val="24"/>
                <w:color w:val="auto"/>
              </w:rPr>
            </w:pPr>
          </w:p>
        </w:tc>
        <w:tc>
          <w:tcPr>
            <w:tcW w:w="5200" w:type="dxa"/>
            <w:vAlign w:val="bottom"/>
            <w:tcBorders>
              <w:top w:val="single" w:sz="8" w:color="0000FF"/>
            </w:tcBorders>
            <w:gridSpan w:val="34"/>
          </w:tcPr>
          <w:p>
            <w:pPr>
              <w:spacing w:after="0"/>
              <w:rPr>
                <w:sz w:val="20"/>
                <w:szCs w:val="20"/>
                <w:color w:val="auto"/>
              </w:rPr>
            </w:pPr>
            <w:r>
              <w:rPr>
                <w:rFonts w:ascii="Arial" w:cs="Arial" w:eastAsia="Arial" w:hAnsi="Arial"/>
                <w:sz w:val="18"/>
                <w:szCs w:val="18"/>
                <w:b w:val="1"/>
                <w:bCs w:val="1"/>
                <w:color w:val="0000FF"/>
              </w:rPr>
              <w:t>Equity Compensation Plan Information</w:t>
            </w:r>
          </w:p>
        </w:tc>
        <w:tc>
          <w:tcPr>
            <w:tcW w:w="4200" w:type="dxa"/>
            <w:vAlign w:val="bottom"/>
            <w:gridSpan w:val="5"/>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6"/>
                <w:szCs w:val="16"/>
                <w:b w:val="1"/>
                <w:bCs w:val="1"/>
                <w:color w:val="026DCE"/>
              </w:rPr>
              <w:t>63</w:t>
            </w:r>
          </w:p>
        </w:tc>
      </w:tr>
      <w:tr>
        <w:trPr>
          <w:trHeight w:val="20"/>
        </w:trPr>
        <w:tc>
          <w:tcPr>
            <w:tcW w:w="20" w:type="dxa"/>
            <w:vAlign w:val="bottom"/>
          </w:tcPr>
          <w:p>
            <w:pPr>
              <w:spacing w:after="0" w:line="20" w:lineRule="exact"/>
              <w:rPr>
                <w:sz w:val="1"/>
                <w:szCs w:val="1"/>
                <w:color w:val="auto"/>
              </w:rPr>
            </w:pPr>
          </w:p>
        </w:tc>
        <w:tc>
          <w:tcPr>
            <w:tcW w:w="3320" w:type="dxa"/>
            <w:vAlign w:val="bottom"/>
            <w:gridSpan w:val="24"/>
            <w:shd w:val="clear" w:color="auto" w:fill="0000FF"/>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420" w:type="dxa"/>
            <w:vAlign w:val="bottom"/>
            <w:tcBorders>
              <w:bottom w:val="single" w:sz="8" w:color="0000FF"/>
            </w:tcBorders>
            <w:gridSpan w:val="31"/>
          </w:tcPr>
          <w:p>
            <w:pPr>
              <w:spacing w:after="0"/>
              <w:rPr>
                <w:sz w:val="20"/>
                <w:szCs w:val="20"/>
                <w:color w:val="auto"/>
              </w:rPr>
            </w:pPr>
            <w:r>
              <w:rPr>
                <w:rFonts w:ascii="Arial" w:cs="Arial" w:eastAsia="Arial" w:hAnsi="Arial"/>
                <w:sz w:val="18"/>
                <w:szCs w:val="18"/>
                <w:b w:val="1"/>
                <w:bCs w:val="1"/>
                <w:color w:val="0000FF"/>
                <w:w w:val="99"/>
              </w:rPr>
              <w:t>Review and Approval of Related-Party Transactions</w:t>
            </w:r>
          </w:p>
        </w:tc>
        <w:tc>
          <w:tcPr>
            <w:tcW w:w="4980" w:type="dxa"/>
            <w:vAlign w:val="bottom"/>
            <w:gridSpan w:val="8"/>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6"/>
                <w:szCs w:val="16"/>
                <w:b w:val="1"/>
                <w:bCs w:val="1"/>
                <w:color w:val="026DCE"/>
              </w:rPr>
              <w:t>65</w:t>
            </w:r>
          </w:p>
        </w:tc>
      </w:tr>
      <w:tr>
        <w:trPr>
          <w:trHeight w:val="358"/>
        </w:trPr>
        <w:tc>
          <w:tcPr>
            <w:tcW w:w="20" w:type="dxa"/>
            <w:vAlign w:val="bottom"/>
          </w:tcPr>
          <w:p>
            <w:pPr>
              <w:spacing w:after="0"/>
              <w:rPr>
                <w:sz w:val="24"/>
                <w:szCs w:val="24"/>
                <w:color w:val="auto"/>
              </w:rPr>
            </w:pPr>
          </w:p>
        </w:tc>
        <w:tc>
          <w:tcPr>
            <w:tcW w:w="9400" w:type="dxa"/>
            <w:vAlign w:val="bottom"/>
            <w:gridSpan w:val="39"/>
          </w:tcPr>
          <w:p>
            <w:pPr>
              <w:spacing w:after="0"/>
              <w:rPr>
                <w:sz w:val="20"/>
                <w:szCs w:val="20"/>
                <w:color w:val="auto"/>
              </w:rPr>
            </w:pPr>
            <w:r>
              <w:rPr>
                <w:rFonts w:ascii="Arial" w:cs="Arial" w:eastAsia="Arial" w:hAnsi="Arial"/>
                <w:sz w:val="18"/>
                <w:szCs w:val="18"/>
                <w:b w:val="1"/>
                <w:bCs w:val="1"/>
                <w:color w:val="0000FF"/>
              </w:rPr>
              <w:t>Certain Relationships and Related Transactions, and Director Independence</w:t>
            </w:r>
          </w:p>
        </w:tc>
        <w:tc>
          <w:tcPr>
            <w:tcW w:w="1820" w:type="dxa"/>
            <w:vAlign w:val="bottom"/>
          </w:tcPr>
          <w:p>
            <w:pPr>
              <w:jc w:val="right"/>
              <w:spacing w:after="0"/>
              <w:rPr>
                <w:sz w:val="20"/>
                <w:szCs w:val="20"/>
                <w:color w:val="auto"/>
              </w:rPr>
            </w:pPr>
            <w:r>
              <w:rPr>
                <w:rFonts w:ascii="Arial" w:cs="Arial" w:eastAsia="Arial" w:hAnsi="Arial"/>
                <w:sz w:val="16"/>
                <w:szCs w:val="16"/>
                <w:b w:val="1"/>
                <w:bCs w:val="1"/>
                <w:color w:val="026DCE"/>
              </w:rPr>
              <w:t>66</w:t>
            </w:r>
          </w:p>
        </w:tc>
      </w:tr>
      <w:tr>
        <w:trPr>
          <w:trHeight w:val="1526"/>
        </w:trPr>
        <w:tc>
          <w:tcPr>
            <w:tcW w:w="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-427990</wp:posOffset>
            </wp:positionV>
            <wp:extent cx="986155"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ectPr>
          <w:pgSz w:w="11900" w:h="16838" w:orient="portrait"/>
          <w:cols w:equalWidth="0" w:num="1">
            <w:col w:w="11240"/>
          </w:cols>
          <w:pgMar w:left="320" w:top="19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0071CE"/>
        </w:rPr>
        <w:t xml:space="preserve">2025 PROXY STATEMENT </w:t>
      </w:r>
      <w:r>
        <w:rPr>
          <w:rFonts w:ascii="Arial" w:cs="Arial" w:eastAsia="Arial" w:hAnsi="Arial"/>
          <w:sz w:val="14"/>
          <w:szCs w:val="14"/>
          <w:b w:val="1"/>
          <w:bCs w:val="1"/>
          <w:i w:val="1"/>
          <w:iCs w:val="1"/>
          <w:color w:val="3FAE2A"/>
        </w:rPr>
        <w:t>General Information Concerning Solicitation and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177 E. Colorado Blvd., Suite 700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Pasadena, California 91105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(626) 304-3400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134620</wp:posOffset>
            </wp:positionV>
            <wp:extent cx="19627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0071CE"/>
        </w:rPr>
        <w:t>PROXY STATEMENT</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0071CE"/>
        </w:rPr>
        <w:t>FOR ANNUAL MEETING OF STOCKHOLDERS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C4C4C"/>
        </w:rPr>
        <w:t>To be held on Wednesday, 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226060</wp:posOffset>
            </wp:positionV>
            <wp:extent cx="19627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General Information Concerning Solicitation and Voting</w:t>
      </w:r>
    </w:p>
    <w:p>
      <w:pPr>
        <w:spacing w:after="0" w:line="3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enclosed Proxy is solicited on behalf of Arrowhead Pharmaceuticals, Inc. (the “</w:t>
      </w:r>
      <w:r>
        <w:rPr>
          <w:rFonts w:ascii="Arial" w:cs="Arial" w:eastAsia="Arial" w:hAnsi="Arial"/>
          <w:sz w:val="16"/>
          <w:szCs w:val="16"/>
          <w:b w:val="1"/>
          <w:bCs w:val="1"/>
          <w:color w:val="auto"/>
        </w:rPr>
        <w:t>Company</w:t>
      </w:r>
      <w:r>
        <w:rPr>
          <w:rFonts w:ascii="Arial" w:cs="Arial" w:eastAsia="Arial" w:hAnsi="Arial"/>
          <w:sz w:val="16"/>
          <w:szCs w:val="16"/>
          <w:color w:val="auto"/>
        </w:rPr>
        <w:t>” or “</w:t>
      </w:r>
      <w:r>
        <w:rPr>
          <w:rFonts w:ascii="Arial" w:cs="Arial" w:eastAsia="Arial" w:hAnsi="Arial"/>
          <w:sz w:val="16"/>
          <w:szCs w:val="16"/>
          <w:b w:val="1"/>
          <w:bCs w:val="1"/>
          <w:color w:val="auto"/>
        </w:rPr>
        <w:t>Arrowhead</w:t>
      </w:r>
      <w:r>
        <w:rPr>
          <w:rFonts w:ascii="Arial" w:cs="Arial" w:eastAsia="Arial" w:hAnsi="Arial"/>
          <w:sz w:val="16"/>
          <w:szCs w:val="16"/>
          <w:color w:val="auto"/>
        </w:rPr>
        <w:t>”) for use at the 2025 Annual Meeting of Stockholders (the “</w:t>
      </w:r>
      <w:r>
        <w:rPr>
          <w:rFonts w:ascii="Arial" w:cs="Arial" w:eastAsia="Arial" w:hAnsi="Arial"/>
          <w:sz w:val="16"/>
          <w:szCs w:val="16"/>
          <w:b w:val="1"/>
          <w:bCs w:val="1"/>
          <w:color w:val="auto"/>
        </w:rPr>
        <w:t>Annual Meeting</w:t>
      </w:r>
      <w:r>
        <w:rPr>
          <w:rFonts w:ascii="Arial" w:cs="Arial" w:eastAsia="Arial" w:hAnsi="Arial"/>
          <w:sz w:val="16"/>
          <w:szCs w:val="16"/>
          <w:color w:val="auto"/>
        </w:rPr>
        <w:t>”) to be held on Wednesday, March 12, 2025 at 10:00 a.m., Pacific time, and at any adjournment(s) or postponement(s) thereof, for the purposes set forth herein and in the accompanying Notice of Annual Meeting of Stockholders (the “</w:t>
      </w:r>
      <w:r>
        <w:rPr>
          <w:rFonts w:ascii="Arial" w:cs="Arial" w:eastAsia="Arial" w:hAnsi="Arial"/>
          <w:sz w:val="16"/>
          <w:szCs w:val="16"/>
          <w:b w:val="1"/>
          <w:bCs w:val="1"/>
          <w:color w:val="auto"/>
        </w:rPr>
        <w:t>Notice</w:t>
      </w:r>
      <w:r>
        <w:rPr>
          <w:rFonts w:ascii="Arial" w:cs="Arial" w:eastAsia="Arial" w:hAnsi="Arial"/>
          <w:sz w:val="16"/>
          <w:szCs w:val="16"/>
          <w:color w:val="auto"/>
        </w:rPr>
        <w:t>”). The Company anticipates that the Notice Regarding the Availability of Proxy Materials (the “</w:t>
      </w:r>
      <w:r>
        <w:rPr>
          <w:rFonts w:ascii="Arial" w:cs="Arial" w:eastAsia="Arial" w:hAnsi="Arial"/>
          <w:sz w:val="16"/>
          <w:szCs w:val="16"/>
          <w:b w:val="1"/>
          <w:bCs w:val="1"/>
          <w:color w:val="auto"/>
        </w:rPr>
        <w:t>Notice of Internet Availability</w:t>
      </w:r>
      <w:r>
        <w:rPr>
          <w:rFonts w:ascii="Arial" w:cs="Arial" w:eastAsia="Arial" w:hAnsi="Arial"/>
          <w:sz w:val="16"/>
          <w:szCs w:val="16"/>
          <w:color w:val="auto"/>
        </w:rPr>
        <w:t>”) in connection with these proxy solicitation materials will first be mailed on or about January 28, 2024 to all stockholders entitled to vote at the Annual Meeting and we will post our proxy materials on the website referenced in the Notice of Internet Availability. As more fully described in the Notice of Internet Availability, all stockholders may choose to access our proxy materials on the website referred to in the Notice of Internet Availability or may request to receive a printed set of our proxy materials.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This year’s meeting will be a completely “virtual” meeting of stockholders. If you were a stockholder as of the close of business on the Record Date (as defined below), you can attend the Annual Meeting online, vote your shares electronically, and submit your questions and view our list of stockholders as of the Record Date during the Annual Meeting, by visiting www.virtualshareholdermeeting.com/ARWR2025. You will need to have your 16-digit Control Number included on your Notice of Internet Availability or your proxy card (if you received a printed copy of the proxy materials) to join the Annual Meeting. If your shares are held in street name and your voting instruction form or Notice of Internet Availability indicates that you may vote those shares through www.proxyvote.com, then you may access, participate in, and vote at the Annual Meeting with the 16-digit access code indicated on that voting instruction form or Notice. Otherwise, stockholders who hold their shares in street name should contact their bank, broker or other nominee (preferably at least five days before the Annual Meeting) and obtain a “legal proxy” in order to be able to attend, participate in or vote at the Annual Meeting.</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meeting webcast will begin promptly at 10:00 a.m. Pacific Time. Online check-in will begin approximately 15 minutes before then and we encourage you to allow ample time for check-in procedures. If you experience technical difficulties during the check-in process or during the meeting, please call the number listed on the meeting website for technical support.</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will endeavor to answer as many stockholder-submitted questions as time permits that comply with the Annual Meeting rules of conduct. We reserve the right to edit profanity or other inappropriate language and to exclude questions regarding topics that are not pertinent to meeting matters or Company business. If we receive substantially similar questions, we may group such questions together and provide a single response to avoid repetition. Additional information regarding the rules and procedures for participating in the Annual Meeting will be set forth in our meeting rules of conduct, which stockholders can view during the meeting at the meeting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490855</wp:posOffset>
            </wp:positionV>
            <wp:extent cx="986155"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1120"/>
        <w:spacing w:after="0"/>
        <w:rPr>
          <w:sz w:val="20"/>
          <w:szCs w:val="20"/>
          <w:color w:val="auto"/>
        </w:rPr>
      </w:pPr>
      <w:r>
        <w:rPr>
          <w:rFonts w:ascii="Arial" w:cs="Arial" w:eastAsia="Arial" w:hAnsi="Arial"/>
          <w:sz w:val="18"/>
          <w:szCs w:val="18"/>
          <w:b w:val="1"/>
          <w:bCs w:val="1"/>
          <w:color w:val="0071CE"/>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General Information Concerning Solicitation and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By hosting the Annual Meeting virtually, we believe we can expand access, improve communication and lower costs while reducing the environmental impact of the meeting.</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Only holders of record of our common stock at the close of business on January 17, 2025 (the “</w:t>
      </w:r>
      <w:r>
        <w:rPr>
          <w:rFonts w:ascii="Arial" w:cs="Arial" w:eastAsia="Arial" w:hAnsi="Arial"/>
          <w:sz w:val="16"/>
          <w:szCs w:val="16"/>
          <w:b w:val="1"/>
          <w:bCs w:val="1"/>
          <w:color w:val="auto"/>
        </w:rPr>
        <w:t>Record Date</w:t>
      </w:r>
      <w:r>
        <w:rPr>
          <w:rFonts w:ascii="Arial" w:cs="Arial" w:eastAsia="Arial" w:hAnsi="Arial"/>
          <w:sz w:val="16"/>
          <w:szCs w:val="16"/>
          <w:color w:val="auto"/>
        </w:rPr>
        <w:t>”) are entitled to notice of the Annual Meeting and to vote at the Annual Meeting. On that date, the Company had outstanding 125,073,046 shares of common stock (“</w:t>
      </w:r>
      <w:r>
        <w:rPr>
          <w:rFonts w:ascii="Arial" w:cs="Arial" w:eastAsia="Arial" w:hAnsi="Arial"/>
          <w:sz w:val="16"/>
          <w:szCs w:val="16"/>
          <w:b w:val="1"/>
          <w:bCs w:val="1"/>
          <w:color w:val="auto"/>
        </w:rPr>
        <w:t>Common Stock</w:t>
      </w:r>
      <w:r>
        <w:rPr>
          <w:rFonts w:ascii="Arial" w:cs="Arial" w:eastAsia="Arial" w:hAnsi="Arial"/>
          <w:sz w:val="16"/>
          <w:szCs w:val="16"/>
          <w:color w:val="auto"/>
        </w:rPr>
        <w:t>”).</w:t>
      </w:r>
    </w:p>
    <w:p>
      <w:pPr>
        <w:spacing w:after="0" w:line="342"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Revocability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Any proxy given by a stockholder of record pursuant to this solicitation may be revoked by the person giving it at any time before its use by delivering to the Secretary of the Company, at or before the taking of the vote at the Annual Meeting, a written notice of revocation or a duly executed proxy bearing a later date or by attending the Annual Meeting and voting electronically. Stockholders may also revoke their proxy by entering a new vote over the Internet or by telephone.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Voting and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ind w:right="60"/>
        <w:spacing w:after="0" w:line="242" w:lineRule="auto"/>
        <w:rPr>
          <w:sz w:val="20"/>
          <w:szCs w:val="20"/>
          <w:color w:val="auto"/>
        </w:rPr>
      </w:pPr>
      <w:r>
        <w:rPr>
          <w:rFonts w:ascii="Arial" w:cs="Arial" w:eastAsia="Arial" w:hAnsi="Arial"/>
          <w:sz w:val="16"/>
          <w:szCs w:val="16"/>
          <w:color w:val="auto"/>
        </w:rPr>
        <w:t>Each share of the Company’s Common Stock is entitled to one vote on all matters presented at the Annual Meeting. Each stockholder may appoint only one proxy holder or representative to attend the Annual Meeting on his or her behalf. Stockholders do not have the right to cumulate their votes in the election of directors. Shares of Common Stock represented by properly executed proxies will, unless such proxies have been previously revoked, be voted in accordance with the instructions indicated thereon. In the absence of specific instructions to the contrary, properly executed proxies will be voted FOR the Proposals 1, 2, and 4 and “1 Year” on Proposal 3 and submitted to a vote of stockholders at the Annual Meeting pursuant to this proxy statement. No business other than that set forth in the accompanying Notice of Annual Meeting of Stockholders is expected to come before the Annual Meeting. Should any other matter requiring a vote of stockholders properly arise, the persons named in the enclosed form of proxy will vote in accordance with their best judgment.</w:t>
      </w: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If you cannot attend the Annual Meeting to vote, you may vote your shares via the Internet, telephone or by mail as set forth in the Notice.</w:t>
      </w:r>
    </w:p>
    <w:p>
      <w:pPr>
        <w:spacing w:after="0" w:line="23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has engaged a proxy solicitor, Okapi Partners, LLC, to encourage voting by our stockholders. The total cost for the solicitation campaign is estimated at about $15,000. Proxies may also be solicited by certain of the directors, officers and employees of the Company, without additional compensation. The Company will bear the costs of solicitation. In addition, the Company expects to reimburse brokerage firms and other persons representing beneficial owners of shares for their expenses in forwarding solicitation materials to such beneficial owners.</w:t>
      </w:r>
    </w:p>
    <w:p>
      <w:pPr>
        <w:spacing w:after="0" w:line="17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If your shares are held in a street name, the voting instruction form sent to you by your broker, bank or other nominee should indicate whether the institution has a process for beneficial holders to provide voting instructions over the Internet or by telephone. If your bank or brokerage firm gives you this opportunity, the voting instructions from the bank or brokerage firm that accompany this proxy statement will tell you how to use the Internet or telephone to direct the vote of shares held in your account. If your voting instruction form does not include Internet or telephone information, please complete, and return the voting instruction form in the self-addressed, postage-paid envelope provided by your broker. Stockholders who vote by proxy over the Internet or by telephone need not return a proxy card or voting instruction form by mail.</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Quorum; Abstentions;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The required quorum for the transaction of business at the Annual Meeting is a majority of the votes eligible to be cast by holders of shares of Common Stock issued and outstanding on the Record Date. Shares that are voted “FOR,” “AGAINST” or “ABSTAIN” on a matter are treated as being present at the meeting for purposes of establishing a quorum with respect to such matter. If you are the beneficial owner and do not direct your broker, fiduciary, or custodian how to vote your shares, your broker, fiduciary, or custodian will only be able to vote your shares with respect to proposals considered to be “routine.” Your broker, fiduciary, or custodian is not entitled to vote your shares with respect to “non-routine” proposals (resulting in “</w:t>
      </w:r>
      <w:r>
        <w:rPr>
          <w:rFonts w:ascii="Arial" w:cs="Arial" w:eastAsia="Arial" w:hAnsi="Arial"/>
          <w:sz w:val="16"/>
          <w:szCs w:val="16"/>
          <w:b w:val="1"/>
          <w:bCs w:val="1"/>
          <w:color w:val="auto"/>
        </w:rPr>
        <w:t>broker non-votes</w:t>
      </w:r>
      <w:r>
        <w:rPr>
          <w:rFonts w:ascii="Arial" w:cs="Arial" w:eastAsia="Arial" w:hAnsi="Arial"/>
          <w:sz w:val="16"/>
          <w:szCs w:val="16"/>
          <w:color w:val="auto"/>
        </w:rPr>
        <w:t>” for the matters on which the broker, fiduciary, or custodian does not vote). Whether a proposal is considered routine or non-routine is subject to stock exchange rules. Even with respect to routine matters, some brokers are choosing not to exercise discretionary voting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499110</wp:posOffset>
            </wp:positionV>
            <wp:extent cx="986155"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120"/>
        <w:spacing w:after="0"/>
        <w:rPr>
          <w:sz w:val="20"/>
          <w:szCs w:val="20"/>
          <w:color w:val="auto"/>
        </w:rPr>
      </w:pPr>
      <w:r>
        <w:rPr>
          <w:rFonts w:ascii="Arial" w:cs="Arial" w:eastAsia="Arial" w:hAnsi="Arial"/>
          <w:sz w:val="18"/>
          <w:szCs w:val="18"/>
          <w:b w:val="1"/>
          <w:bCs w:val="1"/>
          <w:color w:val="0071CE"/>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0071CE"/>
        </w:rPr>
        <w:t xml:space="preserve">2025 PROXY STATEMENT </w:t>
      </w:r>
      <w:r>
        <w:rPr>
          <w:rFonts w:ascii="Arial" w:cs="Arial" w:eastAsia="Arial" w:hAnsi="Arial"/>
          <w:sz w:val="14"/>
          <w:szCs w:val="14"/>
          <w:b w:val="1"/>
          <w:bCs w:val="1"/>
          <w:i w:val="1"/>
          <w:iCs w:val="1"/>
          <w:color w:val="3FAE2A"/>
        </w:rPr>
        <w:t>General Information Concerning Solicitation and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60"/>
        <w:spacing w:after="0" w:line="241" w:lineRule="auto"/>
        <w:rPr>
          <w:sz w:val="20"/>
          <w:szCs w:val="20"/>
          <w:color w:val="auto"/>
        </w:rPr>
      </w:pPr>
      <w:r>
        <w:rPr>
          <w:rFonts w:ascii="Arial" w:cs="Arial" w:eastAsia="Arial" w:hAnsi="Arial"/>
          <w:sz w:val="16"/>
          <w:szCs w:val="16"/>
          <w:color w:val="auto"/>
        </w:rPr>
        <w:t>As a result, we urge you to direct your broker, fiduciary, or custodian how to vote your shares on all proposals to ensure that your vote is counted. Shares subject to a broker non-vote will be counted as present for the purpose of determining the presence or absence of a quorum for the transaction of business at the Annual Meeting; the effect of abstentions and broker non-votes on the proposals presented herein is discussed below.</w:t>
      </w:r>
    </w:p>
    <w:p>
      <w:pPr>
        <w:spacing w:after="0" w:line="2"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color w:val="auto"/>
        </w:rPr>
        <w:t>With regard to the election of directors, votes may be cast “FOR,” “AGAINST” or “ABSTAIN” for each director nominee. Because directors are elected by a majority of votes cast in an uncontested election, abstentions from voting and broker non-votes, if any, will have no effect on the outcome of the election of directors. If a quorum is present at the meeting, the nominees receiving more “FOR” votes than “AGAINST” votes will be elected. Because Proposal Nos. 2, 3 and 4 must be approved by the affirmative vote of a majority of the shares of Common Stock entitled to vote thereon and present in person or by proxy at the Annual Meeting (the “</w:t>
      </w:r>
      <w:r>
        <w:rPr>
          <w:rFonts w:ascii="Arial" w:cs="Arial" w:eastAsia="Arial" w:hAnsi="Arial"/>
          <w:sz w:val="16"/>
          <w:szCs w:val="16"/>
          <w:b w:val="1"/>
          <w:bCs w:val="1"/>
          <w:color w:val="auto"/>
        </w:rPr>
        <w:t>Required Vote</w:t>
      </w:r>
      <w:r>
        <w:rPr>
          <w:rFonts w:ascii="Arial" w:cs="Arial" w:eastAsia="Arial" w:hAnsi="Arial"/>
          <w:sz w:val="16"/>
          <w:szCs w:val="16"/>
          <w:color w:val="auto"/>
        </w:rPr>
        <w:t>”), abstentions will have the same effect as a vote “AGAINST” the proposal, whereas broker non-votes, if any, will have no effect on its outcome.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Deadline for Receipt of Stockholder Proposals and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To be considered for inclusion in the proxy statement and proxy card for the Company’s 2026 Annual Meeting of Stockholders, proposals of stockholders pursuant to Rule 14a-8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stockholder director nominations pursuant to the proxy access provisions of the Company’s Amended and Restated Bylaws (“</w:t>
      </w:r>
      <w:r>
        <w:rPr>
          <w:rFonts w:ascii="Arial" w:cs="Arial" w:eastAsia="Arial" w:hAnsi="Arial"/>
          <w:sz w:val="16"/>
          <w:szCs w:val="16"/>
          <w:b w:val="1"/>
          <w:bCs w:val="1"/>
          <w:color w:val="auto"/>
        </w:rPr>
        <w:t>Bylaws</w:t>
      </w:r>
      <w:r>
        <w:rPr>
          <w:rFonts w:ascii="Arial" w:cs="Arial" w:eastAsia="Arial" w:hAnsi="Arial"/>
          <w:sz w:val="16"/>
          <w:szCs w:val="16"/>
          <w:color w:val="auto"/>
        </w:rPr>
        <w:t>”), must be submitted in writing to our Corporate Secretary at the address set forth on the first page of this Proxy Statement. Such proposals and nominations must be received by us not later than our close of business (5:00 p.m. Pacific Time) on September 30, 2025, and, in the case of a proxy access nomination, no earlier than August 31, 2025, and must satisfy the requirements of Rule 14a-8 and our Bylaws, as applicable. The submission of a stockholder proposal or proxy access nomination does not guarantee that it will be included in our proxy materials.</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Additionally, our Bylaws provide for advance notice procedures to nominate a person for director (other than pursuant to our Bylaws’ proxy access provisions) or to propose business to be considered by stockholders at a meeting (other than pursuant to Rule 14a-8). To be considered timely under these provisions, the stockholder’s notice must provide the information set forth in the Bylaws (which includes information required under Rule 14a-19 of the Exchange Act) and be received by the Corporate Secretary at our principal executive offices at the address set forth on the first page of this Proxy Statement between November 12, 2025 and our close of business (5:00 p.m. Pacific Time) on December 12, 2025;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2025 Annual Meeting date is advanced by more than 30 days before or delayed by more than 60 days after the anniversary date of the 2025 Annual Meeting, then stockholders must provide notice within time periods specified in our Bylaws. Our Bylaws also specify requirements as to the form and content of a stockholder’s notice. If a stockholder fails to meet these deadlines and fails to satisfy the requirements of Rule 14a-4 under the Exchange Act, we may exercise discretionary voting authority under proxies we solicit to vote on any such proposal as we determine appropriate.</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reserve the right to reject, rule out of order, or take other appropriate action regarding any nomination or proposal that does not comply with these and other applicable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896620</wp:posOffset>
            </wp:positionV>
            <wp:extent cx="986155"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1120"/>
        <w:spacing w:after="0"/>
        <w:rPr>
          <w:sz w:val="20"/>
          <w:szCs w:val="20"/>
          <w:color w:val="auto"/>
        </w:rPr>
      </w:pPr>
      <w:r>
        <w:rPr>
          <w:rFonts w:ascii="Arial" w:cs="Arial" w:eastAsia="Arial" w:hAnsi="Arial"/>
          <w:sz w:val="18"/>
          <w:szCs w:val="18"/>
          <w:b w:val="1"/>
          <w:bCs w:val="1"/>
          <w:color w:val="0071CE"/>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Proposal One — Election of Directors</w:t>
      </w:r>
    </w:p>
    <w:p>
      <w:pPr>
        <w:spacing w:after="0" w:line="269"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The Company’s Board of Directors (the “Board”) has nominated the following eight persons as directors to serve until the 2026 Annual Meeting or until their successors have been duly elected. All but one of the nominees is currently a director of Arrowhead and six were elected most recently by stockholders at the 2024 Annual Meeting. Hongbo Lu was appointed to the Arrowhead Board in February 2024 and was initially recommended to the Board by several non-management directors. Douglas Ingram is expected to be appointed to the board before our 2025 Annual Meeting and was initially recommended to the Board by our CEO and, other executive officers. Douglass Given resigned as director of the Company as of December 31, 2024</w:t>
      </w:r>
      <w:r>
        <w:rPr>
          <w:rFonts w:ascii="Arial" w:cs="Arial" w:eastAsia="Arial" w:hAnsi="Arial"/>
          <w:sz w:val="16"/>
          <w:szCs w:val="16"/>
          <w:color w:val="008080"/>
        </w:rPr>
        <w:t>.</w:t>
      </w:r>
    </w:p>
    <w:p>
      <w:pPr>
        <w:spacing w:after="0" w:line="19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None of the nominees is related by blood, marriage or adoption to any other nominee or any executive officer of the Company. The nominees receiving more “FOR” votes than “AGAINST” votes at the Annual Meeting will be elected. Unless otherwise instructed, the proxy holders will vote the proxies received by them for the nominees named below. Under Delaware law, a director not receiving a majority of votes cast in an uncontested election would continue to serve as a “holdover director” until the director resigns or is replaced. Under the Company’s director resignation policy, a director who is not reelected by a majority of the votes cast in an uncontested election will be required to tender his or her resignation to the Board, and the Board will then decide whether to accept or reject the resignation, or whether other action is required. The table below sets forth, with respect to each nominee for election, the nominee’s age, and current position with Arrowhead. The director nominees have indicated that they are willing and able to serve as directors. However, if any of the director nominees becomes unable or, for good cause, unwilling to serve, proxies may be voted for the election of such other person as shall be designated by our Board, or the Board may decrease the size of the Board.</w:t>
      </w:r>
    </w:p>
    <w:p>
      <w:pPr>
        <w:spacing w:after="0" w:line="17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color w:val="0071CE"/>
        </w:rPr>
        <w:t>Nominees for Election as Directors</w:t>
      </w:r>
      <w:r>
        <w:rPr>
          <w:rFonts w:ascii="Arial" w:cs="Arial" w:eastAsia="Arial" w:hAnsi="Arial"/>
          <w:sz w:val="16"/>
          <w:szCs w:val="16"/>
          <w:color w:val="000000"/>
        </w:rPr>
        <w:t>. The Board unanimously adopted a resolution proposing the nominees set forth below for election as Directors of the</w:t>
      </w:r>
      <w:r>
        <w:rPr>
          <w:rFonts w:ascii="Arial" w:cs="Arial" w:eastAsia="Arial" w:hAnsi="Arial"/>
          <w:sz w:val="16"/>
          <w:szCs w:val="16"/>
          <w:b w:val="1"/>
          <w:bCs w:val="1"/>
          <w:color w:val="0071CE"/>
        </w:rPr>
        <w:t xml:space="preserve"> </w:t>
      </w:r>
      <w:r>
        <w:rPr>
          <w:rFonts w:ascii="Arial" w:cs="Arial" w:eastAsia="Arial" w:hAnsi="Arial"/>
          <w:sz w:val="16"/>
          <w:szCs w:val="16"/>
          <w:color w:val="000000"/>
        </w:rPr>
        <w:t>Company for the next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141605</wp:posOffset>
            </wp:positionV>
            <wp:extent cx="4423410" cy="403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423410" cy="403225"/>
                    </a:xfrm>
                    <a:prstGeom prst="rect">
                      <a:avLst/>
                    </a:prstGeom>
                    <a:noFill/>
                  </pic:spPr>
                </pic:pic>
              </a:graphicData>
            </a:graphic>
          </wp:anchor>
        </w:drawing>
      </w:r>
    </w:p>
    <w:p>
      <w:pPr>
        <w:spacing w:after="0" w:line="297" w:lineRule="exact"/>
        <w:rPr>
          <w:sz w:val="20"/>
          <w:szCs w:val="20"/>
          <w:color w:val="auto"/>
        </w:rPr>
      </w:pPr>
    </w:p>
    <w:p>
      <w:pPr>
        <w:ind w:left="3380"/>
        <w:spacing w:after="0"/>
        <w:rPr>
          <w:sz w:val="20"/>
          <w:szCs w:val="20"/>
          <w:color w:val="auto"/>
        </w:rPr>
      </w:pPr>
      <w:r>
        <w:rPr>
          <w:rFonts w:ascii="Arial" w:cs="Arial" w:eastAsia="Arial" w:hAnsi="Arial"/>
          <w:sz w:val="16"/>
          <w:szCs w:val="16"/>
          <w:b w:val="1"/>
          <w:bCs w:val="1"/>
          <w:color w:val="auto"/>
        </w:rPr>
        <w:t>OUR BOARD UNANIMOUSLY RECOMMENDS A VOTE</w:t>
      </w:r>
    </w:p>
    <w:p>
      <w:pPr>
        <w:spacing w:after="0" w:line="35" w:lineRule="exact"/>
        <w:rPr>
          <w:sz w:val="20"/>
          <w:szCs w:val="20"/>
          <w:color w:val="auto"/>
        </w:rPr>
      </w:pPr>
    </w:p>
    <w:p>
      <w:pPr>
        <w:ind w:left="3380"/>
        <w:spacing w:after="0"/>
        <w:rPr>
          <w:sz w:val="20"/>
          <w:szCs w:val="20"/>
          <w:color w:val="auto"/>
        </w:rPr>
      </w:pPr>
      <w:r>
        <w:rPr>
          <w:rFonts w:ascii="Arial" w:cs="Arial" w:eastAsia="Arial" w:hAnsi="Arial"/>
          <w:sz w:val="16"/>
          <w:szCs w:val="16"/>
          <w:b w:val="1"/>
          <w:bCs w:val="1"/>
          <w:color w:val="0071CE"/>
        </w:rPr>
        <w:t xml:space="preserve">“FOR” </w:t>
      </w:r>
      <w:r>
        <w:rPr>
          <w:rFonts w:ascii="Arial" w:cs="Arial" w:eastAsia="Arial" w:hAnsi="Arial"/>
          <w:sz w:val="16"/>
          <w:szCs w:val="16"/>
          <w:b w:val="1"/>
          <w:bCs w:val="1"/>
          <w:color w:val="000000"/>
        </w:rPr>
        <w:t>EACH OF THE NOMINEES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1862455</wp:posOffset>
            </wp:positionV>
            <wp:extent cx="986155"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1120"/>
        <w:spacing w:after="0"/>
        <w:rPr>
          <w:sz w:val="20"/>
          <w:szCs w:val="20"/>
          <w:color w:val="auto"/>
        </w:rPr>
      </w:pPr>
      <w:r>
        <w:rPr>
          <w:rFonts w:ascii="Arial" w:cs="Arial" w:eastAsia="Arial" w:hAnsi="Arial"/>
          <w:sz w:val="18"/>
          <w:szCs w:val="18"/>
          <w:b w:val="1"/>
          <w:bCs w:val="1"/>
          <w:color w:val="0071CE"/>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jc w:val="right"/>
        <w:spacing w:after="0"/>
        <w:tabs>
          <w:tab w:leader="none" w:pos="254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71CE"/>
        </w:rPr>
        <w:t>Christopher Anzalone, PhD</w:t>
      </w:r>
    </w:p>
    <w:p>
      <w:pPr>
        <w:ind w:left="20"/>
        <w:spacing w:after="0"/>
        <w:rPr>
          <w:sz w:val="20"/>
          <w:szCs w:val="20"/>
          <w:color w:val="auto"/>
        </w:rPr>
      </w:pPr>
      <w:r>
        <w:rPr>
          <w:rFonts w:ascii="Arial" w:cs="Arial" w:eastAsia="Arial" w:hAnsi="Arial"/>
          <w:sz w:val="20"/>
          <w:szCs w:val="20"/>
          <w:b w:val="1"/>
          <w:bCs w:val="1"/>
          <w:color w:val="0071CE"/>
        </w:rPr>
        <w:t>Chief Executive Officer, President, Director &amp; Board Chair</w:t>
      </w:r>
    </w:p>
    <w:p>
      <w:pPr>
        <w:sectPr>
          <w:pgSz w:w="11900" w:h="16838" w:orient="portrait"/>
          <w:cols w:equalWidth="0" w:num="1">
            <w:col w:w="11240"/>
          </w:cols>
          <w:pgMar w:left="320" w:top="198" w:right="339" w:bottom="1440" w:gutter="0" w:footer="0" w:header="0"/>
        </w:sectPr>
      </w:pPr>
    </w:p>
    <w:p>
      <w:pPr>
        <w:spacing w:after="0" w:line="1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55</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2007</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Dr. Anzalone has been President, Chief Executive Officer and Director of the Company since December 1, 2007 and has led the Company’s business and technical development since then. Prior to joining Arrowhead, Dr. Anzalone formed and served as CEO of the Benet Group LLC, a private equity firm focused on creating and building new nano-biotechnology companies from university-generated science. Before his tenure at the Benet Group, from 1999 to 2003, he was a partner at the Washington, DC-based private equity firm Galway Partners, LLC, where he was responsible for sourcing, structuring and building new business ventures. Dr. Anzalone holds a PhD. in Biology from UCLA and a B.A. in Government from Lawrence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407670</wp:posOffset>
            </wp:positionV>
            <wp:extent cx="4920615" cy="8915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20615"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Qualifications</w:t>
      </w:r>
    </w:p>
    <w:p>
      <w:pPr>
        <w:spacing w:after="0" w:line="35" w:lineRule="exact"/>
        <w:rPr>
          <w:sz w:val="20"/>
          <w:szCs w:val="20"/>
          <w:color w:val="auto"/>
        </w:rPr>
      </w:pPr>
    </w:p>
    <w:p>
      <w:pPr>
        <w:ind w:left="140" w:right="560"/>
        <w:spacing w:after="0" w:line="256" w:lineRule="auto"/>
        <w:rPr>
          <w:sz w:val="20"/>
          <w:szCs w:val="20"/>
          <w:color w:val="auto"/>
        </w:rPr>
      </w:pPr>
      <w:r>
        <w:rPr>
          <w:rFonts w:ascii="Arial" w:cs="Arial" w:eastAsia="Arial" w:hAnsi="Arial"/>
          <w:sz w:val="16"/>
          <w:szCs w:val="16"/>
          <w:color w:val="auto"/>
        </w:rPr>
        <w:t>Dr. Anzalone’s qualifications to serve on the Board include his deep understanding of the business through his role as Chief Executive Officer; in addition, Dr. Anzalone has extensive experience in business development, biotechnology, drug development, company-building and venture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199390</wp:posOffset>
            </wp:positionV>
            <wp:extent cx="71234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851535</wp:posOffset>
            </wp:positionH>
            <wp:positionV relativeFrom="paragraph">
              <wp:posOffset>765175</wp:posOffset>
            </wp:positionV>
            <wp:extent cx="986155"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80" w:space="720"/>
            <w:col w:w="7740"/>
          </w:cols>
          <w:pgMar w:left="320" w:top="19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1120"/>
        <w:spacing w:after="0"/>
        <w:rPr>
          <w:sz w:val="20"/>
          <w:szCs w:val="20"/>
          <w:color w:val="auto"/>
        </w:rPr>
      </w:pPr>
      <w:r>
        <w:rPr>
          <w:rFonts w:ascii="Arial" w:cs="Arial" w:eastAsia="Arial" w:hAnsi="Arial"/>
          <w:sz w:val="17"/>
          <w:szCs w:val="17"/>
          <w:b w:val="1"/>
          <w:bCs w:val="1"/>
          <w:color w:val="0071CE"/>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ectPr>
          <w:pgSz w:w="11900" w:h="16838" w:orient="portrait"/>
          <w:cols w:equalWidth="0" w:num="1">
            <w:col w:w="11220"/>
          </w:cols>
          <w:pgMar w:left="320" w:top="19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71CE"/>
        </w:rPr>
        <w:t>Mauro Ferrari, PhD</w:t>
      </w:r>
    </w:p>
    <w:p>
      <w:pPr>
        <w:ind w:left="20"/>
        <w:spacing w:after="0"/>
        <w:rPr>
          <w:sz w:val="20"/>
          <w:szCs w:val="20"/>
          <w:color w:val="auto"/>
        </w:rPr>
      </w:pPr>
      <w:r>
        <w:rPr>
          <w:rFonts w:ascii="Arial" w:cs="Arial" w:eastAsia="Arial" w:hAnsi="Arial"/>
          <w:sz w:val="20"/>
          <w:szCs w:val="20"/>
          <w:b w:val="1"/>
          <w:bCs w:val="1"/>
          <w:i w:val="1"/>
          <w:iCs w:val="1"/>
          <w:color w:val="0071CE"/>
        </w:rPr>
        <w:t>Independent Director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65</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2010</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Serves on:</w:t>
      </w:r>
    </w:p>
    <w:p>
      <w:pPr>
        <w:spacing w:after="0" w:line="19" w:lineRule="exact"/>
        <w:rPr>
          <w:sz w:val="20"/>
          <w:szCs w:val="20"/>
          <w:color w:val="auto"/>
        </w:rPr>
      </w:pPr>
    </w:p>
    <w:p>
      <w:pPr>
        <w:ind w:left="260" w:hanging="152"/>
        <w:spacing w:after="0"/>
        <w:tabs>
          <w:tab w:leader="none" w:pos="260" w:val="left"/>
        </w:tabs>
        <w:numPr>
          <w:ilvl w:val="0"/>
          <w:numId w:val="6"/>
        </w:numPr>
        <w:rPr>
          <w:rFonts w:ascii="Arial" w:cs="Arial" w:eastAsia="Arial" w:hAnsi="Arial"/>
          <w:sz w:val="18"/>
          <w:szCs w:val="18"/>
          <w:color w:val="0071CE"/>
        </w:rPr>
      </w:pPr>
      <w:r>
        <w:rPr>
          <w:rFonts w:ascii="Arial" w:cs="Arial" w:eastAsia="Arial" w:hAnsi="Arial"/>
          <w:sz w:val="16"/>
          <w:szCs w:val="16"/>
          <w:color w:val="auto"/>
        </w:rPr>
        <w:t>Science Committee (Co-Chair)</w:t>
      </w:r>
    </w:p>
    <w:p>
      <w:pPr>
        <w:spacing w:after="0" w:line="13" w:lineRule="exact"/>
        <w:rPr>
          <w:rFonts w:ascii="Arial" w:cs="Arial" w:eastAsia="Arial" w:hAnsi="Arial"/>
          <w:sz w:val="18"/>
          <w:szCs w:val="18"/>
          <w:color w:val="0071CE"/>
        </w:rPr>
      </w:pPr>
    </w:p>
    <w:p>
      <w:pPr>
        <w:ind w:left="260" w:hanging="152"/>
        <w:spacing w:after="0"/>
        <w:tabs>
          <w:tab w:leader="none" w:pos="260" w:val="left"/>
        </w:tabs>
        <w:numPr>
          <w:ilvl w:val="0"/>
          <w:numId w:val="6"/>
        </w:numPr>
        <w:rPr>
          <w:rFonts w:ascii="Arial" w:cs="Arial" w:eastAsia="Arial" w:hAnsi="Arial"/>
          <w:sz w:val="18"/>
          <w:szCs w:val="18"/>
          <w:b w:val="1"/>
          <w:bCs w:val="1"/>
          <w:color w:val="0071CE"/>
        </w:rPr>
      </w:pPr>
      <w:r>
        <w:rPr>
          <w:rFonts w:ascii="Arial" w:cs="Arial" w:eastAsia="Arial" w:hAnsi="Arial"/>
          <w:sz w:val="16"/>
          <w:szCs w:val="16"/>
          <w:color w:val="auto"/>
        </w:rPr>
        <w:t>Audit Committee</w:t>
      </w:r>
    </w:p>
    <w:p>
      <w:pPr>
        <w:spacing w:after="0" w:line="98" w:lineRule="exact"/>
        <w:rPr>
          <w:rFonts w:ascii="Arial" w:cs="Arial" w:eastAsia="Arial" w:hAnsi="Arial"/>
          <w:sz w:val="18"/>
          <w:szCs w:val="18"/>
          <w:b w:val="1"/>
          <w:bCs w:val="1"/>
          <w:color w:val="0071CE"/>
        </w:rPr>
      </w:pPr>
    </w:p>
    <w:p>
      <w:pPr>
        <w:ind w:left="260" w:hanging="152"/>
        <w:spacing w:after="0"/>
        <w:tabs>
          <w:tab w:leader="none" w:pos="260" w:val="left"/>
        </w:tabs>
        <w:numPr>
          <w:ilvl w:val="0"/>
          <w:numId w:val="6"/>
        </w:numPr>
        <w:rPr>
          <w:rFonts w:ascii="Arial" w:cs="Arial" w:eastAsia="Arial" w:hAnsi="Arial"/>
          <w:sz w:val="18"/>
          <w:szCs w:val="18"/>
          <w:b w:val="1"/>
          <w:bCs w:val="1"/>
          <w:color w:val="0071CE"/>
        </w:rPr>
      </w:pPr>
      <w:r>
        <w:rPr>
          <w:rFonts w:ascii="Arial" w:cs="Arial" w:eastAsia="Arial" w:hAnsi="Arial"/>
          <w:sz w:val="16"/>
          <w:szCs w:val="16"/>
          <w:color w:val="auto"/>
        </w:rPr>
        <w:t>Nomination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1"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Dr. Ferrari currently serves as Affiliate Professor of Pharmaceutics at the University of Washington in Seattle, Washington and as President, CEO, and Board Member of BrYet US, Inc., a biotech company, in Houston, Texas. He also serves as Chairman of the Board of BrYet Europe, a wholly-owned subsidiary of BrYet US, based in Italy. From 2010 to 2019, Dr. Ferrari served in several different capacities at the Houston Methodist Hospital, including President and CEO of The Houston Methodist Hospital Research Institute (TMHRI), Executive Vice President of Houston Methodist Hospital, and Senior Associate Dean of the hospital’s academic affiliate, Weill Cornell Medical College in New York. Dr. Ferrari is an internationally recognized expert in cancer therapeutics, nanomedicine and biomedical nanotechnology. His previous academic appointments include tenured professorships at his graduate Alma Mater UC Berkeley, The Ohio State University, as Professor and Chair of The Department of NanoMedicine and Biomedical Engineering at The University of Texas Health Science Center, Professor of Experimental Therapeutics at the MD Anderson Cancer Center, as Adjunct Professor of Bioengineering at Rice University, and as Adjunct Professor of Business at the University of Saint Thomas. From 2003 to 2005, Dr. Ferrari served as Special Expert on Nanotechnology and Eminent Scholar at The National Cancer Institute. He has received many National and International awards and recognitions.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742950</wp:posOffset>
            </wp:positionV>
            <wp:extent cx="4920615" cy="1371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20615"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Qualifications:</w:t>
      </w:r>
    </w:p>
    <w:p>
      <w:pPr>
        <w:spacing w:after="0" w:line="35" w:lineRule="exact"/>
        <w:rPr>
          <w:sz w:val="20"/>
          <w:szCs w:val="20"/>
          <w:color w:val="auto"/>
        </w:rPr>
      </w:pPr>
    </w:p>
    <w:p>
      <w:pPr>
        <w:ind w:left="140" w:right="20"/>
        <w:spacing w:after="0" w:line="257" w:lineRule="auto"/>
        <w:rPr>
          <w:sz w:val="20"/>
          <w:szCs w:val="20"/>
          <w:color w:val="auto"/>
        </w:rPr>
      </w:pPr>
      <w:r>
        <w:rPr>
          <w:rFonts w:ascii="Arial" w:cs="Arial" w:eastAsia="Arial" w:hAnsi="Arial"/>
          <w:sz w:val="16"/>
          <w:szCs w:val="16"/>
          <w:color w:val="auto"/>
        </w:rPr>
        <w:t>Dr. Ferrari’s qualifications to serve on the Board include his extensive training and experience in the fields of nanotechnology, biotechnology and biomedical applications. Dr. Ferrari has significant technical training, several academic appointments, over 500 published articles, over 30 issued patents, and is the recipient of most prestigious academic awards in nanomedicine and drug delivery technology. Additionally, Dr. Ferrari has extensive experience in developmental stage organizations having founded several startup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242570</wp:posOffset>
            </wp:positionV>
            <wp:extent cx="71234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851535</wp:posOffset>
            </wp:positionH>
            <wp:positionV relativeFrom="paragraph">
              <wp:posOffset>808355</wp:posOffset>
            </wp:positionV>
            <wp:extent cx="986155" cy="205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80" w:space="720"/>
            <w:col w:w="7720"/>
          </w:cols>
          <w:pgMar w:left="320" w:top="19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1120"/>
        <w:spacing w:after="0"/>
        <w:rPr>
          <w:sz w:val="20"/>
          <w:szCs w:val="20"/>
          <w:color w:val="auto"/>
        </w:rPr>
      </w:pPr>
      <w:r>
        <w:rPr>
          <w:rFonts w:ascii="Arial" w:cs="Arial" w:eastAsia="Arial" w:hAnsi="Arial"/>
          <w:sz w:val="17"/>
          <w:szCs w:val="17"/>
          <w:b w:val="1"/>
          <w:bCs w:val="1"/>
          <w:color w:val="0071CE"/>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71CE"/>
        </w:rPr>
        <w:t>Douglas Ingram</w:t>
      </w:r>
    </w:p>
    <w:p>
      <w:pPr>
        <w:ind w:left="60"/>
        <w:spacing w:after="0"/>
        <w:rPr>
          <w:sz w:val="20"/>
          <w:szCs w:val="20"/>
          <w:color w:val="auto"/>
        </w:rPr>
      </w:pPr>
      <w:r>
        <w:rPr>
          <w:rFonts w:ascii="Arial" w:cs="Arial" w:eastAsia="Arial" w:hAnsi="Arial"/>
          <w:sz w:val="20"/>
          <w:szCs w:val="20"/>
          <w:b w:val="1"/>
          <w:bCs w:val="1"/>
          <w:i w:val="1"/>
          <w:iCs w:val="1"/>
          <w:color w:val="0071CE"/>
        </w:rPr>
        <w:t>Independent Director</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62</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New Nominee</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Public Company Boards:</w:t>
      </w:r>
    </w:p>
    <w:p>
      <w:pPr>
        <w:spacing w:after="0" w:line="32" w:lineRule="exact"/>
        <w:rPr>
          <w:sz w:val="20"/>
          <w:szCs w:val="20"/>
          <w:color w:val="auto"/>
        </w:rPr>
      </w:pPr>
    </w:p>
    <w:p>
      <w:pPr>
        <w:ind w:left="260" w:hanging="153"/>
        <w:spacing w:after="0"/>
        <w:tabs>
          <w:tab w:leader="none" w:pos="260" w:val="left"/>
        </w:tabs>
        <w:numPr>
          <w:ilvl w:val="0"/>
          <w:numId w:val="7"/>
        </w:numPr>
        <w:rPr>
          <w:rFonts w:ascii="Arial" w:cs="Arial" w:eastAsia="Arial" w:hAnsi="Arial"/>
          <w:sz w:val="18"/>
          <w:szCs w:val="18"/>
          <w:color w:val="0071CE"/>
        </w:rPr>
      </w:pPr>
      <w:r>
        <w:rPr>
          <w:rFonts w:ascii="Arial" w:cs="Arial" w:eastAsia="Arial" w:hAnsi="Arial"/>
          <w:sz w:val="16"/>
          <w:szCs w:val="16"/>
          <w:color w:val="auto"/>
        </w:rPr>
        <w:t>Sarepta Therapeutics, Inc.</w:t>
      </w:r>
    </w:p>
    <w:p>
      <w:pPr>
        <w:spacing w:after="0" w:line="13" w:lineRule="exact"/>
        <w:rPr>
          <w:rFonts w:ascii="Arial" w:cs="Arial" w:eastAsia="Arial" w:hAnsi="Arial"/>
          <w:sz w:val="18"/>
          <w:szCs w:val="18"/>
          <w:color w:val="0071CE"/>
        </w:rPr>
      </w:pPr>
    </w:p>
    <w:p>
      <w:pPr>
        <w:ind w:left="260" w:hanging="153"/>
        <w:spacing w:after="0"/>
        <w:tabs>
          <w:tab w:leader="none" w:pos="260" w:val="left"/>
        </w:tabs>
        <w:numPr>
          <w:ilvl w:val="0"/>
          <w:numId w:val="7"/>
        </w:numPr>
        <w:rPr>
          <w:rFonts w:ascii="Arial" w:cs="Arial" w:eastAsia="Arial" w:hAnsi="Arial"/>
          <w:sz w:val="18"/>
          <w:szCs w:val="18"/>
          <w:color w:val="026DCE"/>
        </w:rPr>
      </w:pPr>
      <w:r>
        <w:rPr>
          <w:rFonts w:ascii="Arial" w:cs="Arial" w:eastAsia="Arial" w:hAnsi="Arial"/>
          <w:sz w:val="16"/>
          <w:szCs w:val="16"/>
          <w:color w:val="auto"/>
        </w:rPr>
        <w:t>Relay Therapeutics, Inc.</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right"/>
        <w:spacing w:after="0"/>
        <w:tabs>
          <w:tab w:leader="none" w:pos="254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1" w:lineRule="exact"/>
        <w:rPr>
          <w:sz w:val="20"/>
          <w:szCs w:val="20"/>
          <w:color w:val="auto"/>
        </w:rPr>
      </w:pPr>
    </w:p>
    <w:p>
      <w:pPr>
        <w:ind w:right="40" w:firstLine="45"/>
        <w:spacing w:after="0" w:line="254" w:lineRule="auto"/>
        <w:rPr>
          <w:sz w:val="20"/>
          <w:szCs w:val="20"/>
          <w:color w:val="auto"/>
        </w:rPr>
      </w:pPr>
      <w:r>
        <w:rPr>
          <w:rFonts w:ascii="Arial" w:cs="Arial" w:eastAsia="Arial" w:hAnsi="Arial"/>
          <w:sz w:val="16"/>
          <w:szCs w:val="16"/>
          <w:color w:val="auto"/>
        </w:rPr>
        <w:t>Mr. Ingram has served as the President and Chief Executive Officer of Sarepta Therapeutics, Inc. (Nasdaq: SRPT), a biopharmaceutical company for rare diseases, since June,2017. Prior to joining Sarepta, Mr. Ingram served as a Chief Executive Officer, President and Director of Chase Pharmaceuticals Corporation, a clinical-stage biopharmaceutical company from December 2015 until November 2016. Prior to joining Chase Pharmaceuticals, Mr. Ingram served as the President of Allergan, Inc., a pharmaceutical company, from July 2013 until it was acquired by Actavis in early 2015. At Allergan, he also served as President, Europe, Africa and Middle East from August 2010 to June 2013, and Executive Vice President, Chief Administrative Officer, and Secretary from October 2006 to July 2010, where he led Allergan’s Global Legal Affairs, Compliance, Internal Audit and Internal Controls, Human Resources, Regulatory Affairs and Safety, and Global Corporate Affairs and Public Relations departments. Mr. Ingram also served as General Counsel of Allergan from January 2001 to June 2009 and as Secretary and Chief Ethics Officer from July 2001 to July 2010. With the acquisition of Allergan by Actavis, Mr. Ingram consulted as a special advisor to the Chief Executive Officer of Actavis. Mr. Ingram served as a director of Pacific Mutual Holding Company, a parent company for subsidiaries engaged in a variety of insurance, financial services and other investment-related businesses, from March 2015 to May 2018. Mr. Ingram received his J.D. from the University of Arizona and his Bachelor of Science degree from Arizona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755015</wp:posOffset>
            </wp:positionV>
            <wp:extent cx="4928870" cy="11315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28870"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Qualifications:</w:t>
      </w:r>
    </w:p>
    <w:p>
      <w:pPr>
        <w:spacing w:after="0" w:line="21" w:lineRule="exact"/>
        <w:rPr>
          <w:sz w:val="20"/>
          <w:szCs w:val="20"/>
          <w:color w:val="auto"/>
        </w:rPr>
      </w:pPr>
    </w:p>
    <w:p>
      <w:pPr>
        <w:ind w:left="140" w:right="120"/>
        <w:spacing w:after="0" w:line="260" w:lineRule="auto"/>
        <w:rPr>
          <w:sz w:val="20"/>
          <w:szCs w:val="20"/>
          <w:color w:val="auto"/>
        </w:rPr>
      </w:pPr>
      <w:r>
        <w:rPr>
          <w:rFonts w:ascii="Arial" w:cs="Arial" w:eastAsia="Arial" w:hAnsi="Arial"/>
          <w:sz w:val="16"/>
          <w:szCs w:val="16"/>
          <w:color w:val="auto"/>
        </w:rPr>
        <w:t>Mr. Ingram’s qualifications to serve on the Board include his deep understanding of the business through his role as President and Chief Executive Officer of Sarepta Therapeutics, Inc., which gives him an extensive understanding of our business and operations. Additionally, Mr. Ingram has extensive experience in business development, biotechnology, drug development, company-building and venture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189230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851535</wp:posOffset>
            </wp:positionH>
            <wp:positionV relativeFrom="paragraph">
              <wp:posOffset>909320</wp:posOffset>
            </wp:positionV>
            <wp:extent cx="986155" cy="205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80" w:space="720"/>
            <w:col w:w="7740"/>
          </w:cols>
          <w:pgMar w:left="320" w:top="1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120"/>
        <w:spacing w:after="0"/>
        <w:rPr>
          <w:sz w:val="20"/>
          <w:szCs w:val="20"/>
          <w:color w:val="auto"/>
        </w:rPr>
      </w:pPr>
      <w:r>
        <w:rPr>
          <w:rFonts w:ascii="Arial" w:cs="Arial" w:eastAsia="Arial" w:hAnsi="Arial"/>
          <w:sz w:val="17"/>
          <w:szCs w:val="17"/>
          <w:b w:val="1"/>
          <w:bCs w:val="1"/>
          <w:color w:val="0071CE"/>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ectPr>
          <w:pgSz w:w="11900" w:h="16838" w:orient="portrait"/>
          <w:cols w:equalWidth="0" w:num="1">
            <w:col w:w="11220"/>
          </w:cols>
          <w:pgMar w:left="320" w:top="19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0071CE"/>
        </w:rPr>
        <w:t>Hongbo Lu</w:t>
      </w:r>
    </w:p>
    <w:p>
      <w:pPr>
        <w:ind w:left="60"/>
        <w:spacing w:after="0"/>
        <w:rPr>
          <w:sz w:val="20"/>
          <w:szCs w:val="20"/>
          <w:color w:val="auto"/>
        </w:rPr>
      </w:pPr>
      <w:r>
        <w:rPr>
          <w:rFonts w:ascii="Arial" w:cs="Arial" w:eastAsia="Arial" w:hAnsi="Arial"/>
          <w:sz w:val="20"/>
          <w:szCs w:val="20"/>
          <w:b w:val="1"/>
          <w:bCs w:val="1"/>
          <w:i w:val="1"/>
          <w:iCs w:val="1"/>
          <w:color w:val="0071CE"/>
        </w:rPr>
        <w:t>Independent Director</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54</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2024</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Serves on:</w:t>
      </w:r>
    </w:p>
    <w:p>
      <w:pPr>
        <w:spacing w:after="0" w:line="19" w:lineRule="exact"/>
        <w:rPr>
          <w:sz w:val="20"/>
          <w:szCs w:val="20"/>
          <w:color w:val="auto"/>
        </w:rPr>
      </w:pPr>
    </w:p>
    <w:p>
      <w:pPr>
        <w:ind w:left="260" w:hanging="149"/>
        <w:spacing w:after="0"/>
        <w:tabs>
          <w:tab w:leader="none" w:pos="260" w:val="left"/>
        </w:tabs>
        <w:numPr>
          <w:ilvl w:val="0"/>
          <w:numId w:val="8"/>
        </w:numPr>
        <w:rPr>
          <w:rFonts w:ascii="Arial" w:cs="Arial" w:eastAsia="Arial" w:hAnsi="Arial"/>
          <w:sz w:val="18"/>
          <w:szCs w:val="18"/>
          <w:color w:val="0071CE"/>
        </w:rPr>
      </w:pPr>
      <w:r>
        <w:rPr>
          <w:rFonts w:ascii="Arial" w:cs="Arial" w:eastAsia="Arial" w:hAnsi="Arial"/>
          <w:sz w:val="16"/>
          <w:szCs w:val="16"/>
          <w:color w:val="auto"/>
        </w:rPr>
        <w:t>Science Committee</w:t>
      </w:r>
    </w:p>
    <w:p>
      <w:pPr>
        <w:spacing w:after="0" w:line="11" w:lineRule="exact"/>
        <w:rPr>
          <w:rFonts w:ascii="Arial" w:cs="Arial" w:eastAsia="Arial" w:hAnsi="Arial"/>
          <w:sz w:val="18"/>
          <w:szCs w:val="18"/>
          <w:color w:val="0071CE"/>
        </w:rPr>
      </w:pPr>
    </w:p>
    <w:p>
      <w:pPr>
        <w:ind w:left="260" w:hanging="149"/>
        <w:spacing w:after="0"/>
        <w:tabs>
          <w:tab w:leader="none" w:pos="260" w:val="left"/>
        </w:tabs>
        <w:numPr>
          <w:ilvl w:val="0"/>
          <w:numId w:val="8"/>
        </w:numPr>
        <w:rPr>
          <w:rFonts w:ascii="Arial" w:cs="Arial" w:eastAsia="Arial" w:hAnsi="Arial"/>
          <w:sz w:val="16"/>
          <w:szCs w:val="16"/>
          <w:b w:val="1"/>
          <w:bCs w:val="1"/>
          <w:color w:val="0071CE"/>
        </w:rPr>
      </w:pPr>
      <w:r>
        <w:rPr>
          <w:rFonts w:ascii="Arial" w:cs="Arial" w:eastAsia="Arial" w:hAnsi="Arial"/>
          <w:sz w:val="16"/>
          <w:szCs w:val="16"/>
          <w:color w:val="auto"/>
        </w:rPr>
        <w:t>Nomination Committee</w:t>
      </w:r>
    </w:p>
    <w:p>
      <w:pPr>
        <w:spacing w:after="0" w:line="83" w:lineRule="exact"/>
        <w:rPr>
          <w:rFonts w:ascii="Arial" w:cs="Arial" w:eastAsia="Arial" w:hAnsi="Arial"/>
          <w:sz w:val="16"/>
          <w:szCs w:val="16"/>
          <w:b w:val="1"/>
          <w:bCs w:val="1"/>
          <w:color w:val="0071CE"/>
        </w:rPr>
      </w:pPr>
    </w:p>
    <w:p>
      <w:pPr>
        <w:ind w:left="260" w:hanging="149"/>
        <w:spacing w:after="0"/>
        <w:tabs>
          <w:tab w:leader="none" w:pos="260" w:val="left"/>
        </w:tabs>
        <w:numPr>
          <w:ilvl w:val="0"/>
          <w:numId w:val="8"/>
        </w:numPr>
        <w:rPr>
          <w:rFonts w:ascii="Arial" w:cs="Arial" w:eastAsia="Arial" w:hAnsi="Arial"/>
          <w:sz w:val="16"/>
          <w:szCs w:val="16"/>
          <w:b w:val="1"/>
          <w:bCs w:val="1"/>
          <w:color w:val="0071CE"/>
        </w:rPr>
      </w:pPr>
      <w:r>
        <w:rPr>
          <w:rFonts w:ascii="Arial" w:cs="Arial" w:eastAsia="Arial" w:hAnsi="Arial"/>
          <w:sz w:val="16"/>
          <w:szCs w:val="16"/>
          <w:color w:val="auto"/>
        </w:rPr>
        <w:t>Compensation Committee</w:t>
      </w:r>
    </w:p>
    <w:p>
      <w:pPr>
        <w:spacing w:after="0" w:line="100"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Other Public Company Boards:</w:t>
      </w:r>
    </w:p>
    <w:p>
      <w:pPr>
        <w:spacing w:after="0" w:line="46" w:lineRule="exact"/>
        <w:rPr>
          <w:sz w:val="20"/>
          <w:szCs w:val="20"/>
          <w:color w:val="auto"/>
        </w:rPr>
      </w:pPr>
    </w:p>
    <w:p>
      <w:pPr>
        <w:ind w:left="260" w:hanging="149"/>
        <w:spacing w:after="0"/>
        <w:tabs>
          <w:tab w:leader="none" w:pos="260" w:val="left"/>
        </w:tabs>
        <w:numPr>
          <w:ilvl w:val="0"/>
          <w:numId w:val="9"/>
        </w:numPr>
        <w:rPr>
          <w:rFonts w:ascii="Arial" w:cs="Arial" w:eastAsia="Arial" w:hAnsi="Arial"/>
          <w:sz w:val="18"/>
          <w:szCs w:val="18"/>
          <w:color w:val="0071CE"/>
        </w:rPr>
      </w:pPr>
      <w:r>
        <w:rPr>
          <w:rFonts w:ascii="Arial" w:cs="Arial" w:eastAsia="Arial" w:hAnsi="Arial"/>
          <w:sz w:val="16"/>
          <w:szCs w:val="16"/>
          <w:color w:val="auto"/>
        </w:rPr>
        <w:t>Terns Pharmaceuticals, Inc.</w:t>
      </w:r>
    </w:p>
    <w:p>
      <w:pPr>
        <w:spacing w:after="0" w:line="11" w:lineRule="exact"/>
        <w:rPr>
          <w:rFonts w:ascii="Arial" w:cs="Arial" w:eastAsia="Arial" w:hAnsi="Arial"/>
          <w:sz w:val="18"/>
          <w:szCs w:val="18"/>
          <w:color w:val="0071CE"/>
        </w:rPr>
      </w:pPr>
    </w:p>
    <w:p>
      <w:pPr>
        <w:ind w:left="260" w:hanging="149"/>
        <w:spacing w:after="0"/>
        <w:tabs>
          <w:tab w:leader="none" w:pos="260" w:val="left"/>
        </w:tabs>
        <w:numPr>
          <w:ilvl w:val="0"/>
          <w:numId w:val="9"/>
        </w:numPr>
        <w:rPr>
          <w:rFonts w:ascii="Arial" w:cs="Arial" w:eastAsia="Arial" w:hAnsi="Arial"/>
          <w:sz w:val="16"/>
          <w:szCs w:val="16"/>
          <w:color w:val="026DCE"/>
        </w:rPr>
      </w:pPr>
      <w:r>
        <w:rPr>
          <w:rFonts w:ascii="Arial" w:cs="Arial" w:eastAsia="Arial" w:hAnsi="Arial"/>
          <w:sz w:val="16"/>
          <w:szCs w:val="16"/>
          <w:color w:val="auto"/>
        </w:rPr>
        <w:t>Zenas Biopharma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1"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Hongbo Lu, Ph.D., has served as a member of our board of directors since March 2024. Dr. Lu is the founding member of NEXTBio Capital, a newly launched biotech investment firm. Dr. Lu has over 20 years of healthcare investment management experience in both public securities and private companies, including prior roles previously served as Managing Partner at Vivo Capital LLC (“Vivo Capital”), a Palo Alto-based investment firm, a position she has held since December 2020, Managing Partner at Lilly Asia Ventures (LAV), a venture capital firm, from January 2017 to December 2020, and Managing Director at OrbiMed Advisors. Over her investment career, Dr. Lu served on the boards of over 20 healthcare companies, including Turning Point Therapeutics, Crown Bioscience Inc (6554.TT), Avedro, Inc., Rgenta, Ronovo Surgical, Avistone, and BlossomHill Therapeutics Inc. Dr. Lu currently serves on the board of directors for, Terns Pharmaceuticals Inc. (Nasdaq: TERN), where she has served as director since 2020, Zenas BioPharma (Nasdaq: ZBIO), where she has served as director since 2022, Ribox Therapeutics, where she has served as director since 2021, Visirna Therapeutics, where she has served as director since 2021, and Createrna Science and Technology. Dr. Lu started her Wall Street career as a biotechanalyst at Piper Jaffray &amp; Co. and was involved in biotech start-up Zyomyx in the San Francisco Bay Area previously. Dr. Lu earned a Ph.D. in Bioengineering from the University of Washington, an M.B.A. from the Haas School of Business at the University of California, Berkeley, and graduated with honors from Tsinghua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489585</wp:posOffset>
            </wp:positionV>
            <wp:extent cx="4920615" cy="8915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20615"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0" w:right="100"/>
        <w:spacing w:after="0" w:line="275" w:lineRule="auto"/>
        <w:rPr>
          <w:sz w:val="20"/>
          <w:szCs w:val="20"/>
          <w:color w:val="auto"/>
        </w:rPr>
      </w:pPr>
      <w:r>
        <w:rPr>
          <w:rFonts w:ascii="Arial" w:cs="Arial" w:eastAsia="Arial" w:hAnsi="Arial"/>
          <w:sz w:val="16"/>
          <w:szCs w:val="16"/>
          <w:b w:val="1"/>
          <w:bCs w:val="1"/>
          <w:color w:val="auto"/>
        </w:rPr>
        <w:t xml:space="preserve">Qualifications: </w:t>
      </w:r>
      <w:r>
        <w:rPr>
          <w:rFonts w:ascii="Arial" w:cs="Arial" w:eastAsia="Arial" w:hAnsi="Arial"/>
          <w:sz w:val="16"/>
          <w:szCs w:val="16"/>
          <w:color w:val="auto"/>
        </w:rPr>
        <w:t>Dr. Lu’s qualifications to serve on the Board include her deep experience in international</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and the pharmaceutical industry, her expertise with venture and capital markets, and her executive leadership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327660</wp:posOffset>
            </wp:positionV>
            <wp:extent cx="71234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851535</wp:posOffset>
            </wp:positionH>
            <wp:positionV relativeFrom="paragraph">
              <wp:posOffset>1047750</wp:posOffset>
            </wp:positionV>
            <wp:extent cx="986155" cy="205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80" w:space="720"/>
            <w:col w:w="7720"/>
          </w:cols>
          <w:pgMar w:left="320" w:top="19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1120"/>
        <w:spacing w:after="0"/>
        <w:rPr>
          <w:sz w:val="20"/>
          <w:szCs w:val="20"/>
          <w:color w:val="auto"/>
        </w:rPr>
      </w:pPr>
      <w:r>
        <w:rPr>
          <w:rFonts w:ascii="Arial" w:cs="Arial" w:eastAsia="Arial" w:hAnsi="Arial"/>
          <w:sz w:val="17"/>
          <w:szCs w:val="17"/>
          <w:b w:val="1"/>
          <w:bCs w:val="1"/>
          <w:color w:val="0071CE"/>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jc w:val="right"/>
        <w:spacing w:after="0"/>
        <w:tabs>
          <w:tab w:leader="none" w:pos="254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ectPr>
          <w:pgSz w:w="11900" w:h="16838" w:orient="portrait"/>
          <w:cols w:equalWidth="0" w:num="1">
            <w:col w:w="11240"/>
          </w:cols>
          <w:pgMar w:left="320" w:top="1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71CE"/>
        </w:rPr>
        <w:t>Adeoye Olukotun, MD, MPH</w:t>
      </w:r>
    </w:p>
    <w:p>
      <w:pPr>
        <w:ind w:left="20"/>
        <w:spacing w:after="0"/>
        <w:rPr>
          <w:sz w:val="20"/>
          <w:szCs w:val="20"/>
          <w:color w:val="auto"/>
        </w:rPr>
      </w:pPr>
      <w:r>
        <w:rPr>
          <w:rFonts w:ascii="Arial" w:cs="Arial" w:eastAsia="Arial" w:hAnsi="Arial"/>
          <w:sz w:val="20"/>
          <w:szCs w:val="20"/>
          <w:b w:val="1"/>
          <w:bCs w:val="1"/>
          <w:i w:val="1"/>
          <w:iCs w:val="1"/>
          <w:color w:val="0071CE"/>
        </w:rPr>
        <w:t>Independent Director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80</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2020</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Serves on:</w:t>
      </w:r>
    </w:p>
    <w:p>
      <w:pPr>
        <w:spacing w:after="0" w:line="19" w:lineRule="exact"/>
        <w:rPr>
          <w:sz w:val="20"/>
          <w:szCs w:val="20"/>
          <w:color w:val="auto"/>
        </w:rPr>
      </w:pPr>
    </w:p>
    <w:p>
      <w:pPr>
        <w:ind w:left="260" w:hanging="152"/>
        <w:spacing w:after="0"/>
        <w:tabs>
          <w:tab w:leader="none" w:pos="260" w:val="left"/>
        </w:tabs>
        <w:numPr>
          <w:ilvl w:val="0"/>
          <w:numId w:val="10"/>
        </w:numPr>
        <w:rPr>
          <w:rFonts w:ascii="Arial" w:cs="Arial" w:eastAsia="Arial" w:hAnsi="Arial"/>
          <w:sz w:val="18"/>
          <w:szCs w:val="18"/>
          <w:color w:val="0071CE"/>
        </w:rPr>
      </w:pPr>
      <w:r>
        <w:rPr>
          <w:rFonts w:ascii="Arial" w:cs="Arial" w:eastAsia="Arial" w:hAnsi="Arial"/>
          <w:sz w:val="16"/>
          <w:szCs w:val="16"/>
          <w:color w:val="auto"/>
        </w:rPr>
        <w:t>Science Committee (Co-Chair)</w:t>
      </w:r>
    </w:p>
    <w:p>
      <w:pPr>
        <w:spacing w:after="0" w:line="13" w:lineRule="exact"/>
        <w:rPr>
          <w:rFonts w:ascii="Arial" w:cs="Arial" w:eastAsia="Arial" w:hAnsi="Arial"/>
          <w:sz w:val="18"/>
          <w:szCs w:val="18"/>
          <w:color w:val="0071CE"/>
        </w:rPr>
      </w:pPr>
    </w:p>
    <w:p>
      <w:pPr>
        <w:ind w:left="260" w:hanging="152"/>
        <w:spacing w:after="0"/>
        <w:tabs>
          <w:tab w:leader="none" w:pos="260" w:val="left"/>
        </w:tabs>
        <w:numPr>
          <w:ilvl w:val="0"/>
          <w:numId w:val="10"/>
        </w:numPr>
        <w:rPr>
          <w:rFonts w:ascii="Arial" w:cs="Arial" w:eastAsia="Arial" w:hAnsi="Arial"/>
          <w:sz w:val="18"/>
          <w:szCs w:val="18"/>
          <w:color w:val="0071CE"/>
        </w:rPr>
      </w:pPr>
      <w:r>
        <w:rPr>
          <w:rFonts w:ascii="Arial" w:cs="Arial" w:eastAsia="Arial" w:hAnsi="Arial"/>
          <w:sz w:val="16"/>
          <w:szCs w:val="16"/>
          <w:color w:val="auto"/>
        </w:rPr>
        <w:t>Nomination Committee</w:t>
      </w:r>
    </w:p>
    <w:p>
      <w:pPr>
        <w:spacing w:after="0" w:line="23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Other Public Company Boards:</w:t>
      </w:r>
    </w:p>
    <w:p>
      <w:pPr>
        <w:spacing w:after="0" w:line="32" w:lineRule="exact"/>
        <w:rPr>
          <w:sz w:val="20"/>
          <w:szCs w:val="20"/>
          <w:color w:val="auto"/>
        </w:rPr>
      </w:pPr>
    </w:p>
    <w:p>
      <w:pPr>
        <w:ind w:left="260" w:hanging="152"/>
        <w:spacing w:after="0"/>
        <w:tabs>
          <w:tab w:leader="none" w:pos="260" w:val="left"/>
        </w:tabs>
        <w:numPr>
          <w:ilvl w:val="0"/>
          <w:numId w:val="11"/>
        </w:numPr>
        <w:rPr>
          <w:rFonts w:ascii="Arial" w:cs="Arial" w:eastAsia="Arial" w:hAnsi="Arial"/>
          <w:sz w:val="18"/>
          <w:szCs w:val="18"/>
          <w:color w:val="0071CE"/>
        </w:rPr>
      </w:pPr>
      <w:r>
        <w:rPr>
          <w:rFonts w:ascii="Arial" w:cs="Arial" w:eastAsia="Arial" w:hAnsi="Arial"/>
          <w:sz w:val="16"/>
          <w:szCs w:val="16"/>
          <w:color w:val="auto"/>
        </w:rPr>
        <w:t>Tonix Pharmaceuticals Holding 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1" w:lineRule="exact"/>
        <w:rPr>
          <w:sz w:val="20"/>
          <w:szCs w:val="20"/>
          <w:color w:val="auto"/>
        </w:rPr>
      </w:pPr>
    </w:p>
    <w:p>
      <w:pPr>
        <w:jc w:val="both"/>
        <w:ind w:right="40"/>
        <w:spacing w:after="0" w:line="256" w:lineRule="auto"/>
        <w:rPr>
          <w:sz w:val="20"/>
          <w:szCs w:val="20"/>
          <w:color w:val="auto"/>
        </w:rPr>
      </w:pPr>
      <w:r>
        <w:rPr>
          <w:rFonts w:ascii="Arial" w:cs="Arial" w:eastAsia="Arial" w:hAnsi="Arial"/>
          <w:sz w:val="16"/>
          <w:szCs w:val="16"/>
          <w:color w:val="auto"/>
        </w:rPr>
        <w:t>Dr. Olukotun is a Mayo Clinic trained cardiologist who has served as Chief Executive Officer of CR Strategies, LLC, which consults on clinical trial design and FDA strategy for pharmaceutical development, since 2001. Dr. Olukotun currently serves on the board of directors of Tonix Pharmaceuticals Holding Corp. (Nasdaq: TNXP), a clinical-stage biopharmaceuticals company. He served as CEO of Epigen Pharmaceuticals, Inc., a discovery phase biotechnology company, from 2014 to 2017, and Vice Board Chair of CardioVax, Inc., a clinical-stage biopharmaceutical company, from 2012 to 2016. He spent the first 20 years of his career in roles of increasing responsibility in clinical development, including multiple product approvals, at Pfizer, Bristol-Myers Squibb, and Mallinckrodt. He has over 35 years of experience in the pharmaceutical industry and has been instrumental in the approval and success of numerous cardiology and metabolic medicines, including the first daily beta blocker and the first approved ACE inhibitor, among others. Dr. Olukotun received his Medical Doctor degree from the Albert Einstein College of Medicine in New York, and a Masters in Public Health from Harvard University School of Public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621030</wp:posOffset>
            </wp:positionV>
            <wp:extent cx="4920615" cy="8915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20615"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Qualifications</w:t>
      </w:r>
    </w:p>
    <w:p>
      <w:pPr>
        <w:spacing w:after="0" w:line="35" w:lineRule="exact"/>
        <w:rPr>
          <w:sz w:val="20"/>
          <w:szCs w:val="20"/>
          <w:color w:val="auto"/>
        </w:rPr>
      </w:pPr>
    </w:p>
    <w:p>
      <w:pPr>
        <w:jc w:val="both"/>
        <w:ind w:left="140" w:right="40"/>
        <w:spacing w:after="0" w:line="256" w:lineRule="auto"/>
        <w:rPr>
          <w:sz w:val="20"/>
          <w:szCs w:val="20"/>
          <w:color w:val="auto"/>
        </w:rPr>
      </w:pPr>
      <w:r>
        <w:rPr>
          <w:rFonts w:ascii="Arial" w:cs="Arial" w:eastAsia="Arial" w:hAnsi="Arial"/>
          <w:sz w:val="16"/>
          <w:szCs w:val="16"/>
          <w:color w:val="auto"/>
        </w:rPr>
        <w:t>Dr. Olukotun’s qualifications to serve on the Board include his extensive background in biopharmaceutical development, particularly in the cardiometabolic field, his scientific and public health expertise, and his board and executive leadership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199390</wp:posOffset>
            </wp:positionV>
            <wp:extent cx="71234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851535</wp:posOffset>
            </wp:positionH>
            <wp:positionV relativeFrom="paragraph">
              <wp:posOffset>765175</wp:posOffset>
            </wp:positionV>
            <wp:extent cx="986155" cy="205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20" w:space="580"/>
            <w:col w:w="7740"/>
          </w:cols>
          <w:pgMar w:left="320" w:top="19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1120"/>
        <w:spacing w:after="0"/>
        <w:rPr>
          <w:sz w:val="20"/>
          <w:szCs w:val="20"/>
          <w:color w:val="auto"/>
        </w:rPr>
      </w:pPr>
      <w:r>
        <w:rPr>
          <w:rFonts w:ascii="Arial" w:cs="Arial" w:eastAsia="Arial" w:hAnsi="Arial"/>
          <w:sz w:val="17"/>
          <w:szCs w:val="17"/>
          <w:b w:val="1"/>
          <w:bCs w:val="1"/>
          <w:color w:val="0071CE"/>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ectPr>
          <w:pgSz w:w="11900" w:h="16838" w:orient="portrait"/>
          <w:cols w:equalWidth="0" w:num="1">
            <w:col w:w="11220"/>
          </w:cols>
          <w:pgMar w:left="320" w:top="19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0071CE"/>
        </w:rPr>
        <w:t>Michael S. Perry, DVM, PhD</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0071CE"/>
        </w:rPr>
        <w:t>Independent Director</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65</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2011</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Serves on:</w:t>
      </w:r>
    </w:p>
    <w:p>
      <w:pPr>
        <w:spacing w:after="0" w:line="19" w:lineRule="exact"/>
        <w:rPr>
          <w:sz w:val="20"/>
          <w:szCs w:val="20"/>
          <w:color w:val="auto"/>
        </w:rPr>
      </w:pPr>
    </w:p>
    <w:p>
      <w:pPr>
        <w:ind w:left="260" w:hanging="153"/>
        <w:spacing w:after="0"/>
        <w:tabs>
          <w:tab w:leader="none" w:pos="260" w:val="left"/>
        </w:tabs>
        <w:numPr>
          <w:ilvl w:val="0"/>
          <w:numId w:val="12"/>
        </w:numPr>
        <w:rPr>
          <w:rFonts w:ascii="Arial" w:cs="Arial" w:eastAsia="Arial" w:hAnsi="Arial"/>
          <w:sz w:val="18"/>
          <w:szCs w:val="18"/>
          <w:b w:val="1"/>
          <w:bCs w:val="1"/>
          <w:color w:val="026DCE"/>
        </w:rPr>
      </w:pPr>
      <w:r>
        <w:rPr>
          <w:rFonts w:ascii="Arial" w:cs="Arial" w:eastAsia="Arial" w:hAnsi="Arial"/>
          <w:sz w:val="16"/>
          <w:szCs w:val="16"/>
          <w:color w:val="auto"/>
        </w:rPr>
        <w:t>Compensation Committee (Chair)</w:t>
      </w:r>
    </w:p>
    <w:p>
      <w:pPr>
        <w:spacing w:after="0" w:line="21" w:lineRule="exact"/>
        <w:rPr>
          <w:rFonts w:ascii="Arial" w:cs="Arial" w:eastAsia="Arial" w:hAnsi="Arial"/>
          <w:sz w:val="18"/>
          <w:szCs w:val="18"/>
          <w:b w:val="1"/>
          <w:bCs w:val="1"/>
          <w:color w:val="026DCE"/>
        </w:rPr>
      </w:pPr>
    </w:p>
    <w:p>
      <w:pPr>
        <w:ind w:left="260" w:hanging="153"/>
        <w:spacing w:after="0" w:line="234" w:lineRule="auto"/>
        <w:tabs>
          <w:tab w:leader="none" w:pos="260" w:val="left"/>
        </w:tabs>
        <w:numPr>
          <w:ilvl w:val="0"/>
          <w:numId w:val="12"/>
        </w:numPr>
        <w:rPr>
          <w:rFonts w:ascii="Arial" w:cs="Arial" w:eastAsia="Arial" w:hAnsi="Arial"/>
          <w:sz w:val="18"/>
          <w:szCs w:val="18"/>
          <w:b w:val="1"/>
          <w:bCs w:val="1"/>
          <w:color w:val="026DCE"/>
        </w:rPr>
      </w:pPr>
      <w:r>
        <w:rPr>
          <w:rFonts w:ascii="Arial" w:cs="Arial" w:eastAsia="Arial" w:hAnsi="Arial"/>
          <w:sz w:val="16"/>
          <w:szCs w:val="16"/>
          <w:color w:val="auto"/>
        </w:rPr>
        <w:t>Nomination Committee</w:t>
      </w:r>
    </w:p>
    <w:p>
      <w:pPr>
        <w:spacing w:after="0" w:line="14" w:lineRule="exact"/>
        <w:rPr>
          <w:rFonts w:ascii="Arial" w:cs="Arial" w:eastAsia="Arial" w:hAnsi="Arial"/>
          <w:sz w:val="18"/>
          <w:szCs w:val="18"/>
          <w:b w:val="1"/>
          <w:bCs w:val="1"/>
          <w:color w:val="026DCE"/>
        </w:rPr>
      </w:pPr>
    </w:p>
    <w:p>
      <w:pPr>
        <w:ind w:left="260" w:hanging="153"/>
        <w:spacing w:after="0" w:line="234" w:lineRule="auto"/>
        <w:tabs>
          <w:tab w:leader="none" w:pos="260" w:val="left"/>
        </w:tabs>
        <w:numPr>
          <w:ilvl w:val="0"/>
          <w:numId w:val="12"/>
        </w:numPr>
        <w:rPr>
          <w:rFonts w:ascii="Arial" w:cs="Arial" w:eastAsia="Arial" w:hAnsi="Arial"/>
          <w:sz w:val="18"/>
          <w:szCs w:val="18"/>
          <w:b w:val="1"/>
          <w:bCs w:val="1"/>
          <w:color w:val="026DCE"/>
        </w:rPr>
      </w:pPr>
      <w:r>
        <w:rPr>
          <w:rFonts w:ascii="Arial" w:cs="Arial" w:eastAsia="Arial" w:hAnsi="Arial"/>
          <w:sz w:val="16"/>
          <w:szCs w:val="16"/>
          <w:color w:val="auto"/>
        </w:rPr>
        <w:t> Science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and Expertise</w:t>
      </w:r>
    </w:p>
    <w:p>
      <w:pPr>
        <w:spacing w:after="0" w:line="2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Dr. Perry is currently a Venture Partner with Bioscience Managers, a global venture capital firm. He also serves as Chairman and board member of 7 Hills Pharma, a private clinical stage pharmaceutical company. Dr. Perry was Chief Executive Officer of Avita Medical, Inc., a regenerative medicine company based in Valencia, CA (Nasdsaq: RCEL) from 2017 to 2022. From 2014 to 2017, he served as Chief Scientific Officer of Novartis' Cell and Gene Therapy Unit, and from 2012 to 2014 he served as Vice President and Global Head of Stem Cell Therapy for Novartis Pharmaceuticals Corp, the US affiliate of Switzerland-based Novartis AG, a global pharmaceutical company. Dr. Perry has also served as SVP and Global Head of R&amp;D at Baxter Healthcare, President and as CEO of Cell &amp; Gene Therapy at Novartis AG. Earlier in his career he served as VP Regulatory Affairs at Novartis, Sandoz Pharmaceuticals, and Syntex Corporation. He also served as Director of Regulatory Affairs at Schering-Plough Corporation. Dr. Perry also served as a Venture Partner with Bay City Capital, LLC for eight years. Dr. Perry has previously served as a board member for the following companies: Ampliphi Bioscience Corp, Gamida Cell Ltd, Targeted Genetics, Inc., American Xeno, Inc., BioTransplant, Inc., ltamar Biomedical Ltd, Systemix, Inc., Genetic Therapy, Inc., Extropy Pharmaceuticals, Inc, and Pharsight Corporation. Dr. Perry holds an Honors Bachelor of Science in Physics and Engineering and a PhD in Biomedical Pharmacology from the University of Guelph. He also holds a Doctor of Veterinary Medicine &amp; Surgery from Ontario Veterinary College and is a graduate of the International Advanced Management Program at Harvard Business School. Dr. Perry currently serves as Adjunct Professor at the Gates Center for Regenerative Medicine at the University of Colorado Anschutz Medical Campus and as Faculty at Houston Methodist and Chair of the Translational Medicine Advisory Board of the Houston Methodist Research Institute.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980440</wp:posOffset>
            </wp:positionV>
            <wp:extent cx="4928870" cy="8826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28870" cy="8826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660"/>
            <w:col w:w="7720"/>
          </w:cols>
          <w:pgMar w:left="320" w:top="19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640"/>
        <w:spacing w:after="0"/>
        <w:rPr>
          <w:sz w:val="20"/>
          <w:szCs w:val="20"/>
          <w:color w:val="auto"/>
        </w:rPr>
      </w:pPr>
      <w:r>
        <w:rPr>
          <w:rFonts w:ascii="Arial" w:cs="Arial" w:eastAsia="Arial" w:hAnsi="Arial"/>
          <w:sz w:val="16"/>
          <w:szCs w:val="16"/>
          <w:b w:val="1"/>
          <w:bCs w:val="1"/>
          <w:color w:val="auto"/>
        </w:rPr>
        <w:t>Qualifications</w:t>
      </w:r>
    </w:p>
    <w:p>
      <w:pPr>
        <w:spacing w:after="0" w:line="35" w:lineRule="exact"/>
        <w:rPr>
          <w:sz w:val="20"/>
          <w:szCs w:val="20"/>
          <w:color w:val="auto"/>
        </w:rPr>
      </w:pPr>
    </w:p>
    <w:p>
      <w:pPr>
        <w:jc w:val="both"/>
        <w:ind w:left="3640"/>
        <w:spacing w:after="0" w:line="256" w:lineRule="auto"/>
        <w:rPr>
          <w:sz w:val="20"/>
          <w:szCs w:val="20"/>
          <w:color w:val="auto"/>
        </w:rPr>
      </w:pPr>
      <w:r>
        <w:rPr>
          <w:rFonts w:ascii="Arial" w:cs="Arial" w:eastAsia="Arial" w:hAnsi="Arial"/>
          <w:sz w:val="16"/>
          <w:szCs w:val="16"/>
          <w:color w:val="auto"/>
        </w:rPr>
        <w:t>Dr. Perry’s qualifications to serve on the board include his medical expertise and his extensive experience in preclinical and clinical drug development, including executive level leadership roles and directorships in several publicly held biotech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756285</wp:posOffset>
            </wp:positionV>
            <wp:extent cx="986155" cy="205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0071CE"/>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71CE"/>
        </w:rPr>
        <w:t>Victoria Vakiener</w:t>
      </w:r>
    </w:p>
    <w:p>
      <w:pPr>
        <w:ind w:left="20"/>
        <w:spacing w:after="0"/>
        <w:rPr>
          <w:sz w:val="20"/>
          <w:szCs w:val="20"/>
          <w:color w:val="auto"/>
        </w:rPr>
      </w:pPr>
      <w:r>
        <w:rPr>
          <w:rFonts w:ascii="Arial" w:cs="Arial" w:eastAsia="Arial" w:hAnsi="Arial"/>
          <w:sz w:val="20"/>
          <w:szCs w:val="20"/>
          <w:b w:val="1"/>
          <w:bCs w:val="1"/>
          <w:i w:val="1"/>
          <w:iCs w:val="1"/>
          <w:color w:val="0071CE"/>
        </w:rPr>
        <w:t>Independent Director</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61</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2022</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Serves on:</w:t>
      </w:r>
    </w:p>
    <w:p>
      <w:pPr>
        <w:ind w:left="260" w:hanging="153"/>
        <w:spacing w:after="0"/>
        <w:tabs>
          <w:tab w:leader="none" w:pos="260" w:val="left"/>
        </w:tabs>
        <w:numPr>
          <w:ilvl w:val="0"/>
          <w:numId w:val="13"/>
        </w:numPr>
        <w:rPr>
          <w:rFonts w:ascii="Arial" w:cs="Arial" w:eastAsia="Arial" w:hAnsi="Arial"/>
          <w:sz w:val="16"/>
          <w:szCs w:val="16"/>
          <w:color w:val="026DCE"/>
        </w:rPr>
      </w:pPr>
      <w:r>
        <w:rPr>
          <w:rFonts w:ascii="Arial" w:cs="Arial" w:eastAsia="Arial" w:hAnsi="Arial"/>
          <w:sz w:val="16"/>
          <w:szCs w:val="16"/>
          <w:color w:val="auto"/>
        </w:rPr>
        <w:t>Nomination Committee (Chair)</w:t>
      </w:r>
    </w:p>
    <w:p>
      <w:pPr>
        <w:ind w:left="260" w:hanging="153"/>
        <w:spacing w:after="0"/>
        <w:tabs>
          <w:tab w:leader="none" w:pos="260" w:val="left"/>
        </w:tabs>
        <w:numPr>
          <w:ilvl w:val="0"/>
          <w:numId w:val="13"/>
        </w:numPr>
        <w:rPr>
          <w:rFonts w:ascii="Arial" w:cs="Arial" w:eastAsia="Arial" w:hAnsi="Arial"/>
          <w:sz w:val="16"/>
          <w:szCs w:val="16"/>
          <w:color w:val="026DCE"/>
        </w:rPr>
      </w:pPr>
      <w:r>
        <w:rPr>
          <w:rFonts w:ascii="Arial" w:cs="Arial" w:eastAsia="Arial" w:hAnsi="Arial"/>
          <w:sz w:val="16"/>
          <w:szCs w:val="16"/>
          <w:color w:val="auto"/>
        </w:rPr>
        <w:t>Audit Committee</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Public Company Boards:</w:t>
      </w:r>
    </w:p>
    <w:p>
      <w:pPr>
        <w:spacing w:after="0" w:line="8" w:lineRule="exact"/>
        <w:rPr>
          <w:sz w:val="20"/>
          <w:szCs w:val="20"/>
          <w:color w:val="auto"/>
        </w:rPr>
      </w:pPr>
    </w:p>
    <w:p>
      <w:pPr>
        <w:ind w:left="260" w:hanging="153"/>
        <w:spacing w:after="0"/>
        <w:tabs>
          <w:tab w:leader="none" w:pos="260" w:val="left"/>
        </w:tabs>
        <w:numPr>
          <w:ilvl w:val="0"/>
          <w:numId w:val="14"/>
        </w:numPr>
        <w:rPr>
          <w:rFonts w:ascii="Arial" w:cs="Arial" w:eastAsia="Arial" w:hAnsi="Arial"/>
          <w:sz w:val="16"/>
          <w:szCs w:val="16"/>
          <w:color w:val="026DCE"/>
        </w:rPr>
      </w:pPr>
      <w:r>
        <w:rPr>
          <w:rFonts w:ascii="Arial" w:cs="Arial" w:eastAsia="Arial" w:hAnsi="Arial"/>
          <w:sz w:val="16"/>
          <w:szCs w:val="16"/>
          <w:color w:val="auto"/>
        </w:rPr>
        <w:t>Chimerix, Inc.</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right"/>
        <w:spacing w:after="0"/>
        <w:tabs>
          <w:tab w:leader="none" w:pos="254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1"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Ms. Vakiener currently serves on the board of directors of Chimerix (Nasdaq: CMRX), a clinical-stage biopharmaceutical company. From November 2018 through September 2021, she served as Chief Commercial Officer of Epizyme, Inc., a biopharmaceutical company that was acquired in 2022, where she built the commercial organization and launched TAZVERIK for two indications within six months. Prior to joining Epizyme, Ms. Vakiener was an executive at Johnson &amp; Johnson (NYSE: JNJ) for more than twenty years where she held positions of leadership with increasing responsibility across the company’s pharmaceutical and diagnostics businesses. Ms. Vakiener began her pharmaceutical career at Schering-Plough, where she spent nine years in both scientific and commercial roles. Ms. Vakiener received a BS in Biochemistry from Albright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596265</wp:posOffset>
            </wp:positionV>
            <wp:extent cx="4928870" cy="7200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2887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Qualifications</w:t>
      </w:r>
    </w:p>
    <w:p>
      <w:pPr>
        <w:spacing w:after="0" w:line="35" w:lineRule="exact"/>
        <w:rPr>
          <w:sz w:val="20"/>
          <w:szCs w:val="20"/>
          <w:color w:val="auto"/>
        </w:rPr>
      </w:pPr>
    </w:p>
    <w:p>
      <w:pPr>
        <w:ind w:left="140" w:right="20"/>
        <w:spacing w:after="0" w:line="265" w:lineRule="auto"/>
        <w:rPr>
          <w:sz w:val="20"/>
          <w:szCs w:val="20"/>
          <w:color w:val="auto"/>
        </w:rPr>
      </w:pPr>
      <w:r>
        <w:rPr>
          <w:rFonts w:ascii="Arial" w:cs="Arial" w:eastAsia="Arial" w:hAnsi="Arial"/>
          <w:sz w:val="16"/>
          <w:szCs w:val="16"/>
          <w:color w:val="auto"/>
        </w:rPr>
        <w:t>Ms. Vakiener’s qualifications to serve on the Board include her deep commercial experience and expertise, her scientific development experience, and her board and executive leadership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100965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80" w:space="720"/>
            <w:col w:w="7740"/>
          </w:cols>
          <w:pgMar w:left="320" w:top="198" w:right="339" w:bottom="1440" w:gutter="0" w:footer="0" w:header="0"/>
        </w:sectPr>
      </w:pPr>
    </w:p>
    <w:p>
      <w:pPr>
        <w:spacing w:after="0" w:line="6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071CE"/>
        </w:rPr>
        <w:t>William Waddill</w:t>
      </w:r>
    </w:p>
    <w:p>
      <w:pPr>
        <w:ind w:left="20"/>
        <w:spacing w:after="0"/>
        <w:rPr>
          <w:sz w:val="20"/>
          <w:szCs w:val="20"/>
          <w:color w:val="auto"/>
        </w:rPr>
      </w:pPr>
      <w:r>
        <w:rPr>
          <w:rFonts w:ascii="Arial" w:cs="Arial" w:eastAsia="Arial" w:hAnsi="Arial"/>
          <w:sz w:val="19"/>
          <w:szCs w:val="19"/>
          <w:b w:val="1"/>
          <w:bCs w:val="1"/>
          <w:i w:val="1"/>
          <w:iCs w:val="1"/>
          <w:color w:val="026DCE"/>
        </w:rPr>
        <w:t>Lead I</w:t>
      </w:r>
      <w:r>
        <w:rPr>
          <w:rFonts w:ascii="Arial" w:cs="Arial" w:eastAsia="Arial" w:hAnsi="Arial"/>
          <w:sz w:val="19"/>
          <w:szCs w:val="19"/>
          <w:b w:val="1"/>
          <w:bCs w:val="1"/>
          <w:i w:val="1"/>
          <w:iCs w:val="1"/>
          <w:color w:val="0071CE"/>
        </w:rPr>
        <w:t>ndependent Director</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67</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2018</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Serves on:</w:t>
      </w:r>
    </w:p>
    <w:p>
      <w:pPr>
        <w:spacing w:after="0" w:line="8" w:lineRule="exact"/>
        <w:rPr>
          <w:sz w:val="20"/>
          <w:szCs w:val="20"/>
          <w:color w:val="auto"/>
        </w:rPr>
      </w:pPr>
    </w:p>
    <w:p>
      <w:pPr>
        <w:ind w:left="260" w:hanging="152"/>
        <w:spacing w:after="0"/>
        <w:tabs>
          <w:tab w:leader="none" w:pos="260" w:val="left"/>
        </w:tabs>
        <w:numPr>
          <w:ilvl w:val="0"/>
          <w:numId w:val="15"/>
        </w:numPr>
        <w:rPr>
          <w:rFonts w:ascii="Arial" w:cs="Arial" w:eastAsia="Arial" w:hAnsi="Arial"/>
          <w:sz w:val="16"/>
          <w:szCs w:val="16"/>
          <w:color w:val="0071CE"/>
        </w:rPr>
      </w:pPr>
      <w:r>
        <w:rPr>
          <w:rFonts w:ascii="Arial" w:cs="Arial" w:eastAsia="Arial" w:hAnsi="Arial"/>
          <w:sz w:val="16"/>
          <w:szCs w:val="16"/>
          <w:color w:val="auto"/>
        </w:rPr>
        <w:t>Audit Committee (Chair)</w:t>
      </w:r>
    </w:p>
    <w:p>
      <w:pPr>
        <w:spacing w:after="0" w:line="5" w:lineRule="exact"/>
        <w:rPr>
          <w:rFonts w:ascii="Arial" w:cs="Arial" w:eastAsia="Arial" w:hAnsi="Arial"/>
          <w:sz w:val="16"/>
          <w:szCs w:val="16"/>
          <w:color w:val="0071CE"/>
        </w:rPr>
      </w:pPr>
    </w:p>
    <w:p>
      <w:pPr>
        <w:ind w:left="260" w:hanging="152"/>
        <w:spacing w:after="0" w:line="211" w:lineRule="auto"/>
        <w:tabs>
          <w:tab w:leader="none" w:pos="260" w:val="left"/>
        </w:tabs>
        <w:numPr>
          <w:ilvl w:val="0"/>
          <w:numId w:val="15"/>
        </w:numPr>
        <w:rPr>
          <w:rFonts w:ascii="Arial" w:cs="Arial" w:eastAsia="Arial" w:hAnsi="Arial"/>
          <w:sz w:val="16"/>
          <w:szCs w:val="16"/>
          <w:color w:val="0071CE"/>
        </w:rPr>
      </w:pPr>
      <w:r>
        <w:rPr>
          <w:rFonts w:ascii="Arial" w:cs="Arial" w:eastAsia="Arial" w:hAnsi="Arial"/>
          <w:sz w:val="16"/>
          <w:szCs w:val="16"/>
          <w:color w:val="auto"/>
        </w:rPr>
        <w:t> Compensation Committee</w:t>
      </w:r>
    </w:p>
    <w:p>
      <w:pPr>
        <w:ind w:left="260" w:hanging="152"/>
        <w:spacing w:after="0"/>
        <w:tabs>
          <w:tab w:leader="none" w:pos="260" w:val="left"/>
        </w:tabs>
        <w:numPr>
          <w:ilvl w:val="0"/>
          <w:numId w:val="15"/>
        </w:numPr>
        <w:rPr>
          <w:rFonts w:ascii="Arial" w:cs="Arial" w:eastAsia="Arial" w:hAnsi="Arial"/>
          <w:sz w:val="16"/>
          <w:szCs w:val="16"/>
          <w:b w:val="1"/>
          <w:bCs w:val="1"/>
          <w:color w:val="0071CE"/>
        </w:rPr>
      </w:pPr>
      <w:r>
        <w:rPr>
          <w:rFonts w:ascii="Arial" w:cs="Arial" w:eastAsia="Arial" w:hAnsi="Arial"/>
          <w:sz w:val="16"/>
          <w:szCs w:val="16"/>
          <w:color w:val="auto"/>
        </w:rPr>
        <w:t>Nomination Committee</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Public Company Boards:</w:t>
      </w:r>
    </w:p>
    <w:p>
      <w:pPr>
        <w:ind w:left="260" w:hanging="152"/>
        <w:spacing w:after="0"/>
        <w:tabs>
          <w:tab w:leader="none" w:pos="260" w:val="left"/>
        </w:tabs>
        <w:numPr>
          <w:ilvl w:val="0"/>
          <w:numId w:val="16"/>
        </w:numPr>
        <w:rPr>
          <w:rFonts w:ascii="Arial" w:cs="Arial" w:eastAsia="Arial" w:hAnsi="Arial"/>
          <w:sz w:val="16"/>
          <w:szCs w:val="16"/>
          <w:color w:val="0071CE"/>
        </w:rPr>
      </w:pPr>
      <w:r>
        <w:rPr>
          <w:rFonts w:ascii="Arial" w:cs="Arial" w:eastAsia="Arial" w:hAnsi="Arial"/>
          <w:sz w:val="16"/>
          <w:szCs w:val="16"/>
          <w:color w:val="auto"/>
        </w:rPr>
        <w:t>Protagonist Therapeutics, Inc.</w:t>
      </w:r>
    </w:p>
    <w:p>
      <w:pPr>
        <w:ind w:left="260" w:hanging="152"/>
        <w:spacing w:after="0"/>
        <w:tabs>
          <w:tab w:leader="none" w:pos="260" w:val="left"/>
        </w:tabs>
        <w:numPr>
          <w:ilvl w:val="0"/>
          <w:numId w:val="16"/>
        </w:numPr>
        <w:rPr>
          <w:rFonts w:ascii="Arial" w:cs="Arial" w:eastAsia="Arial" w:hAnsi="Arial"/>
          <w:sz w:val="16"/>
          <w:szCs w:val="16"/>
          <w:color w:val="0071CE"/>
        </w:rPr>
      </w:pPr>
      <w:r>
        <w:rPr>
          <w:rFonts w:ascii="Arial" w:cs="Arial" w:eastAsia="Arial" w:hAnsi="Arial"/>
          <w:sz w:val="16"/>
          <w:szCs w:val="16"/>
          <w:color w:val="auto"/>
        </w:rPr>
        <w:t> Annexon Biosciences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Experience &amp; Expertise</w:t>
      </w:r>
    </w:p>
    <w:p>
      <w:pPr>
        <w:spacing w:after="0" w:line="21" w:lineRule="exact"/>
        <w:rPr>
          <w:sz w:val="20"/>
          <w:szCs w:val="20"/>
          <w:color w:val="auto"/>
        </w:rPr>
      </w:pPr>
    </w:p>
    <w:p>
      <w:pPr>
        <w:jc w:val="both"/>
        <w:ind w:right="40"/>
        <w:spacing w:after="0" w:line="255" w:lineRule="auto"/>
        <w:rPr>
          <w:sz w:val="20"/>
          <w:szCs w:val="20"/>
          <w:color w:val="auto"/>
        </w:rPr>
      </w:pPr>
      <w:r>
        <w:rPr>
          <w:rFonts w:ascii="Arial" w:cs="Arial" w:eastAsia="Arial" w:hAnsi="Arial"/>
          <w:sz w:val="16"/>
          <w:szCs w:val="16"/>
          <w:color w:val="auto"/>
        </w:rPr>
        <w:t>Mr. Waddill began his career over 35 years ago in commercial banking and public accounting and has been in the biotechnology industry for over 30 years. He currently serves on the boards of Protagonist Therapeutics (Nasdaq: PTGX), Annexon Biosciences (Nasdaq: ANNX) and Turnstone Biologics (Nasdaq: TSBX), all clinical-stage biopharmaceutical companies. Mr. Waddill was Senior Vice President and CFO of Calithera Bioscience (Nasdaq: CALA), from 2014 to 2016 and Senior Vice President and CFO at OncoMed Pharmaceuticals from 2007 to 2014, both of which were public clinical-stage biopharmaceutical companies. Prior to that, he served as the Senior Vice President and CFO of Ilypsa, Inc., a biotechnology company that was acquired in 2007 by Amgen, Inc. Before joining Ilypsa, he served as the founder and principal at Square One Finance, a financial consulting business. Mr. Waddill received a BS in accounting from the University of Illinois, Chicago, and certification as a public accountant (inactive) after working at PriceWaterhouseCoopers and Deloitte in Boston.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544830</wp:posOffset>
            </wp:positionV>
            <wp:extent cx="4920615" cy="7200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2061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Qualifications</w:t>
      </w:r>
    </w:p>
    <w:p>
      <w:pPr>
        <w:spacing w:after="0" w:line="21" w:lineRule="exact"/>
        <w:rPr>
          <w:sz w:val="20"/>
          <w:szCs w:val="20"/>
          <w:color w:val="auto"/>
        </w:rPr>
      </w:pPr>
    </w:p>
    <w:p>
      <w:pPr>
        <w:jc w:val="both"/>
        <w:ind w:left="140" w:right="40"/>
        <w:spacing w:after="0" w:line="264" w:lineRule="auto"/>
        <w:rPr>
          <w:sz w:val="20"/>
          <w:szCs w:val="20"/>
          <w:color w:val="auto"/>
        </w:rPr>
      </w:pPr>
      <w:r>
        <w:rPr>
          <w:rFonts w:ascii="Arial" w:cs="Arial" w:eastAsia="Arial" w:hAnsi="Arial"/>
          <w:sz w:val="16"/>
          <w:szCs w:val="16"/>
          <w:color w:val="auto"/>
        </w:rPr>
        <w:t>Mr. Waddill’s qualifications to serve on the Board include his extensive background in the biopharma industry, his financial and audit expertise, executive leadership roles and experience as a director of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93345</wp:posOffset>
            </wp:positionV>
            <wp:extent cx="71234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851535</wp:posOffset>
            </wp:positionH>
            <wp:positionV relativeFrom="paragraph">
              <wp:posOffset>659130</wp:posOffset>
            </wp:positionV>
            <wp:extent cx="986155" cy="205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80" w:space="720"/>
            <w:col w:w="7740"/>
          </w:cols>
          <w:pgMar w:left="320" w:top="19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1040"/>
        <w:spacing w:after="0"/>
        <w:rPr>
          <w:sz w:val="20"/>
          <w:szCs w:val="20"/>
          <w:color w:val="auto"/>
        </w:rPr>
      </w:pPr>
      <w:r>
        <w:rPr>
          <w:rFonts w:ascii="Arial" w:cs="Arial" w:eastAsia="Arial" w:hAnsi="Arial"/>
          <w:sz w:val="16"/>
          <w:szCs w:val="16"/>
          <w:b w:val="1"/>
          <w:bCs w:val="1"/>
          <w:color w:val="0071CE"/>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Board Composition and Nominating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Nomination Committee of the Board annually considers the size, composition and needs of the Board and, as appropriate, recommends the nominees for directors to the Board for approval. The Nomination Committee considers and evaluates suggestions from many sources regarding possible candidates for directors. Below are general criteria for the evaluation of current and proposed directors:</w:t>
      </w:r>
    </w:p>
    <w:p>
      <w:pPr>
        <w:spacing w:after="0" w:line="83"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highest ethical character and shared values with our Code of Corporate Conduct</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Reputation, both personal and professional, consistent with our image and reputation</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Accomplishment within a candidate’s field, with superior credentials and recognition</w:t>
      </w:r>
    </w:p>
    <w:p>
      <w:pPr>
        <w:spacing w:after="0" w:line="113" w:lineRule="exact"/>
        <w:rPr>
          <w:rFonts w:ascii="Arial" w:cs="Arial" w:eastAsia="Arial" w:hAnsi="Arial"/>
          <w:sz w:val="16"/>
          <w:szCs w:val="16"/>
          <w:color w:val="auto"/>
        </w:rPr>
      </w:pPr>
    </w:p>
    <w:p>
      <w:pPr>
        <w:ind w:left="660" w:hanging="328"/>
        <w:spacing w:after="0" w:line="263"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Relevant expertise and experience and the ability to offer advice and guidance to the Chief Executive Officer based on such expertise and experience</w:t>
      </w:r>
    </w:p>
    <w:p>
      <w:pPr>
        <w:spacing w:after="0" w:line="297"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Independence, without the appearance of any conflict in serving as a Director, and independence of any particular constituency with the ability to represent all stockholders</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Ability to exercise sound business judgment</w:t>
      </w:r>
    </w:p>
    <w:p>
      <w:pPr>
        <w:spacing w:after="0" w:line="12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Diversity, reflecting differences in skills, regional and industry experience, backgrounds, ages, and other unique characteristics, such as race, gender and ethnicity</w:t>
      </w:r>
    </w:p>
    <w:p>
      <w:pPr>
        <w:spacing w:after="0" w:line="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Nomination Committee considers the mix of skills and experience among current and prospective directors with a goal of assembling a Board with complementary skills for the benefit of the Company. Listed below are selected key contributions of each current Board member. The table is not intended to be an exhaustive summary of all the contributions of each Board member.</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880" w:type="dxa"/>
            <w:vAlign w:val="bottom"/>
            <w:tcBorders>
              <w:bottom w:val="single" w:sz="8" w:color="0071CE"/>
            </w:tcBorders>
            <w:shd w:val="clear" w:color="auto" w:fill="0071CE"/>
          </w:tcPr>
          <w:p>
            <w:pPr>
              <w:ind w:left="680"/>
              <w:spacing w:after="0"/>
              <w:rPr>
                <w:sz w:val="20"/>
                <w:szCs w:val="20"/>
                <w:color w:val="auto"/>
              </w:rPr>
            </w:pPr>
            <w:r>
              <w:rPr>
                <w:rFonts w:ascii="Arial" w:cs="Arial" w:eastAsia="Arial" w:hAnsi="Arial"/>
                <w:sz w:val="14"/>
                <w:szCs w:val="14"/>
                <w:b w:val="1"/>
                <w:bCs w:val="1"/>
                <w:color w:val="FFFFFF"/>
              </w:rPr>
              <w:t>Expertise</w:t>
            </w:r>
          </w:p>
        </w:tc>
        <w:tc>
          <w:tcPr>
            <w:tcW w:w="96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Given</w:t>
            </w:r>
          </w:p>
        </w:tc>
        <w:tc>
          <w:tcPr>
            <w:tcW w:w="92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Perry</w:t>
            </w:r>
          </w:p>
        </w:tc>
        <w:tc>
          <w:tcPr>
            <w:tcW w:w="116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Anzalone</w:t>
            </w:r>
          </w:p>
        </w:tc>
        <w:tc>
          <w:tcPr>
            <w:tcW w:w="102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Ferrari</w:t>
            </w:r>
          </w:p>
        </w:tc>
        <w:tc>
          <w:tcPr>
            <w:tcW w:w="114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Olukotun</w:t>
            </w:r>
          </w:p>
        </w:tc>
        <w:tc>
          <w:tcPr>
            <w:tcW w:w="108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Vakiener</w:t>
            </w:r>
          </w:p>
        </w:tc>
        <w:tc>
          <w:tcPr>
            <w:tcW w:w="1100" w:type="dxa"/>
            <w:vAlign w:val="bottom"/>
            <w:tcBorders>
              <w:bottom w:val="single" w:sz="8" w:color="0071CE"/>
            </w:tcBorders>
            <w:shd w:val="clear" w:color="auto" w:fill="0071CE"/>
          </w:tcPr>
          <w:p>
            <w:pPr>
              <w:jc w:val="center"/>
              <w:ind w:right="4"/>
              <w:spacing w:after="0"/>
              <w:rPr>
                <w:sz w:val="20"/>
                <w:szCs w:val="20"/>
                <w:color w:val="auto"/>
              </w:rPr>
            </w:pPr>
            <w:r>
              <w:rPr>
                <w:rFonts w:ascii="Arial" w:cs="Arial" w:eastAsia="Arial" w:hAnsi="Arial"/>
                <w:sz w:val="14"/>
                <w:szCs w:val="14"/>
                <w:b w:val="1"/>
                <w:bCs w:val="1"/>
                <w:color w:val="FFFFFF"/>
              </w:rPr>
              <w:t>Waddill</w:t>
            </w:r>
          </w:p>
        </w:tc>
        <w:tc>
          <w:tcPr>
            <w:tcW w:w="88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Lu</w:t>
            </w:r>
          </w:p>
        </w:tc>
        <w:tc>
          <w:tcPr>
            <w:tcW w:w="1080" w:type="dxa"/>
            <w:vAlign w:val="bottom"/>
            <w:tcBorders>
              <w:bottom w:val="single" w:sz="8" w:color="0071CE"/>
            </w:tcBorders>
            <w:shd w:val="clear" w:color="auto" w:fill="0071CE"/>
          </w:tcPr>
          <w:p>
            <w:pPr>
              <w:jc w:val="center"/>
              <w:ind w:left="44"/>
              <w:spacing w:after="0"/>
              <w:rPr>
                <w:sz w:val="20"/>
                <w:szCs w:val="20"/>
                <w:color w:val="auto"/>
              </w:rPr>
            </w:pPr>
            <w:r>
              <w:rPr>
                <w:rFonts w:ascii="Arial" w:cs="Arial" w:eastAsia="Arial" w:hAnsi="Arial"/>
                <w:sz w:val="14"/>
                <w:szCs w:val="14"/>
                <w:b w:val="1"/>
                <w:bCs w:val="1"/>
                <w:color w:val="FFFFFF"/>
              </w:rPr>
              <w:t>Ingram</w:t>
            </w:r>
          </w:p>
        </w:tc>
        <w:tc>
          <w:tcPr>
            <w:tcW w:w="0" w:type="dxa"/>
            <w:vAlign w:val="bottom"/>
          </w:tcPr>
          <w:p>
            <w:pPr>
              <w:spacing w:after="0"/>
              <w:rPr>
                <w:sz w:val="1"/>
                <w:szCs w:val="1"/>
                <w:color w:val="auto"/>
              </w:rPr>
            </w:pPr>
          </w:p>
        </w:tc>
      </w:tr>
      <w:tr>
        <w:trPr>
          <w:trHeight w:val="243"/>
        </w:trPr>
        <w:tc>
          <w:tcPr>
            <w:tcW w:w="1880" w:type="dxa"/>
            <w:vAlign w:val="bottom"/>
            <w:shd w:val="clear" w:color="auto" w:fill="E5E5E5"/>
          </w:tcPr>
          <w:p>
            <w:pPr>
              <w:ind w:left="20"/>
              <w:spacing w:after="0"/>
              <w:rPr>
                <w:sz w:val="20"/>
                <w:szCs w:val="20"/>
                <w:color w:val="auto"/>
              </w:rPr>
            </w:pPr>
            <w:r>
              <w:rPr>
                <w:rFonts w:ascii="Arial" w:cs="Arial" w:eastAsia="Arial" w:hAnsi="Arial"/>
                <w:sz w:val="15"/>
                <w:szCs w:val="15"/>
                <w:b w:val="1"/>
                <w:bCs w:val="1"/>
                <w:color w:val="auto"/>
              </w:rPr>
              <w:t>Biopharma Research</w:t>
            </w:r>
          </w:p>
        </w:tc>
        <w:tc>
          <w:tcPr>
            <w:tcW w:w="96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92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16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02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14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08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100" w:type="dxa"/>
            <w:vAlign w:val="bottom"/>
            <w:vMerge w:val="restart"/>
            <w:shd w:val="clear" w:color="auto" w:fill="E5E5E5"/>
          </w:tcPr>
          <w:p>
            <w:pPr>
              <w:jc w:val="center"/>
              <w:ind w:right="4"/>
              <w:spacing w:after="0"/>
              <w:rPr>
                <w:sz w:val="20"/>
                <w:szCs w:val="20"/>
                <w:color w:val="auto"/>
              </w:rPr>
            </w:pPr>
            <w:r>
              <w:rPr>
                <w:rFonts w:ascii="Arial" w:cs="Arial" w:eastAsia="Arial" w:hAnsi="Arial"/>
                <w:sz w:val="15"/>
                <w:szCs w:val="15"/>
                <w:b w:val="1"/>
                <w:bCs w:val="1"/>
                <w:color w:val="0071CE"/>
                <w:w w:val="99"/>
              </w:rPr>
              <w:t>X</w:t>
            </w:r>
          </w:p>
        </w:tc>
        <w:tc>
          <w:tcPr>
            <w:tcW w:w="88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080" w:type="dxa"/>
            <w:vAlign w:val="bottom"/>
            <w:vMerge w:val="restart"/>
            <w:shd w:val="clear" w:color="auto" w:fill="E5E5E5"/>
          </w:tcPr>
          <w:p>
            <w:pPr>
              <w:jc w:val="center"/>
              <w:ind w:left="24"/>
              <w:spacing w:after="0"/>
              <w:rPr>
                <w:sz w:val="20"/>
                <w:szCs w:val="20"/>
                <w:color w:val="auto"/>
              </w:rPr>
            </w:pPr>
            <w:r>
              <w:rPr>
                <w:rFonts w:ascii="Arial" w:cs="Arial" w:eastAsia="Arial" w:hAnsi="Arial"/>
                <w:sz w:val="15"/>
                <w:szCs w:val="15"/>
                <w:b w:val="1"/>
                <w:bCs w:val="1"/>
                <w:color w:val="0071CE"/>
                <w:w w:val="99"/>
              </w:rPr>
              <w:t>X</w:t>
            </w:r>
          </w:p>
        </w:tc>
        <w:tc>
          <w:tcPr>
            <w:tcW w:w="0" w:type="dxa"/>
            <w:vAlign w:val="bottom"/>
          </w:tcPr>
          <w:p>
            <w:pPr>
              <w:spacing w:after="0"/>
              <w:rPr>
                <w:sz w:val="1"/>
                <w:szCs w:val="1"/>
                <w:color w:val="auto"/>
              </w:rPr>
            </w:pPr>
          </w:p>
        </w:tc>
      </w:tr>
      <w:tr>
        <w:trPr>
          <w:trHeight w:val="210"/>
        </w:trPr>
        <w:tc>
          <w:tcPr>
            <w:tcW w:w="1880" w:type="dxa"/>
            <w:vAlign w:val="bottom"/>
            <w:shd w:val="clear" w:color="auto" w:fill="E5E5E5"/>
          </w:tcPr>
          <w:p>
            <w:pPr>
              <w:ind w:left="20"/>
              <w:spacing w:after="0"/>
              <w:rPr>
                <w:sz w:val="20"/>
                <w:szCs w:val="20"/>
                <w:color w:val="auto"/>
              </w:rPr>
            </w:pPr>
            <w:r>
              <w:rPr>
                <w:rFonts w:ascii="Arial" w:cs="Arial" w:eastAsia="Arial" w:hAnsi="Arial"/>
                <w:sz w:val="15"/>
                <w:szCs w:val="15"/>
                <w:b w:val="1"/>
                <w:bCs w:val="1"/>
                <w:color w:val="auto"/>
              </w:rPr>
              <w:t>&amp; Development</w:t>
            </w:r>
          </w:p>
        </w:tc>
        <w:tc>
          <w:tcPr>
            <w:tcW w:w="960" w:type="dxa"/>
            <w:vAlign w:val="bottom"/>
            <w:vMerge w:val="continue"/>
            <w:shd w:val="clear" w:color="auto" w:fill="E5E5E5"/>
          </w:tcPr>
          <w:p>
            <w:pPr>
              <w:spacing w:after="0"/>
              <w:rPr>
                <w:sz w:val="18"/>
                <w:szCs w:val="18"/>
                <w:color w:val="auto"/>
              </w:rPr>
            </w:pPr>
          </w:p>
        </w:tc>
        <w:tc>
          <w:tcPr>
            <w:tcW w:w="920" w:type="dxa"/>
            <w:vAlign w:val="bottom"/>
            <w:vMerge w:val="continue"/>
            <w:shd w:val="clear" w:color="auto" w:fill="E5E5E5"/>
          </w:tcPr>
          <w:p>
            <w:pPr>
              <w:spacing w:after="0"/>
              <w:rPr>
                <w:sz w:val="18"/>
                <w:szCs w:val="18"/>
                <w:color w:val="auto"/>
              </w:rPr>
            </w:pPr>
          </w:p>
        </w:tc>
        <w:tc>
          <w:tcPr>
            <w:tcW w:w="1160" w:type="dxa"/>
            <w:vAlign w:val="bottom"/>
            <w:vMerge w:val="continue"/>
            <w:shd w:val="clear" w:color="auto" w:fill="E5E5E5"/>
          </w:tcPr>
          <w:p>
            <w:pPr>
              <w:spacing w:after="0"/>
              <w:rPr>
                <w:sz w:val="18"/>
                <w:szCs w:val="18"/>
                <w:color w:val="auto"/>
              </w:rPr>
            </w:pPr>
          </w:p>
        </w:tc>
        <w:tc>
          <w:tcPr>
            <w:tcW w:w="1020" w:type="dxa"/>
            <w:vAlign w:val="bottom"/>
            <w:vMerge w:val="continue"/>
            <w:shd w:val="clear" w:color="auto" w:fill="E5E5E5"/>
          </w:tcPr>
          <w:p>
            <w:pPr>
              <w:spacing w:after="0"/>
              <w:rPr>
                <w:sz w:val="18"/>
                <w:szCs w:val="18"/>
                <w:color w:val="auto"/>
              </w:rPr>
            </w:pPr>
          </w:p>
        </w:tc>
        <w:tc>
          <w:tcPr>
            <w:tcW w:w="1140" w:type="dxa"/>
            <w:vAlign w:val="bottom"/>
            <w:vMerge w:val="continue"/>
            <w:shd w:val="clear" w:color="auto" w:fill="E5E5E5"/>
          </w:tcPr>
          <w:p>
            <w:pPr>
              <w:spacing w:after="0"/>
              <w:rPr>
                <w:sz w:val="18"/>
                <w:szCs w:val="18"/>
                <w:color w:val="auto"/>
              </w:rPr>
            </w:pPr>
          </w:p>
        </w:tc>
        <w:tc>
          <w:tcPr>
            <w:tcW w:w="1080" w:type="dxa"/>
            <w:vAlign w:val="bottom"/>
            <w:vMerge w:val="continue"/>
            <w:shd w:val="clear" w:color="auto" w:fill="E5E5E5"/>
          </w:tcPr>
          <w:p>
            <w:pPr>
              <w:spacing w:after="0"/>
              <w:rPr>
                <w:sz w:val="18"/>
                <w:szCs w:val="18"/>
                <w:color w:val="auto"/>
              </w:rPr>
            </w:pPr>
          </w:p>
        </w:tc>
        <w:tc>
          <w:tcPr>
            <w:tcW w:w="1100" w:type="dxa"/>
            <w:vAlign w:val="bottom"/>
            <w:vMerge w:val="continue"/>
            <w:shd w:val="clear" w:color="auto" w:fill="E5E5E5"/>
          </w:tcPr>
          <w:p>
            <w:pPr>
              <w:spacing w:after="0"/>
              <w:rPr>
                <w:sz w:val="18"/>
                <w:szCs w:val="18"/>
                <w:color w:val="auto"/>
              </w:rPr>
            </w:pPr>
          </w:p>
        </w:tc>
        <w:tc>
          <w:tcPr>
            <w:tcW w:w="880" w:type="dxa"/>
            <w:vAlign w:val="bottom"/>
            <w:vMerge w:val="continue"/>
            <w:shd w:val="clear" w:color="auto" w:fill="E5E5E5"/>
          </w:tcPr>
          <w:p>
            <w:pPr>
              <w:spacing w:after="0"/>
              <w:rPr>
                <w:sz w:val="18"/>
                <w:szCs w:val="18"/>
                <w:color w:val="auto"/>
              </w:rPr>
            </w:pPr>
          </w:p>
        </w:tc>
        <w:tc>
          <w:tcPr>
            <w:tcW w:w="1080" w:type="dxa"/>
            <w:vAlign w:val="bottom"/>
            <w:vMerge w:val="continue"/>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1880" w:type="dxa"/>
            <w:vAlign w:val="bottom"/>
            <w:shd w:val="clear" w:color="auto" w:fill="E5E5E5"/>
          </w:tcPr>
          <w:p>
            <w:pPr>
              <w:spacing w:after="0"/>
              <w:rPr>
                <w:sz w:val="6"/>
                <w:szCs w:val="6"/>
                <w:color w:val="auto"/>
              </w:rPr>
            </w:pPr>
          </w:p>
        </w:tc>
        <w:tc>
          <w:tcPr>
            <w:tcW w:w="960" w:type="dxa"/>
            <w:vAlign w:val="bottom"/>
            <w:shd w:val="clear" w:color="auto" w:fill="E5E5E5"/>
          </w:tcPr>
          <w:p>
            <w:pPr>
              <w:spacing w:after="0"/>
              <w:rPr>
                <w:sz w:val="6"/>
                <w:szCs w:val="6"/>
                <w:color w:val="auto"/>
              </w:rPr>
            </w:pPr>
          </w:p>
        </w:tc>
        <w:tc>
          <w:tcPr>
            <w:tcW w:w="920" w:type="dxa"/>
            <w:vAlign w:val="bottom"/>
            <w:shd w:val="clear" w:color="auto" w:fill="E5E5E5"/>
          </w:tcPr>
          <w:p>
            <w:pPr>
              <w:spacing w:after="0"/>
              <w:rPr>
                <w:sz w:val="6"/>
                <w:szCs w:val="6"/>
                <w:color w:val="auto"/>
              </w:rPr>
            </w:pPr>
          </w:p>
        </w:tc>
        <w:tc>
          <w:tcPr>
            <w:tcW w:w="1160" w:type="dxa"/>
            <w:vAlign w:val="bottom"/>
            <w:shd w:val="clear" w:color="auto" w:fill="E5E5E5"/>
          </w:tcPr>
          <w:p>
            <w:pPr>
              <w:spacing w:after="0"/>
              <w:rPr>
                <w:sz w:val="6"/>
                <w:szCs w:val="6"/>
                <w:color w:val="auto"/>
              </w:rPr>
            </w:pPr>
          </w:p>
        </w:tc>
        <w:tc>
          <w:tcPr>
            <w:tcW w:w="1020" w:type="dxa"/>
            <w:vAlign w:val="bottom"/>
            <w:shd w:val="clear" w:color="auto" w:fill="E5E5E5"/>
          </w:tcPr>
          <w:p>
            <w:pPr>
              <w:spacing w:after="0"/>
              <w:rPr>
                <w:sz w:val="6"/>
                <w:szCs w:val="6"/>
                <w:color w:val="auto"/>
              </w:rPr>
            </w:pPr>
          </w:p>
        </w:tc>
        <w:tc>
          <w:tcPr>
            <w:tcW w:w="1140" w:type="dxa"/>
            <w:vAlign w:val="bottom"/>
            <w:shd w:val="clear" w:color="auto" w:fill="E5E5E5"/>
          </w:tcPr>
          <w:p>
            <w:pPr>
              <w:spacing w:after="0"/>
              <w:rPr>
                <w:sz w:val="6"/>
                <w:szCs w:val="6"/>
                <w:color w:val="auto"/>
              </w:rPr>
            </w:pPr>
          </w:p>
        </w:tc>
        <w:tc>
          <w:tcPr>
            <w:tcW w:w="1080" w:type="dxa"/>
            <w:vAlign w:val="bottom"/>
            <w:shd w:val="clear" w:color="auto" w:fill="E5E5E5"/>
          </w:tcPr>
          <w:p>
            <w:pPr>
              <w:spacing w:after="0"/>
              <w:rPr>
                <w:sz w:val="6"/>
                <w:szCs w:val="6"/>
                <w:color w:val="auto"/>
              </w:rPr>
            </w:pPr>
          </w:p>
        </w:tc>
        <w:tc>
          <w:tcPr>
            <w:tcW w:w="1100" w:type="dxa"/>
            <w:vAlign w:val="bottom"/>
            <w:shd w:val="clear" w:color="auto" w:fill="E5E5E5"/>
          </w:tcPr>
          <w:p>
            <w:pPr>
              <w:spacing w:after="0"/>
              <w:rPr>
                <w:sz w:val="6"/>
                <w:szCs w:val="6"/>
                <w:color w:val="auto"/>
              </w:rPr>
            </w:pPr>
          </w:p>
        </w:tc>
        <w:tc>
          <w:tcPr>
            <w:tcW w:w="880" w:type="dxa"/>
            <w:vAlign w:val="bottom"/>
            <w:shd w:val="clear" w:color="auto" w:fill="E5E5E5"/>
          </w:tcPr>
          <w:p>
            <w:pPr>
              <w:spacing w:after="0"/>
              <w:rPr>
                <w:sz w:val="6"/>
                <w:szCs w:val="6"/>
                <w:color w:val="auto"/>
              </w:rPr>
            </w:pPr>
          </w:p>
        </w:tc>
        <w:tc>
          <w:tcPr>
            <w:tcW w:w="1080" w:type="dxa"/>
            <w:vAlign w:val="bottom"/>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339"/>
        </w:trPr>
        <w:tc>
          <w:tcPr>
            <w:tcW w:w="1880" w:type="dxa"/>
            <w:vAlign w:val="bottom"/>
          </w:tcPr>
          <w:p>
            <w:pPr>
              <w:ind w:left="20"/>
              <w:spacing w:after="0"/>
              <w:rPr>
                <w:sz w:val="20"/>
                <w:szCs w:val="20"/>
                <w:color w:val="auto"/>
              </w:rPr>
            </w:pPr>
            <w:r>
              <w:rPr>
                <w:rFonts w:ascii="Arial" w:cs="Arial" w:eastAsia="Arial" w:hAnsi="Arial"/>
                <w:sz w:val="15"/>
                <w:szCs w:val="15"/>
                <w:b w:val="1"/>
                <w:bCs w:val="1"/>
                <w:color w:val="auto"/>
              </w:rPr>
              <w:t>Healthcare</w:t>
            </w:r>
          </w:p>
        </w:tc>
        <w:tc>
          <w:tcPr>
            <w:tcW w:w="96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92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14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100" w:type="dxa"/>
            <w:vAlign w:val="bottom"/>
          </w:tcPr>
          <w:p>
            <w:pPr>
              <w:jc w:val="center"/>
              <w:ind w:right="4"/>
              <w:spacing w:after="0"/>
              <w:rPr>
                <w:sz w:val="20"/>
                <w:szCs w:val="20"/>
                <w:color w:val="auto"/>
              </w:rPr>
            </w:pPr>
            <w:r>
              <w:rPr>
                <w:rFonts w:ascii="Arial" w:cs="Arial" w:eastAsia="Arial" w:hAnsi="Arial"/>
                <w:sz w:val="15"/>
                <w:szCs w:val="15"/>
                <w:b w:val="1"/>
                <w:bCs w:val="1"/>
                <w:color w:val="0071CE"/>
                <w:w w:val="99"/>
              </w:rPr>
              <w:t>X</w:t>
            </w:r>
          </w:p>
        </w:tc>
        <w:tc>
          <w:tcPr>
            <w:tcW w:w="88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080" w:type="dxa"/>
            <w:vAlign w:val="bottom"/>
          </w:tcPr>
          <w:p>
            <w:pPr>
              <w:jc w:val="center"/>
              <w:ind w:left="24"/>
              <w:spacing w:after="0"/>
              <w:rPr>
                <w:sz w:val="20"/>
                <w:szCs w:val="20"/>
                <w:color w:val="auto"/>
              </w:rPr>
            </w:pPr>
            <w:r>
              <w:rPr>
                <w:rFonts w:ascii="Arial" w:cs="Arial" w:eastAsia="Arial" w:hAnsi="Arial"/>
                <w:sz w:val="15"/>
                <w:szCs w:val="15"/>
                <w:b w:val="1"/>
                <w:bCs w:val="1"/>
                <w:color w:val="0071CE"/>
                <w:w w:val="99"/>
              </w:rPr>
              <w:t>X</w:t>
            </w:r>
          </w:p>
        </w:tc>
        <w:tc>
          <w:tcPr>
            <w:tcW w:w="0" w:type="dxa"/>
            <w:vAlign w:val="bottom"/>
          </w:tcPr>
          <w:p>
            <w:pPr>
              <w:spacing w:after="0"/>
              <w:rPr>
                <w:sz w:val="1"/>
                <w:szCs w:val="1"/>
                <w:color w:val="auto"/>
              </w:rPr>
            </w:pPr>
          </w:p>
        </w:tc>
      </w:tr>
      <w:tr>
        <w:trPr>
          <w:trHeight w:val="65"/>
        </w:trPr>
        <w:tc>
          <w:tcPr>
            <w:tcW w:w="1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0"/>
        </w:trPr>
        <w:tc>
          <w:tcPr>
            <w:tcW w:w="1880" w:type="dxa"/>
            <w:vAlign w:val="bottom"/>
            <w:shd w:val="clear" w:color="auto" w:fill="E5E5E5"/>
          </w:tcPr>
          <w:p>
            <w:pPr>
              <w:ind w:left="20"/>
              <w:spacing w:after="0"/>
              <w:rPr>
                <w:sz w:val="20"/>
                <w:szCs w:val="20"/>
                <w:color w:val="auto"/>
              </w:rPr>
            </w:pPr>
            <w:r>
              <w:rPr>
                <w:rFonts w:ascii="Arial" w:cs="Arial" w:eastAsia="Arial" w:hAnsi="Arial"/>
                <w:sz w:val="15"/>
                <w:szCs w:val="15"/>
                <w:b w:val="1"/>
                <w:bCs w:val="1"/>
                <w:color w:val="auto"/>
              </w:rPr>
              <w:t>Drug Development</w:t>
            </w:r>
          </w:p>
        </w:tc>
        <w:tc>
          <w:tcPr>
            <w:tcW w:w="96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92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16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02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14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08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100" w:type="dxa"/>
            <w:vAlign w:val="bottom"/>
            <w:shd w:val="clear" w:color="auto" w:fill="E5E5E5"/>
          </w:tcPr>
          <w:p>
            <w:pPr>
              <w:spacing w:after="0"/>
              <w:rPr>
                <w:sz w:val="24"/>
                <w:szCs w:val="24"/>
                <w:color w:val="auto"/>
              </w:rPr>
            </w:pPr>
          </w:p>
        </w:tc>
        <w:tc>
          <w:tcPr>
            <w:tcW w:w="880" w:type="dxa"/>
            <w:vAlign w:val="bottom"/>
            <w:shd w:val="clear" w:color="auto" w:fill="E5E5E5"/>
          </w:tcPr>
          <w:p>
            <w:pPr>
              <w:spacing w:after="0"/>
              <w:rPr>
                <w:sz w:val="24"/>
                <w:szCs w:val="24"/>
                <w:color w:val="auto"/>
              </w:rPr>
            </w:pPr>
          </w:p>
        </w:tc>
        <w:tc>
          <w:tcPr>
            <w:tcW w:w="1080" w:type="dxa"/>
            <w:vAlign w:val="bottom"/>
            <w:shd w:val="clear" w:color="auto" w:fill="E5E5E5"/>
          </w:tcPr>
          <w:p>
            <w:pPr>
              <w:jc w:val="center"/>
              <w:ind w:left="24"/>
              <w:spacing w:after="0"/>
              <w:rPr>
                <w:sz w:val="20"/>
                <w:szCs w:val="20"/>
                <w:color w:val="auto"/>
              </w:rPr>
            </w:pPr>
            <w:r>
              <w:rPr>
                <w:rFonts w:ascii="Arial" w:cs="Arial" w:eastAsia="Arial" w:hAnsi="Arial"/>
                <w:sz w:val="15"/>
                <w:szCs w:val="15"/>
                <w:b w:val="1"/>
                <w:bCs w:val="1"/>
                <w:color w:val="0071CE"/>
                <w:w w:val="99"/>
              </w:rPr>
              <w:t>X</w:t>
            </w:r>
          </w:p>
        </w:tc>
        <w:tc>
          <w:tcPr>
            <w:tcW w:w="0" w:type="dxa"/>
            <w:vAlign w:val="bottom"/>
          </w:tcPr>
          <w:p>
            <w:pPr>
              <w:spacing w:after="0"/>
              <w:rPr>
                <w:sz w:val="1"/>
                <w:szCs w:val="1"/>
                <w:color w:val="auto"/>
              </w:rPr>
            </w:pPr>
          </w:p>
        </w:tc>
      </w:tr>
      <w:tr>
        <w:trPr>
          <w:trHeight w:val="65"/>
        </w:trPr>
        <w:tc>
          <w:tcPr>
            <w:tcW w:w="1880" w:type="dxa"/>
            <w:vAlign w:val="bottom"/>
            <w:shd w:val="clear" w:color="auto" w:fill="E5E5E5"/>
          </w:tcPr>
          <w:p>
            <w:pPr>
              <w:spacing w:after="0"/>
              <w:rPr>
                <w:sz w:val="5"/>
                <w:szCs w:val="5"/>
                <w:color w:val="auto"/>
              </w:rPr>
            </w:pPr>
          </w:p>
        </w:tc>
        <w:tc>
          <w:tcPr>
            <w:tcW w:w="960" w:type="dxa"/>
            <w:vAlign w:val="bottom"/>
            <w:shd w:val="clear" w:color="auto" w:fill="E5E5E5"/>
          </w:tcPr>
          <w:p>
            <w:pPr>
              <w:spacing w:after="0"/>
              <w:rPr>
                <w:sz w:val="5"/>
                <w:szCs w:val="5"/>
                <w:color w:val="auto"/>
              </w:rPr>
            </w:pPr>
          </w:p>
        </w:tc>
        <w:tc>
          <w:tcPr>
            <w:tcW w:w="920" w:type="dxa"/>
            <w:vAlign w:val="bottom"/>
            <w:shd w:val="clear" w:color="auto" w:fill="E5E5E5"/>
          </w:tcPr>
          <w:p>
            <w:pPr>
              <w:spacing w:after="0"/>
              <w:rPr>
                <w:sz w:val="5"/>
                <w:szCs w:val="5"/>
                <w:color w:val="auto"/>
              </w:rPr>
            </w:pPr>
          </w:p>
        </w:tc>
        <w:tc>
          <w:tcPr>
            <w:tcW w:w="1160" w:type="dxa"/>
            <w:vAlign w:val="bottom"/>
            <w:shd w:val="clear" w:color="auto" w:fill="E5E5E5"/>
          </w:tcPr>
          <w:p>
            <w:pPr>
              <w:spacing w:after="0"/>
              <w:rPr>
                <w:sz w:val="5"/>
                <w:szCs w:val="5"/>
                <w:color w:val="auto"/>
              </w:rPr>
            </w:pPr>
          </w:p>
        </w:tc>
        <w:tc>
          <w:tcPr>
            <w:tcW w:w="1020" w:type="dxa"/>
            <w:vAlign w:val="bottom"/>
            <w:shd w:val="clear" w:color="auto" w:fill="E5E5E5"/>
          </w:tcPr>
          <w:p>
            <w:pPr>
              <w:spacing w:after="0"/>
              <w:rPr>
                <w:sz w:val="5"/>
                <w:szCs w:val="5"/>
                <w:color w:val="auto"/>
              </w:rPr>
            </w:pPr>
          </w:p>
        </w:tc>
        <w:tc>
          <w:tcPr>
            <w:tcW w:w="1140" w:type="dxa"/>
            <w:vAlign w:val="bottom"/>
            <w:shd w:val="clear" w:color="auto" w:fill="E5E5E5"/>
          </w:tcPr>
          <w:p>
            <w:pPr>
              <w:spacing w:after="0"/>
              <w:rPr>
                <w:sz w:val="5"/>
                <w:szCs w:val="5"/>
                <w:color w:val="auto"/>
              </w:rPr>
            </w:pPr>
          </w:p>
        </w:tc>
        <w:tc>
          <w:tcPr>
            <w:tcW w:w="1080" w:type="dxa"/>
            <w:vAlign w:val="bottom"/>
            <w:shd w:val="clear" w:color="auto" w:fill="E5E5E5"/>
          </w:tcPr>
          <w:p>
            <w:pPr>
              <w:spacing w:after="0"/>
              <w:rPr>
                <w:sz w:val="5"/>
                <w:szCs w:val="5"/>
                <w:color w:val="auto"/>
              </w:rPr>
            </w:pPr>
          </w:p>
        </w:tc>
        <w:tc>
          <w:tcPr>
            <w:tcW w:w="1100" w:type="dxa"/>
            <w:vAlign w:val="bottom"/>
            <w:shd w:val="clear" w:color="auto" w:fill="E5E5E5"/>
          </w:tcPr>
          <w:p>
            <w:pPr>
              <w:spacing w:after="0"/>
              <w:rPr>
                <w:sz w:val="5"/>
                <w:szCs w:val="5"/>
                <w:color w:val="auto"/>
              </w:rPr>
            </w:pPr>
          </w:p>
        </w:tc>
        <w:tc>
          <w:tcPr>
            <w:tcW w:w="880" w:type="dxa"/>
            <w:vAlign w:val="bottom"/>
            <w:shd w:val="clear" w:color="auto" w:fill="E5E5E5"/>
          </w:tcPr>
          <w:p>
            <w:pPr>
              <w:spacing w:after="0"/>
              <w:rPr>
                <w:sz w:val="5"/>
                <w:szCs w:val="5"/>
                <w:color w:val="auto"/>
              </w:rPr>
            </w:pPr>
          </w:p>
        </w:tc>
        <w:tc>
          <w:tcPr>
            <w:tcW w:w="1080" w:type="dxa"/>
            <w:vAlign w:val="bottom"/>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340"/>
        </w:trPr>
        <w:tc>
          <w:tcPr>
            <w:tcW w:w="1880" w:type="dxa"/>
            <w:vAlign w:val="bottom"/>
          </w:tcPr>
          <w:p>
            <w:pPr>
              <w:ind w:left="20"/>
              <w:spacing w:after="0"/>
              <w:rPr>
                <w:sz w:val="20"/>
                <w:szCs w:val="20"/>
                <w:color w:val="auto"/>
              </w:rPr>
            </w:pPr>
            <w:r>
              <w:rPr>
                <w:rFonts w:ascii="Arial" w:cs="Arial" w:eastAsia="Arial" w:hAnsi="Arial"/>
                <w:sz w:val="15"/>
                <w:szCs w:val="15"/>
                <w:b w:val="1"/>
                <w:bCs w:val="1"/>
                <w:color w:val="auto"/>
              </w:rPr>
              <w:t>Executive Leadership</w:t>
            </w:r>
          </w:p>
        </w:tc>
        <w:tc>
          <w:tcPr>
            <w:tcW w:w="96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92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02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14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100" w:type="dxa"/>
            <w:vAlign w:val="bottom"/>
          </w:tcPr>
          <w:p>
            <w:pPr>
              <w:jc w:val="center"/>
              <w:ind w:right="4"/>
              <w:spacing w:after="0"/>
              <w:rPr>
                <w:sz w:val="20"/>
                <w:szCs w:val="20"/>
                <w:color w:val="auto"/>
              </w:rPr>
            </w:pPr>
            <w:r>
              <w:rPr>
                <w:rFonts w:ascii="Arial" w:cs="Arial" w:eastAsia="Arial" w:hAnsi="Arial"/>
                <w:sz w:val="15"/>
                <w:szCs w:val="15"/>
                <w:b w:val="1"/>
                <w:bCs w:val="1"/>
                <w:color w:val="0071CE"/>
                <w:w w:val="99"/>
              </w:rPr>
              <w:t>X</w:t>
            </w:r>
          </w:p>
        </w:tc>
        <w:tc>
          <w:tcPr>
            <w:tcW w:w="88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080" w:type="dxa"/>
            <w:vAlign w:val="bottom"/>
          </w:tcPr>
          <w:p>
            <w:pPr>
              <w:jc w:val="center"/>
              <w:ind w:left="24"/>
              <w:spacing w:after="0"/>
              <w:rPr>
                <w:sz w:val="20"/>
                <w:szCs w:val="20"/>
                <w:color w:val="auto"/>
              </w:rPr>
            </w:pPr>
            <w:r>
              <w:rPr>
                <w:rFonts w:ascii="Arial" w:cs="Arial" w:eastAsia="Arial" w:hAnsi="Arial"/>
                <w:sz w:val="15"/>
                <w:szCs w:val="15"/>
                <w:b w:val="1"/>
                <w:bCs w:val="1"/>
                <w:color w:val="0071CE"/>
                <w:w w:val="99"/>
              </w:rPr>
              <w:t>X</w:t>
            </w:r>
          </w:p>
        </w:tc>
        <w:tc>
          <w:tcPr>
            <w:tcW w:w="0" w:type="dxa"/>
            <w:vAlign w:val="bottom"/>
          </w:tcPr>
          <w:p>
            <w:pPr>
              <w:spacing w:after="0"/>
              <w:rPr>
                <w:sz w:val="1"/>
                <w:szCs w:val="1"/>
                <w:color w:val="auto"/>
              </w:rPr>
            </w:pPr>
          </w:p>
        </w:tc>
      </w:tr>
      <w:tr>
        <w:trPr>
          <w:trHeight w:val="65"/>
        </w:trPr>
        <w:tc>
          <w:tcPr>
            <w:tcW w:w="1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880" w:type="dxa"/>
            <w:vAlign w:val="bottom"/>
            <w:shd w:val="clear" w:color="auto" w:fill="E5E5E5"/>
          </w:tcPr>
          <w:p>
            <w:pPr>
              <w:ind w:left="20"/>
              <w:spacing w:after="0"/>
              <w:rPr>
                <w:sz w:val="20"/>
                <w:szCs w:val="20"/>
                <w:color w:val="auto"/>
              </w:rPr>
            </w:pPr>
            <w:r>
              <w:rPr>
                <w:rFonts w:ascii="Arial" w:cs="Arial" w:eastAsia="Arial" w:hAnsi="Arial"/>
                <w:sz w:val="15"/>
                <w:szCs w:val="15"/>
                <w:b w:val="1"/>
                <w:bCs w:val="1"/>
                <w:color w:val="auto"/>
              </w:rPr>
              <w:t>Public Company</w:t>
            </w:r>
          </w:p>
        </w:tc>
        <w:tc>
          <w:tcPr>
            <w:tcW w:w="96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92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16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02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14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08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100" w:type="dxa"/>
            <w:vAlign w:val="bottom"/>
            <w:vMerge w:val="restart"/>
            <w:shd w:val="clear" w:color="auto" w:fill="E5E5E5"/>
          </w:tcPr>
          <w:p>
            <w:pPr>
              <w:jc w:val="center"/>
              <w:ind w:right="4"/>
              <w:spacing w:after="0"/>
              <w:rPr>
                <w:sz w:val="20"/>
                <w:szCs w:val="20"/>
                <w:color w:val="auto"/>
              </w:rPr>
            </w:pPr>
            <w:r>
              <w:rPr>
                <w:rFonts w:ascii="Arial" w:cs="Arial" w:eastAsia="Arial" w:hAnsi="Arial"/>
                <w:sz w:val="15"/>
                <w:szCs w:val="15"/>
                <w:b w:val="1"/>
                <w:bCs w:val="1"/>
                <w:color w:val="0071CE"/>
                <w:w w:val="99"/>
              </w:rPr>
              <w:t>X</w:t>
            </w:r>
          </w:p>
        </w:tc>
        <w:tc>
          <w:tcPr>
            <w:tcW w:w="880" w:type="dxa"/>
            <w:vAlign w:val="bottom"/>
            <w:vMerge w:val="restart"/>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080" w:type="dxa"/>
            <w:vAlign w:val="bottom"/>
            <w:vMerge w:val="restart"/>
            <w:shd w:val="clear" w:color="auto" w:fill="E5E5E5"/>
          </w:tcPr>
          <w:p>
            <w:pPr>
              <w:jc w:val="center"/>
              <w:ind w:left="24"/>
              <w:spacing w:after="0"/>
              <w:rPr>
                <w:sz w:val="20"/>
                <w:szCs w:val="20"/>
                <w:color w:val="auto"/>
              </w:rPr>
            </w:pPr>
            <w:r>
              <w:rPr>
                <w:rFonts w:ascii="Arial" w:cs="Arial" w:eastAsia="Arial" w:hAnsi="Arial"/>
                <w:sz w:val="15"/>
                <w:szCs w:val="15"/>
                <w:b w:val="1"/>
                <w:bCs w:val="1"/>
                <w:color w:val="0071CE"/>
                <w:w w:val="99"/>
              </w:rPr>
              <w:t>X</w:t>
            </w:r>
          </w:p>
        </w:tc>
        <w:tc>
          <w:tcPr>
            <w:tcW w:w="0" w:type="dxa"/>
            <w:vAlign w:val="bottom"/>
          </w:tcPr>
          <w:p>
            <w:pPr>
              <w:spacing w:after="0"/>
              <w:rPr>
                <w:sz w:val="1"/>
                <w:szCs w:val="1"/>
                <w:color w:val="auto"/>
              </w:rPr>
            </w:pPr>
          </w:p>
        </w:tc>
      </w:tr>
      <w:tr>
        <w:trPr>
          <w:trHeight w:val="210"/>
        </w:trPr>
        <w:tc>
          <w:tcPr>
            <w:tcW w:w="1880" w:type="dxa"/>
            <w:vAlign w:val="bottom"/>
            <w:shd w:val="clear" w:color="auto" w:fill="E5E5E5"/>
          </w:tcPr>
          <w:p>
            <w:pPr>
              <w:ind w:left="20"/>
              <w:spacing w:after="0"/>
              <w:rPr>
                <w:sz w:val="20"/>
                <w:szCs w:val="20"/>
                <w:color w:val="auto"/>
              </w:rPr>
            </w:pPr>
            <w:r>
              <w:rPr>
                <w:rFonts w:ascii="Arial" w:cs="Arial" w:eastAsia="Arial" w:hAnsi="Arial"/>
                <w:sz w:val="15"/>
                <w:szCs w:val="15"/>
                <w:b w:val="1"/>
                <w:bCs w:val="1"/>
                <w:color w:val="auto"/>
              </w:rPr>
              <w:t>Governance</w:t>
            </w:r>
          </w:p>
        </w:tc>
        <w:tc>
          <w:tcPr>
            <w:tcW w:w="960" w:type="dxa"/>
            <w:vAlign w:val="bottom"/>
            <w:vMerge w:val="continue"/>
            <w:shd w:val="clear" w:color="auto" w:fill="E5E5E5"/>
          </w:tcPr>
          <w:p>
            <w:pPr>
              <w:spacing w:after="0"/>
              <w:rPr>
                <w:sz w:val="18"/>
                <w:szCs w:val="18"/>
                <w:color w:val="auto"/>
              </w:rPr>
            </w:pPr>
          </w:p>
        </w:tc>
        <w:tc>
          <w:tcPr>
            <w:tcW w:w="920" w:type="dxa"/>
            <w:vAlign w:val="bottom"/>
            <w:vMerge w:val="continue"/>
            <w:shd w:val="clear" w:color="auto" w:fill="E5E5E5"/>
          </w:tcPr>
          <w:p>
            <w:pPr>
              <w:spacing w:after="0"/>
              <w:rPr>
                <w:sz w:val="18"/>
                <w:szCs w:val="18"/>
                <w:color w:val="auto"/>
              </w:rPr>
            </w:pPr>
          </w:p>
        </w:tc>
        <w:tc>
          <w:tcPr>
            <w:tcW w:w="1160" w:type="dxa"/>
            <w:vAlign w:val="bottom"/>
            <w:vMerge w:val="continue"/>
            <w:shd w:val="clear" w:color="auto" w:fill="E5E5E5"/>
          </w:tcPr>
          <w:p>
            <w:pPr>
              <w:spacing w:after="0"/>
              <w:rPr>
                <w:sz w:val="18"/>
                <w:szCs w:val="18"/>
                <w:color w:val="auto"/>
              </w:rPr>
            </w:pPr>
          </w:p>
        </w:tc>
        <w:tc>
          <w:tcPr>
            <w:tcW w:w="1020" w:type="dxa"/>
            <w:vAlign w:val="bottom"/>
            <w:vMerge w:val="continue"/>
            <w:shd w:val="clear" w:color="auto" w:fill="E5E5E5"/>
          </w:tcPr>
          <w:p>
            <w:pPr>
              <w:spacing w:after="0"/>
              <w:rPr>
                <w:sz w:val="18"/>
                <w:szCs w:val="18"/>
                <w:color w:val="auto"/>
              </w:rPr>
            </w:pPr>
          </w:p>
        </w:tc>
        <w:tc>
          <w:tcPr>
            <w:tcW w:w="1140" w:type="dxa"/>
            <w:vAlign w:val="bottom"/>
            <w:vMerge w:val="continue"/>
            <w:shd w:val="clear" w:color="auto" w:fill="E5E5E5"/>
          </w:tcPr>
          <w:p>
            <w:pPr>
              <w:spacing w:after="0"/>
              <w:rPr>
                <w:sz w:val="18"/>
                <w:szCs w:val="18"/>
                <w:color w:val="auto"/>
              </w:rPr>
            </w:pPr>
          </w:p>
        </w:tc>
        <w:tc>
          <w:tcPr>
            <w:tcW w:w="1080" w:type="dxa"/>
            <w:vAlign w:val="bottom"/>
            <w:vMerge w:val="continue"/>
            <w:shd w:val="clear" w:color="auto" w:fill="E5E5E5"/>
          </w:tcPr>
          <w:p>
            <w:pPr>
              <w:spacing w:after="0"/>
              <w:rPr>
                <w:sz w:val="18"/>
                <w:szCs w:val="18"/>
                <w:color w:val="auto"/>
              </w:rPr>
            </w:pPr>
          </w:p>
        </w:tc>
        <w:tc>
          <w:tcPr>
            <w:tcW w:w="1100" w:type="dxa"/>
            <w:vAlign w:val="bottom"/>
            <w:vMerge w:val="continue"/>
            <w:shd w:val="clear" w:color="auto" w:fill="E5E5E5"/>
          </w:tcPr>
          <w:p>
            <w:pPr>
              <w:spacing w:after="0"/>
              <w:rPr>
                <w:sz w:val="18"/>
                <w:szCs w:val="18"/>
                <w:color w:val="auto"/>
              </w:rPr>
            </w:pPr>
          </w:p>
        </w:tc>
        <w:tc>
          <w:tcPr>
            <w:tcW w:w="880" w:type="dxa"/>
            <w:vAlign w:val="bottom"/>
            <w:vMerge w:val="continue"/>
            <w:shd w:val="clear" w:color="auto" w:fill="E5E5E5"/>
          </w:tcPr>
          <w:p>
            <w:pPr>
              <w:spacing w:after="0"/>
              <w:rPr>
                <w:sz w:val="18"/>
                <w:szCs w:val="18"/>
                <w:color w:val="auto"/>
              </w:rPr>
            </w:pPr>
          </w:p>
        </w:tc>
        <w:tc>
          <w:tcPr>
            <w:tcW w:w="1080" w:type="dxa"/>
            <w:vAlign w:val="bottom"/>
            <w:vMerge w:val="continue"/>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1880" w:type="dxa"/>
            <w:vAlign w:val="bottom"/>
            <w:shd w:val="clear" w:color="auto" w:fill="E5E5E5"/>
          </w:tcPr>
          <w:p>
            <w:pPr>
              <w:spacing w:after="0"/>
              <w:rPr>
                <w:sz w:val="7"/>
                <w:szCs w:val="7"/>
                <w:color w:val="auto"/>
              </w:rPr>
            </w:pPr>
          </w:p>
        </w:tc>
        <w:tc>
          <w:tcPr>
            <w:tcW w:w="960" w:type="dxa"/>
            <w:vAlign w:val="bottom"/>
            <w:shd w:val="clear" w:color="auto" w:fill="E5E5E5"/>
          </w:tcPr>
          <w:p>
            <w:pPr>
              <w:spacing w:after="0"/>
              <w:rPr>
                <w:sz w:val="7"/>
                <w:szCs w:val="7"/>
                <w:color w:val="auto"/>
              </w:rPr>
            </w:pPr>
          </w:p>
        </w:tc>
        <w:tc>
          <w:tcPr>
            <w:tcW w:w="920" w:type="dxa"/>
            <w:vAlign w:val="bottom"/>
            <w:shd w:val="clear" w:color="auto" w:fill="E5E5E5"/>
          </w:tcPr>
          <w:p>
            <w:pPr>
              <w:spacing w:after="0"/>
              <w:rPr>
                <w:sz w:val="7"/>
                <w:szCs w:val="7"/>
                <w:color w:val="auto"/>
              </w:rPr>
            </w:pPr>
          </w:p>
        </w:tc>
        <w:tc>
          <w:tcPr>
            <w:tcW w:w="1160" w:type="dxa"/>
            <w:vAlign w:val="bottom"/>
            <w:shd w:val="clear" w:color="auto" w:fill="E5E5E5"/>
          </w:tcPr>
          <w:p>
            <w:pPr>
              <w:spacing w:after="0"/>
              <w:rPr>
                <w:sz w:val="7"/>
                <w:szCs w:val="7"/>
                <w:color w:val="auto"/>
              </w:rPr>
            </w:pPr>
          </w:p>
        </w:tc>
        <w:tc>
          <w:tcPr>
            <w:tcW w:w="1020" w:type="dxa"/>
            <w:vAlign w:val="bottom"/>
            <w:shd w:val="clear" w:color="auto" w:fill="E5E5E5"/>
          </w:tcPr>
          <w:p>
            <w:pPr>
              <w:spacing w:after="0"/>
              <w:rPr>
                <w:sz w:val="7"/>
                <w:szCs w:val="7"/>
                <w:color w:val="auto"/>
              </w:rPr>
            </w:pPr>
          </w:p>
        </w:tc>
        <w:tc>
          <w:tcPr>
            <w:tcW w:w="1140" w:type="dxa"/>
            <w:vAlign w:val="bottom"/>
            <w:shd w:val="clear" w:color="auto" w:fill="E5E5E5"/>
          </w:tcPr>
          <w:p>
            <w:pPr>
              <w:spacing w:after="0"/>
              <w:rPr>
                <w:sz w:val="7"/>
                <w:szCs w:val="7"/>
                <w:color w:val="auto"/>
              </w:rPr>
            </w:pPr>
          </w:p>
        </w:tc>
        <w:tc>
          <w:tcPr>
            <w:tcW w:w="1080" w:type="dxa"/>
            <w:vAlign w:val="bottom"/>
            <w:shd w:val="clear" w:color="auto" w:fill="E5E5E5"/>
          </w:tcPr>
          <w:p>
            <w:pPr>
              <w:spacing w:after="0"/>
              <w:rPr>
                <w:sz w:val="7"/>
                <w:szCs w:val="7"/>
                <w:color w:val="auto"/>
              </w:rPr>
            </w:pPr>
          </w:p>
        </w:tc>
        <w:tc>
          <w:tcPr>
            <w:tcW w:w="1100" w:type="dxa"/>
            <w:vAlign w:val="bottom"/>
            <w:shd w:val="clear" w:color="auto" w:fill="E5E5E5"/>
          </w:tcPr>
          <w:p>
            <w:pPr>
              <w:spacing w:after="0"/>
              <w:rPr>
                <w:sz w:val="7"/>
                <w:szCs w:val="7"/>
                <w:color w:val="auto"/>
              </w:rPr>
            </w:pPr>
          </w:p>
        </w:tc>
        <w:tc>
          <w:tcPr>
            <w:tcW w:w="880" w:type="dxa"/>
            <w:vAlign w:val="bottom"/>
            <w:shd w:val="clear" w:color="auto" w:fill="E5E5E5"/>
          </w:tcPr>
          <w:p>
            <w:pPr>
              <w:spacing w:after="0"/>
              <w:rPr>
                <w:sz w:val="7"/>
                <w:szCs w:val="7"/>
                <w:color w:val="auto"/>
              </w:rPr>
            </w:pPr>
          </w:p>
        </w:tc>
        <w:tc>
          <w:tcPr>
            <w:tcW w:w="1080" w:type="dxa"/>
            <w:vAlign w:val="bottom"/>
            <w:shd w:val="clear" w:color="auto" w:fill="E5E5E5"/>
          </w:tcPr>
          <w:p>
            <w:pPr>
              <w:spacing w:after="0"/>
              <w:rPr>
                <w:sz w:val="7"/>
                <w:szCs w:val="7"/>
                <w:color w:val="auto"/>
              </w:rPr>
            </w:pPr>
          </w:p>
        </w:tc>
        <w:tc>
          <w:tcPr>
            <w:tcW w:w="0" w:type="dxa"/>
            <w:vAlign w:val="bottom"/>
          </w:tcPr>
          <w:p>
            <w:pPr>
              <w:spacing w:after="0"/>
              <w:rPr>
                <w:sz w:val="1"/>
                <w:szCs w:val="1"/>
                <w:color w:val="auto"/>
              </w:rPr>
            </w:pPr>
          </w:p>
        </w:tc>
      </w:tr>
      <w:tr>
        <w:trPr>
          <w:trHeight w:val="339"/>
        </w:trPr>
        <w:tc>
          <w:tcPr>
            <w:tcW w:w="1880" w:type="dxa"/>
            <w:vAlign w:val="bottom"/>
          </w:tcPr>
          <w:p>
            <w:pPr>
              <w:ind w:left="20"/>
              <w:spacing w:after="0"/>
              <w:rPr>
                <w:sz w:val="20"/>
                <w:szCs w:val="20"/>
                <w:color w:val="auto"/>
              </w:rPr>
            </w:pPr>
            <w:r>
              <w:rPr>
                <w:rFonts w:ascii="Arial" w:cs="Arial" w:eastAsia="Arial" w:hAnsi="Arial"/>
                <w:sz w:val="15"/>
                <w:szCs w:val="15"/>
                <w:b w:val="1"/>
                <w:bCs w:val="1"/>
                <w:color w:val="auto"/>
              </w:rPr>
              <w:t>Accounting/Audit</w:t>
            </w: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1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100" w:type="dxa"/>
            <w:vAlign w:val="bottom"/>
          </w:tcPr>
          <w:p>
            <w:pPr>
              <w:jc w:val="center"/>
              <w:ind w:right="4"/>
              <w:spacing w:after="0"/>
              <w:rPr>
                <w:sz w:val="20"/>
                <w:szCs w:val="20"/>
                <w:color w:val="auto"/>
              </w:rPr>
            </w:pPr>
            <w:r>
              <w:rPr>
                <w:rFonts w:ascii="Arial" w:cs="Arial" w:eastAsia="Arial" w:hAnsi="Arial"/>
                <w:sz w:val="15"/>
                <w:szCs w:val="15"/>
                <w:b w:val="1"/>
                <w:bCs w:val="1"/>
                <w:color w:val="0071CE"/>
                <w:w w:val="99"/>
              </w:rPr>
              <w:t>X</w:t>
            </w:r>
          </w:p>
        </w:tc>
        <w:tc>
          <w:tcPr>
            <w:tcW w:w="88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1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9"/>
        </w:trPr>
        <w:tc>
          <w:tcPr>
            <w:tcW w:w="1880" w:type="dxa"/>
            <w:vAlign w:val="bottom"/>
            <w:shd w:val="clear" w:color="auto" w:fill="E5E5E5"/>
          </w:tcPr>
          <w:p>
            <w:pPr>
              <w:ind w:left="20"/>
              <w:spacing w:after="0"/>
              <w:rPr>
                <w:sz w:val="20"/>
                <w:szCs w:val="20"/>
                <w:color w:val="auto"/>
              </w:rPr>
            </w:pPr>
            <w:r>
              <w:rPr>
                <w:rFonts w:ascii="Arial" w:cs="Arial" w:eastAsia="Arial" w:hAnsi="Arial"/>
                <w:sz w:val="15"/>
                <w:szCs w:val="15"/>
                <w:b w:val="1"/>
                <w:bCs w:val="1"/>
                <w:color w:val="auto"/>
              </w:rPr>
              <w:t>Capital Markets</w:t>
            </w:r>
          </w:p>
        </w:tc>
        <w:tc>
          <w:tcPr>
            <w:tcW w:w="96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92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16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020" w:type="dxa"/>
            <w:vAlign w:val="bottom"/>
            <w:shd w:val="clear" w:color="auto" w:fill="E5E5E5"/>
          </w:tcPr>
          <w:p>
            <w:pPr>
              <w:spacing w:after="0"/>
              <w:rPr>
                <w:sz w:val="24"/>
                <w:szCs w:val="24"/>
                <w:color w:val="auto"/>
              </w:rPr>
            </w:pPr>
          </w:p>
        </w:tc>
        <w:tc>
          <w:tcPr>
            <w:tcW w:w="1140" w:type="dxa"/>
            <w:vAlign w:val="bottom"/>
            <w:shd w:val="clear" w:color="auto" w:fill="E5E5E5"/>
          </w:tcPr>
          <w:p>
            <w:pPr>
              <w:spacing w:after="0"/>
              <w:rPr>
                <w:sz w:val="24"/>
                <w:szCs w:val="24"/>
                <w:color w:val="auto"/>
              </w:rPr>
            </w:pPr>
          </w:p>
        </w:tc>
        <w:tc>
          <w:tcPr>
            <w:tcW w:w="1080" w:type="dxa"/>
            <w:vAlign w:val="bottom"/>
            <w:shd w:val="clear" w:color="auto" w:fill="E5E5E5"/>
          </w:tcPr>
          <w:p>
            <w:pPr>
              <w:spacing w:after="0"/>
              <w:rPr>
                <w:sz w:val="24"/>
                <w:szCs w:val="24"/>
                <w:color w:val="auto"/>
              </w:rPr>
            </w:pPr>
          </w:p>
        </w:tc>
        <w:tc>
          <w:tcPr>
            <w:tcW w:w="1100" w:type="dxa"/>
            <w:vAlign w:val="bottom"/>
            <w:shd w:val="clear" w:color="auto" w:fill="E5E5E5"/>
          </w:tcPr>
          <w:p>
            <w:pPr>
              <w:jc w:val="center"/>
              <w:ind w:right="4"/>
              <w:spacing w:after="0"/>
              <w:rPr>
                <w:sz w:val="20"/>
                <w:szCs w:val="20"/>
                <w:color w:val="auto"/>
              </w:rPr>
            </w:pPr>
            <w:r>
              <w:rPr>
                <w:rFonts w:ascii="Arial" w:cs="Arial" w:eastAsia="Arial" w:hAnsi="Arial"/>
                <w:sz w:val="15"/>
                <w:szCs w:val="15"/>
                <w:b w:val="1"/>
                <w:bCs w:val="1"/>
                <w:color w:val="0071CE"/>
                <w:w w:val="99"/>
              </w:rPr>
              <w:t>X</w:t>
            </w:r>
          </w:p>
        </w:tc>
        <w:tc>
          <w:tcPr>
            <w:tcW w:w="880" w:type="dxa"/>
            <w:vAlign w:val="bottom"/>
            <w:shd w:val="clear" w:color="auto" w:fill="E5E5E5"/>
          </w:tcPr>
          <w:p>
            <w:pPr>
              <w:jc w:val="center"/>
              <w:spacing w:after="0"/>
              <w:rPr>
                <w:sz w:val="20"/>
                <w:szCs w:val="20"/>
                <w:color w:val="auto"/>
              </w:rPr>
            </w:pPr>
            <w:r>
              <w:rPr>
                <w:rFonts w:ascii="Arial" w:cs="Arial" w:eastAsia="Arial" w:hAnsi="Arial"/>
                <w:sz w:val="15"/>
                <w:szCs w:val="15"/>
                <w:b w:val="1"/>
                <w:bCs w:val="1"/>
                <w:color w:val="0071CE"/>
                <w:w w:val="99"/>
              </w:rPr>
              <w:t>X</w:t>
            </w:r>
          </w:p>
        </w:tc>
        <w:tc>
          <w:tcPr>
            <w:tcW w:w="1080" w:type="dxa"/>
            <w:vAlign w:val="bottom"/>
            <w:shd w:val="clear" w:color="auto" w:fill="E5E5E5"/>
          </w:tcPr>
          <w:p>
            <w:pPr>
              <w:jc w:val="center"/>
              <w:ind w:left="24"/>
              <w:spacing w:after="0"/>
              <w:rPr>
                <w:sz w:val="20"/>
                <w:szCs w:val="20"/>
                <w:color w:val="auto"/>
              </w:rPr>
            </w:pPr>
            <w:r>
              <w:rPr>
                <w:rFonts w:ascii="Arial" w:cs="Arial" w:eastAsia="Arial" w:hAnsi="Arial"/>
                <w:sz w:val="15"/>
                <w:szCs w:val="15"/>
                <w:b w:val="1"/>
                <w:bCs w:val="1"/>
                <w:color w:val="0071CE"/>
                <w:w w:val="99"/>
              </w:rPr>
              <w:t>X</w:t>
            </w:r>
          </w:p>
        </w:tc>
        <w:tc>
          <w:tcPr>
            <w:tcW w:w="0" w:type="dxa"/>
            <w:vAlign w:val="bottom"/>
          </w:tcPr>
          <w:p>
            <w:pPr>
              <w:spacing w:after="0"/>
              <w:rPr>
                <w:sz w:val="1"/>
                <w:szCs w:val="1"/>
                <w:color w:val="auto"/>
              </w:rPr>
            </w:pPr>
          </w:p>
        </w:tc>
      </w:tr>
      <w:tr>
        <w:trPr>
          <w:trHeight w:val="65"/>
        </w:trPr>
        <w:tc>
          <w:tcPr>
            <w:tcW w:w="1880" w:type="dxa"/>
            <w:vAlign w:val="bottom"/>
            <w:shd w:val="clear" w:color="auto" w:fill="E5E5E5"/>
          </w:tcPr>
          <w:p>
            <w:pPr>
              <w:spacing w:after="0"/>
              <w:rPr>
                <w:sz w:val="5"/>
                <w:szCs w:val="5"/>
                <w:color w:val="auto"/>
              </w:rPr>
            </w:pPr>
          </w:p>
        </w:tc>
        <w:tc>
          <w:tcPr>
            <w:tcW w:w="960" w:type="dxa"/>
            <w:vAlign w:val="bottom"/>
            <w:shd w:val="clear" w:color="auto" w:fill="E5E5E5"/>
          </w:tcPr>
          <w:p>
            <w:pPr>
              <w:spacing w:after="0"/>
              <w:rPr>
                <w:sz w:val="5"/>
                <w:szCs w:val="5"/>
                <w:color w:val="auto"/>
              </w:rPr>
            </w:pPr>
          </w:p>
        </w:tc>
        <w:tc>
          <w:tcPr>
            <w:tcW w:w="920" w:type="dxa"/>
            <w:vAlign w:val="bottom"/>
            <w:shd w:val="clear" w:color="auto" w:fill="E5E5E5"/>
          </w:tcPr>
          <w:p>
            <w:pPr>
              <w:spacing w:after="0"/>
              <w:rPr>
                <w:sz w:val="5"/>
                <w:szCs w:val="5"/>
                <w:color w:val="auto"/>
              </w:rPr>
            </w:pPr>
          </w:p>
        </w:tc>
        <w:tc>
          <w:tcPr>
            <w:tcW w:w="1160" w:type="dxa"/>
            <w:vAlign w:val="bottom"/>
            <w:shd w:val="clear" w:color="auto" w:fill="E5E5E5"/>
          </w:tcPr>
          <w:p>
            <w:pPr>
              <w:spacing w:after="0"/>
              <w:rPr>
                <w:sz w:val="5"/>
                <w:szCs w:val="5"/>
                <w:color w:val="auto"/>
              </w:rPr>
            </w:pPr>
          </w:p>
        </w:tc>
        <w:tc>
          <w:tcPr>
            <w:tcW w:w="1020" w:type="dxa"/>
            <w:vAlign w:val="bottom"/>
            <w:shd w:val="clear" w:color="auto" w:fill="E5E5E5"/>
          </w:tcPr>
          <w:p>
            <w:pPr>
              <w:spacing w:after="0"/>
              <w:rPr>
                <w:sz w:val="5"/>
                <w:szCs w:val="5"/>
                <w:color w:val="auto"/>
              </w:rPr>
            </w:pPr>
          </w:p>
        </w:tc>
        <w:tc>
          <w:tcPr>
            <w:tcW w:w="1140" w:type="dxa"/>
            <w:vAlign w:val="bottom"/>
            <w:shd w:val="clear" w:color="auto" w:fill="E5E5E5"/>
          </w:tcPr>
          <w:p>
            <w:pPr>
              <w:spacing w:after="0"/>
              <w:rPr>
                <w:sz w:val="5"/>
                <w:szCs w:val="5"/>
                <w:color w:val="auto"/>
              </w:rPr>
            </w:pPr>
          </w:p>
        </w:tc>
        <w:tc>
          <w:tcPr>
            <w:tcW w:w="1080" w:type="dxa"/>
            <w:vAlign w:val="bottom"/>
            <w:shd w:val="clear" w:color="auto" w:fill="E5E5E5"/>
          </w:tcPr>
          <w:p>
            <w:pPr>
              <w:spacing w:after="0"/>
              <w:rPr>
                <w:sz w:val="5"/>
                <w:szCs w:val="5"/>
                <w:color w:val="auto"/>
              </w:rPr>
            </w:pPr>
          </w:p>
        </w:tc>
        <w:tc>
          <w:tcPr>
            <w:tcW w:w="1100" w:type="dxa"/>
            <w:vAlign w:val="bottom"/>
            <w:shd w:val="clear" w:color="auto" w:fill="E5E5E5"/>
          </w:tcPr>
          <w:p>
            <w:pPr>
              <w:spacing w:after="0"/>
              <w:rPr>
                <w:sz w:val="5"/>
                <w:szCs w:val="5"/>
                <w:color w:val="auto"/>
              </w:rPr>
            </w:pPr>
          </w:p>
        </w:tc>
        <w:tc>
          <w:tcPr>
            <w:tcW w:w="880" w:type="dxa"/>
            <w:vAlign w:val="bottom"/>
            <w:shd w:val="clear" w:color="auto" w:fill="E5E5E5"/>
          </w:tcPr>
          <w:p>
            <w:pPr>
              <w:spacing w:after="0"/>
              <w:rPr>
                <w:sz w:val="5"/>
                <w:szCs w:val="5"/>
                <w:color w:val="auto"/>
              </w:rPr>
            </w:pPr>
          </w:p>
        </w:tc>
        <w:tc>
          <w:tcPr>
            <w:tcW w:w="1080" w:type="dxa"/>
            <w:vAlign w:val="bottom"/>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340"/>
        </w:trPr>
        <w:tc>
          <w:tcPr>
            <w:tcW w:w="1880" w:type="dxa"/>
            <w:vAlign w:val="bottom"/>
          </w:tcPr>
          <w:p>
            <w:pPr>
              <w:ind w:left="20"/>
              <w:spacing w:after="0"/>
              <w:rPr>
                <w:sz w:val="20"/>
                <w:szCs w:val="20"/>
                <w:color w:val="auto"/>
              </w:rPr>
            </w:pPr>
            <w:r>
              <w:rPr>
                <w:rFonts w:ascii="Arial" w:cs="Arial" w:eastAsia="Arial" w:hAnsi="Arial"/>
                <w:sz w:val="15"/>
                <w:szCs w:val="15"/>
                <w:b w:val="1"/>
                <w:bCs w:val="1"/>
                <w:color w:val="auto"/>
              </w:rPr>
              <w:t>Commercial</w:t>
            </w:r>
          </w:p>
        </w:tc>
        <w:tc>
          <w:tcPr>
            <w:tcW w:w="96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92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0071CE"/>
                <w:w w:val="99"/>
              </w:rPr>
              <w:t>X</w:t>
            </w: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jc w:val="center"/>
              <w:ind w:left="24"/>
              <w:spacing w:after="0"/>
              <w:rPr>
                <w:sz w:val="20"/>
                <w:szCs w:val="20"/>
                <w:color w:val="auto"/>
              </w:rPr>
            </w:pPr>
            <w:r>
              <w:rPr>
                <w:rFonts w:ascii="Arial" w:cs="Arial" w:eastAsia="Arial" w:hAnsi="Arial"/>
                <w:sz w:val="15"/>
                <w:szCs w:val="15"/>
                <w:b w:val="1"/>
                <w:bCs w:val="1"/>
                <w:color w:val="0071CE"/>
                <w:w w:val="99"/>
              </w:rPr>
              <w:t>X</w:t>
            </w:r>
          </w:p>
        </w:tc>
        <w:tc>
          <w:tcPr>
            <w:tcW w:w="0" w:type="dxa"/>
            <w:vAlign w:val="bottom"/>
          </w:tcPr>
          <w:p>
            <w:pPr>
              <w:spacing w:after="0"/>
              <w:rPr>
                <w:sz w:val="1"/>
                <w:szCs w:val="1"/>
                <w:color w:val="auto"/>
              </w:rPr>
            </w:pPr>
          </w:p>
        </w:tc>
      </w:tr>
      <w:tr>
        <w:trPr>
          <w:trHeight w:val="65"/>
        </w:trPr>
        <w:tc>
          <w:tcPr>
            <w:tcW w:w="1880" w:type="dxa"/>
            <w:vAlign w:val="bottom"/>
            <w:tcBorders>
              <w:bottom w:val="single" w:sz="8" w:color="0071CE"/>
            </w:tcBorders>
          </w:tcPr>
          <w:p>
            <w:pPr>
              <w:spacing w:after="0"/>
              <w:rPr>
                <w:sz w:val="5"/>
                <w:szCs w:val="5"/>
                <w:color w:val="auto"/>
              </w:rPr>
            </w:pPr>
          </w:p>
        </w:tc>
        <w:tc>
          <w:tcPr>
            <w:tcW w:w="960" w:type="dxa"/>
            <w:vAlign w:val="bottom"/>
            <w:tcBorders>
              <w:bottom w:val="single" w:sz="8" w:color="0071CE"/>
            </w:tcBorders>
          </w:tcPr>
          <w:p>
            <w:pPr>
              <w:spacing w:after="0"/>
              <w:rPr>
                <w:sz w:val="5"/>
                <w:szCs w:val="5"/>
                <w:color w:val="auto"/>
              </w:rPr>
            </w:pPr>
          </w:p>
        </w:tc>
        <w:tc>
          <w:tcPr>
            <w:tcW w:w="920" w:type="dxa"/>
            <w:vAlign w:val="bottom"/>
            <w:tcBorders>
              <w:bottom w:val="single" w:sz="8" w:color="0071CE"/>
            </w:tcBorders>
          </w:tcPr>
          <w:p>
            <w:pPr>
              <w:spacing w:after="0"/>
              <w:rPr>
                <w:sz w:val="5"/>
                <w:szCs w:val="5"/>
                <w:color w:val="auto"/>
              </w:rPr>
            </w:pPr>
          </w:p>
        </w:tc>
        <w:tc>
          <w:tcPr>
            <w:tcW w:w="1160" w:type="dxa"/>
            <w:vAlign w:val="bottom"/>
            <w:tcBorders>
              <w:bottom w:val="single" w:sz="8" w:color="0071CE"/>
            </w:tcBorders>
          </w:tcPr>
          <w:p>
            <w:pPr>
              <w:spacing w:after="0"/>
              <w:rPr>
                <w:sz w:val="5"/>
                <w:szCs w:val="5"/>
                <w:color w:val="auto"/>
              </w:rPr>
            </w:pPr>
          </w:p>
        </w:tc>
        <w:tc>
          <w:tcPr>
            <w:tcW w:w="1020" w:type="dxa"/>
            <w:vAlign w:val="bottom"/>
            <w:tcBorders>
              <w:bottom w:val="single" w:sz="8" w:color="0071CE"/>
            </w:tcBorders>
          </w:tcPr>
          <w:p>
            <w:pPr>
              <w:spacing w:after="0"/>
              <w:rPr>
                <w:sz w:val="5"/>
                <w:szCs w:val="5"/>
                <w:color w:val="auto"/>
              </w:rPr>
            </w:pPr>
          </w:p>
        </w:tc>
        <w:tc>
          <w:tcPr>
            <w:tcW w:w="1140" w:type="dxa"/>
            <w:vAlign w:val="bottom"/>
            <w:tcBorders>
              <w:bottom w:val="single" w:sz="8" w:color="0071CE"/>
            </w:tcBorders>
          </w:tcPr>
          <w:p>
            <w:pPr>
              <w:spacing w:after="0"/>
              <w:rPr>
                <w:sz w:val="5"/>
                <w:szCs w:val="5"/>
                <w:color w:val="auto"/>
              </w:rPr>
            </w:pPr>
          </w:p>
        </w:tc>
        <w:tc>
          <w:tcPr>
            <w:tcW w:w="1080" w:type="dxa"/>
            <w:vAlign w:val="bottom"/>
            <w:tcBorders>
              <w:bottom w:val="single" w:sz="8" w:color="0071CE"/>
            </w:tcBorders>
          </w:tcPr>
          <w:p>
            <w:pPr>
              <w:spacing w:after="0"/>
              <w:rPr>
                <w:sz w:val="5"/>
                <w:szCs w:val="5"/>
                <w:color w:val="auto"/>
              </w:rPr>
            </w:pPr>
          </w:p>
        </w:tc>
        <w:tc>
          <w:tcPr>
            <w:tcW w:w="1100" w:type="dxa"/>
            <w:vAlign w:val="bottom"/>
            <w:tcBorders>
              <w:bottom w:val="single" w:sz="8" w:color="0071CE"/>
            </w:tcBorders>
          </w:tcPr>
          <w:p>
            <w:pPr>
              <w:spacing w:after="0"/>
              <w:rPr>
                <w:sz w:val="5"/>
                <w:szCs w:val="5"/>
                <w:color w:val="auto"/>
              </w:rPr>
            </w:pPr>
          </w:p>
        </w:tc>
        <w:tc>
          <w:tcPr>
            <w:tcW w:w="880" w:type="dxa"/>
            <w:vAlign w:val="bottom"/>
            <w:tcBorders>
              <w:bottom w:val="single" w:sz="8" w:color="0071CE"/>
            </w:tcBorders>
          </w:tcPr>
          <w:p>
            <w:pPr>
              <w:spacing w:after="0"/>
              <w:rPr>
                <w:sz w:val="5"/>
                <w:szCs w:val="5"/>
                <w:color w:val="auto"/>
              </w:rPr>
            </w:pPr>
          </w:p>
        </w:tc>
        <w:tc>
          <w:tcPr>
            <w:tcW w:w="1080" w:type="dxa"/>
            <w:vAlign w:val="bottom"/>
            <w:tcBorders>
              <w:bottom w:val="single" w:sz="8" w:color="0071CE"/>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556895</wp:posOffset>
            </wp:positionV>
            <wp:extent cx="986155" cy="2057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jc w:val="right"/>
        <w:spacing w:after="0"/>
        <w:tabs>
          <w:tab w:leader="none" w:pos="254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2143125" cy="24003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4312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Board Diversity</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Nomination Committee believes that the Board should represent a diverse mix of skills, regional and industry experience, backgrounds, ages, and other unique characteristics, such as race, gender, and ethnicity. In furtherance of this goal, the Committee is committed to actively seeking out highly qualified diverse candidates (including women and minority candidates) to include in the pool from which Board nominees are chosen.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shd w:val="clear" w:color="auto" w:fill="0071CE"/>
          </w:tcPr>
          <w:p>
            <w:pPr>
              <w:ind w:left="40"/>
              <w:spacing w:after="0"/>
              <w:rPr>
                <w:sz w:val="20"/>
                <w:szCs w:val="20"/>
                <w:color w:val="auto"/>
              </w:rPr>
            </w:pPr>
            <w:r>
              <w:rPr>
                <w:rFonts w:ascii="Arial" w:cs="Arial" w:eastAsia="Arial" w:hAnsi="Arial"/>
                <w:sz w:val="14"/>
                <w:szCs w:val="14"/>
                <w:b w:val="1"/>
                <w:bCs w:val="1"/>
                <w:color w:val="FFFFFF"/>
              </w:rPr>
              <w:t>Board Diversity Matrix (As of January 28, 2025)</w:t>
            </w:r>
          </w:p>
        </w:tc>
        <w:tc>
          <w:tcPr>
            <w:tcW w:w="1660" w:type="dxa"/>
            <w:vAlign w:val="bottom"/>
            <w:shd w:val="clear" w:color="auto" w:fill="0071CE"/>
          </w:tcPr>
          <w:p>
            <w:pPr>
              <w:spacing w:after="0"/>
              <w:rPr>
                <w:sz w:val="17"/>
                <w:szCs w:val="17"/>
                <w:color w:val="auto"/>
              </w:rPr>
            </w:pPr>
          </w:p>
        </w:tc>
        <w:tc>
          <w:tcPr>
            <w:tcW w:w="1260" w:type="dxa"/>
            <w:vAlign w:val="bottom"/>
            <w:shd w:val="clear" w:color="auto" w:fill="0071CE"/>
          </w:tcPr>
          <w:p>
            <w:pPr>
              <w:spacing w:after="0"/>
              <w:rPr>
                <w:sz w:val="17"/>
                <w:szCs w:val="17"/>
                <w:color w:val="auto"/>
              </w:rPr>
            </w:pPr>
          </w:p>
        </w:tc>
        <w:tc>
          <w:tcPr>
            <w:tcW w:w="1960" w:type="dxa"/>
            <w:vAlign w:val="bottom"/>
            <w:shd w:val="clear" w:color="auto" w:fill="0071CE"/>
          </w:tcPr>
          <w:p>
            <w:pPr>
              <w:spacing w:after="0"/>
              <w:rPr>
                <w:sz w:val="17"/>
                <w:szCs w:val="17"/>
                <w:color w:val="auto"/>
              </w:rPr>
            </w:pPr>
          </w:p>
        </w:tc>
        <w:tc>
          <w:tcPr>
            <w:tcW w:w="1720" w:type="dxa"/>
            <w:vAlign w:val="bottom"/>
            <w:shd w:val="clear" w:color="auto" w:fill="0071C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40" w:type="dxa"/>
            <w:vAlign w:val="bottom"/>
            <w:shd w:val="clear" w:color="auto" w:fill="E5E5E5"/>
          </w:tcPr>
          <w:p>
            <w:pPr>
              <w:ind w:left="120"/>
              <w:spacing w:after="0"/>
              <w:rPr>
                <w:sz w:val="20"/>
                <w:szCs w:val="20"/>
                <w:color w:val="auto"/>
              </w:rPr>
            </w:pPr>
            <w:r>
              <w:rPr>
                <w:rFonts w:ascii="Arial" w:cs="Arial" w:eastAsia="Arial" w:hAnsi="Arial"/>
                <w:sz w:val="16"/>
                <w:szCs w:val="16"/>
                <w:color w:val="auto"/>
              </w:rPr>
              <w:t>Total Number of Directors</w:t>
            </w:r>
          </w:p>
        </w:tc>
        <w:tc>
          <w:tcPr>
            <w:tcW w:w="166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18"/>
                <w:szCs w:val="18"/>
                <w:color w:val="auto"/>
              </w:rPr>
            </w:pPr>
          </w:p>
        </w:tc>
        <w:tc>
          <w:tcPr>
            <w:tcW w:w="1960" w:type="dxa"/>
            <w:vAlign w:val="bottom"/>
            <w:shd w:val="clear" w:color="auto" w:fill="E5E5E5"/>
          </w:tcPr>
          <w:p>
            <w:pPr>
              <w:jc w:val="center"/>
              <w:ind w:right="1140"/>
              <w:spacing w:after="0"/>
              <w:rPr>
                <w:sz w:val="20"/>
                <w:szCs w:val="20"/>
                <w:color w:val="auto"/>
              </w:rPr>
            </w:pPr>
            <w:r>
              <w:rPr>
                <w:rFonts w:ascii="Arial" w:cs="Arial" w:eastAsia="Arial" w:hAnsi="Arial"/>
                <w:sz w:val="16"/>
                <w:szCs w:val="16"/>
                <w:color w:val="auto"/>
              </w:rPr>
              <w:t>#8</w:t>
            </w:r>
          </w:p>
        </w:tc>
        <w:tc>
          <w:tcPr>
            <w:tcW w:w="1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640" w:type="dxa"/>
            <w:vAlign w:val="bottom"/>
            <w:shd w:val="clear" w:color="auto" w:fill="0071CE"/>
          </w:tcPr>
          <w:p>
            <w:pPr>
              <w:spacing w:after="0"/>
              <w:rPr>
                <w:sz w:val="13"/>
                <w:szCs w:val="13"/>
                <w:color w:val="auto"/>
              </w:rPr>
            </w:pPr>
          </w:p>
        </w:tc>
        <w:tc>
          <w:tcPr>
            <w:tcW w:w="1660" w:type="dxa"/>
            <w:vAlign w:val="bottom"/>
            <w:vMerge w:val="restart"/>
            <w:shd w:val="clear" w:color="auto" w:fill="0071CE"/>
          </w:tcPr>
          <w:p>
            <w:pPr>
              <w:jc w:val="center"/>
              <w:ind w:right="40"/>
              <w:spacing w:after="0"/>
              <w:rPr>
                <w:sz w:val="20"/>
                <w:szCs w:val="20"/>
                <w:color w:val="auto"/>
              </w:rPr>
            </w:pPr>
            <w:r>
              <w:rPr>
                <w:rFonts w:ascii="Arial" w:cs="Arial" w:eastAsia="Arial" w:hAnsi="Arial"/>
                <w:sz w:val="14"/>
                <w:szCs w:val="14"/>
                <w:b w:val="1"/>
                <w:bCs w:val="1"/>
                <w:color w:val="FFFFFF"/>
              </w:rPr>
              <w:t>Female</w:t>
            </w:r>
          </w:p>
        </w:tc>
        <w:tc>
          <w:tcPr>
            <w:tcW w:w="1260" w:type="dxa"/>
            <w:vAlign w:val="bottom"/>
            <w:vMerge w:val="restart"/>
            <w:shd w:val="clear" w:color="auto" w:fill="0071CE"/>
          </w:tcPr>
          <w:p>
            <w:pPr>
              <w:jc w:val="center"/>
              <w:ind w:left="260"/>
              <w:spacing w:after="0"/>
              <w:rPr>
                <w:sz w:val="20"/>
                <w:szCs w:val="20"/>
                <w:color w:val="auto"/>
              </w:rPr>
            </w:pPr>
            <w:r>
              <w:rPr>
                <w:rFonts w:ascii="Arial" w:cs="Arial" w:eastAsia="Arial" w:hAnsi="Arial"/>
                <w:sz w:val="14"/>
                <w:szCs w:val="14"/>
                <w:b w:val="1"/>
                <w:bCs w:val="1"/>
                <w:color w:val="FFFFFF"/>
              </w:rPr>
              <w:t>Male</w:t>
            </w:r>
          </w:p>
        </w:tc>
        <w:tc>
          <w:tcPr>
            <w:tcW w:w="1960" w:type="dxa"/>
            <w:vAlign w:val="bottom"/>
            <w:vMerge w:val="restart"/>
            <w:shd w:val="clear" w:color="auto" w:fill="0071CE"/>
          </w:tcPr>
          <w:p>
            <w:pPr>
              <w:jc w:val="center"/>
              <w:ind w:left="380"/>
              <w:spacing w:after="0"/>
              <w:rPr>
                <w:sz w:val="20"/>
                <w:szCs w:val="20"/>
                <w:color w:val="auto"/>
              </w:rPr>
            </w:pPr>
            <w:r>
              <w:rPr>
                <w:rFonts w:ascii="Arial" w:cs="Arial" w:eastAsia="Arial" w:hAnsi="Arial"/>
                <w:sz w:val="14"/>
                <w:szCs w:val="14"/>
                <w:b w:val="1"/>
                <w:bCs w:val="1"/>
                <w:color w:val="FFFFFF"/>
              </w:rPr>
              <w:t>Non-Binary</w:t>
            </w:r>
          </w:p>
        </w:tc>
        <w:tc>
          <w:tcPr>
            <w:tcW w:w="1720" w:type="dxa"/>
            <w:vAlign w:val="bottom"/>
            <w:shd w:val="clear" w:color="auto" w:fill="0071CE"/>
          </w:tcPr>
          <w:p>
            <w:pPr>
              <w:jc w:val="center"/>
              <w:ind w:left="61"/>
              <w:spacing w:after="0" w:line="153" w:lineRule="exact"/>
              <w:rPr>
                <w:sz w:val="20"/>
                <w:szCs w:val="20"/>
                <w:color w:val="auto"/>
              </w:rPr>
            </w:pPr>
            <w:r>
              <w:rPr>
                <w:rFonts w:ascii="Arial" w:cs="Arial" w:eastAsia="Arial" w:hAnsi="Arial"/>
                <w:sz w:val="14"/>
                <w:szCs w:val="14"/>
                <w:b w:val="1"/>
                <w:bCs w:val="1"/>
                <w:color w:val="FFFFFF"/>
              </w:rPr>
              <w:t>Did Not Disclose</w:t>
            </w:r>
          </w:p>
        </w:tc>
        <w:tc>
          <w:tcPr>
            <w:tcW w:w="0" w:type="dxa"/>
            <w:vAlign w:val="bottom"/>
          </w:tcPr>
          <w:p>
            <w:pPr>
              <w:spacing w:after="0"/>
              <w:rPr>
                <w:sz w:val="1"/>
                <w:szCs w:val="1"/>
                <w:color w:val="auto"/>
              </w:rPr>
            </w:pPr>
          </w:p>
        </w:tc>
      </w:tr>
      <w:tr>
        <w:trPr>
          <w:trHeight w:val="192"/>
        </w:trPr>
        <w:tc>
          <w:tcPr>
            <w:tcW w:w="4640" w:type="dxa"/>
            <w:vAlign w:val="bottom"/>
            <w:tcBorders>
              <w:bottom w:val="single" w:sz="8" w:color="0071CE"/>
            </w:tcBorders>
            <w:shd w:val="clear" w:color="auto" w:fill="0071CE"/>
          </w:tcPr>
          <w:p>
            <w:pPr>
              <w:spacing w:after="0"/>
              <w:rPr>
                <w:sz w:val="16"/>
                <w:szCs w:val="16"/>
                <w:color w:val="auto"/>
              </w:rPr>
            </w:pPr>
          </w:p>
        </w:tc>
        <w:tc>
          <w:tcPr>
            <w:tcW w:w="1660" w:type="dxa"/>
            <w:vAlign w:val="bottom"/>
            <w:tcBorders>
              <w:bottom w:val="single" w:sz="8" w:color="0071CE"/>
            </w:tcBorders>
            <w:vMerge w:val="continue"/>
            <w:shd w:val="clear" w:color="auto" w:fill="0071CE"/>
          </w:tcPr>
          <w:p>
            <w:pPr>
              <w:spacing w:after="0"/>
              <w:rPr>
                <w:sz w:val="16"/>
                <w:szCs w:val="16"/>
                <w:color w:val="auto"/>
              </w:rPr>
            </w:pPr>
          </w:p>
        </w:tc>
        <w:tc>
          <w:tcPr>
            <w:tcW w:w="1260" w:type="dxa"/>
            <w:vAlign w:val="bottom"/>
            <w:tcBorders>
              <w:bottom w:val="single" w:sz="8" w:color="0071CE"/>
            </w:tcBorders>
            <w:vMerge w:val="continue"/>
            <w:shd w:val="clear" w:color="auto" w:fill="0071CE"/>
          </w:tcPr>
          <w:p>
            <w:pPr>
              <w:spacing w:after="0"/>
              <w:rPr>
                <w:sz w:val="16"/>
                <w:szCs w:val="16"/>
                <w:color w:val="auto"/>
              </w:rPr>
            </w:pPr>
          </w:p>
        </w:tc>
        <w:tc>
          <w:tcPr>
            <w:tcW w:w="1960" w:type="dxa"/>
            <w:vAlign w:val="bottom"/>
            <w:tcBorders>
              <w:bottom w:val="single" w:sz="8" w:color="0071CE"/>
            </w:tcBorders>
            <w:vMerge w:val="continue"/>
            <w:shd w:val="clear" w:color="auto" w:fill="0071CE"/>
          </w:tcPr>
          <w:p>
            <w:pPr>
              <w:spacing w:after="0"/>
              <w:rPr>
                <w:sz w:val="16"/>
                <w:szCs w:val="16"/>
                <w:color w:val="auto"/>
              </w:rPr>
            </w:pPr>
          </w:p>
        </w:tc>
        <w:tc>
          <w:tcPr>
            <w:tcW w:w="1720" w:type="dxa"/>
            <w:vAlign w:val="bottom"/>
            <w:tcBorders>
              <w:bottom w:val="single" w:sz="8" w:color="0071CE"/>
            </w:tcBorders>
            <w:shd w:val="clear" w:color="auto" w:fill="0071CE"/>
          </w:tcPr>
          <w:p>
            <w:pPr>
              <w:jc w:val="center"/>
              <w:ind w:left="61"/>
              <w:spacing w:after="0"/>
              <w:rPr>
                <w:sz w:val="20"/>
                <w:szCs w:val="20"/>
                <w:color w:val="auto"/>
              </w:rPr>
            </w:pPr>
            <w:r>
              <w:rPr>
                <w:rFonts w:ascii="Arial" w:cs="Arial" w:eastAsia="Arial" w:hAnsi="Arial"/>
                <w:sz w:val="14"/>
                <w:szCs w:val="14"/>
                <w:b w:val="1"/>
                <w:bCs w:val="1"/>
                <w:color w:val="FFFFFF"/>
              </w:rPr>
              <w:t>Gender</w:t>
            </w:r>
          </w:p>
        </w:tc>
        <w:tc>
          <w:tcPr>
            <w:tcW w:w="0" w:type="dxa"/>
            <w:vAlign w:val="bottom"/>
          </w:tcPr>
          <w:p>
            <w:pPr>
              <w:spacing w:after="0"/>
              <w:rPr>
                <w:sz w:val="1"/>
                <w:szCs w:val="1"/>
                <w:color w:val="auto"/>
              </w:rPr>
            </w:pPr>
          </w:p>
        </w:tc>
      </w:tr>
      <w:tr>
        <w:trPr>
          <w:trHeight w:val="216"/>
        </w:trPr>
        <w:tc>
          <w:tcPr>
            <w:tcW w:w="4640" w:type="dxa"/>
            <w:vAlign w:val="bottom"/>
            <w:shd w:val="clear" w:color="auto" w:fill="E5E5E5"/>
          </w:tcPr>
          <w:p>
            <w:pPr>
              <w:ind w:left="120"/>
              <w:spacing w:after="0"/>
              <w:rPr>
                <w:sz w:val="20"/>
                <w:szCs w:val="20"/>
                <w:color w:val="auto"/>
              </w:rPr>
            </w:pPr>
            <w:r>
              <w:rPr>
                <w:rFonts w:ascii="Arial" w:cs="Arial" w:eastAsia="Arial" w:hAnsi="Arial"/>
                <w:sz w:val="16"/>
                <w:szCs w:val="16"/>
                <w:b w:val="1"/>
                <w:bCs w:val="1"/>
                <w:color w:val="auto"/>
              </w:rPr>
              <w:t>Part I: Gender Identity</w:t>
            </w:r>
          </w:p>
        </w:tc>
        <w:tc>
          <w:tcPr>
            <w:tcW w:w="166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18"/>
                <w:szCs w:val="18"/>
                <w:color w:val="auto"/>
              </w:rPr>
            </w:pPr>
          </w:p>
        </w:tc>
        <w:tc>
          <w:tcPr>
            <w:tcW w:w="1960" w:type="dxa"/>
            <w:vAlign w:val="bottom"/>
            <w:shd w:val="clear" w:color="auto" w:fill="E5E5E5"/>
          </w:tcPr>
          <w:p>
            <w:pPr>
              <w:spacing w:after="0"/>
              <w:rPr>
                <w:sz w:val="18"/>
                <w:szCs w:val="18"/>
                <w:color w:val="auto"/>
              </w:rPr>
            </w:pPr>
          </w:p>
        </w:tc>
        <w:tc>
          <w:tcPr>
            <w:tcW w:w="1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40" w:type="dxa"/>
            <w:vAlign w:val="bottom"/>
          </w:tcPr>
          <w:p>
            <w:pPr>
              <w:ind w:left="120"/>
              <w:spacing w:after="0"/>
              <w:rPr>
                <w:sz w:val="20"/>
                <w:szCs w:val="20"/>
                <w:color w:val="auto"/>
              </w:rPr>
            </w:pPr>
            <w:r>
              <w:rPr>
                <w:rFonts w:ascii="Arial" w:cs="Arial" w:eastAsia="Arial" w:hAnsi="Arial"/>
                <w:sz w:val="16"/>
                <w:szCs w:val="16"/>
                <w:color w:val="auto"/>
              </w:rPr>
              <w:t>Directors</w:t>
            </w:r>
          </w:p>
        </w:tc>
        <w:tc>
          <w:tcPr>
            <w:tcW w:w="1660" w:type="dxa"/>
            <w:vAlign w:val="bottom"/>
          </w:tcPr>
          <w:p>
            <w:pPr>
              <w:jc w:val="center"/>
              <w:ind w:right="40"/>
              <w:spacing w:after="0"/>
              <w:rPr>
                <w:sz w:val="20"/>
                <w:szCs w:val="20"/>
                <w:color w:val="auto"/>
              </w:rPr>
            </w:pPr>
            <w:r>
              <w:rPr>
                <w:rFonts w:ascii="Arial" w:cs="Arial" w:eastAsia="Arial" w:hAnsi="Arial"/>
                <w:sz w:val="16"/>
                <w:szCs w:val="16"/>
                <w:color w:val="auto"/>
              </w:rPr>
              <w:t>2</w:t>
            </w:r>
          </w:p>
        </w:tc>
        <w:tc>
          <w:tcPr>
            <w:tcW w:w="1260" w:type="dxa"/>
            <w:vAlign w:val="bottom"/>
          </w:tcPr>
          <w:p>
            <w:pPr>
              <w:jc w:val="center"/>
              <w:ind w:left="240"/>
              <w:spacing w:after="0"/>
              <w:rPr>
                <w:sz w:val="20"/>
                <w:szCs w:val="20"/>
                <w:color w:val="auto"/>
              </w:rPr>
            </w:pPr>
            <w:r>
              <w:rPr>
                <w:rFonts w:ascii="Arial" w:cs="Arial" w:eastAsia="Arial" w:hAnsi="Arial"/>
                <w:sz w:val="16"/>
                <w:szCs w:val="16"/>
                <w:color w:val="auto"/>
              </w:rPr>
              <w:t>6</w:t>
            </w:r>
          </w:p>
        </w:tc>
        <w:tc>
          <w:tcPr>
            <w:tcW w:w="1960" w:type="dxa"/>
            <w:vAlign w:val="bottom"/>
          </w:tcPr>
          <w:p>
            <w:pPr>
              <w:jc w:val="center"/>
              <w:ind w:left="380"/>
              <w:spacing w:after="0"/>
              <w:rPr>
                <w:sz w:val="20"/>
                <w:szCs w:val="20"/>
                <w:color w:val="auto"/>
              </w:rPr>
            </w:pPr>
            <w:r>
              <w:rPr>
                <w:rFonts w:ascii="Arial" w:cs="Arial" w:eastAsia="Arial" w:hAnsi="Arial"/>
                <w:sz w:val="16"/>
                <w:szCs w:val="16"/>
                <w:color w:val="auto"/>
              </w:rPr>
              <w:t>0</w:t>
            </w:r>
          </w:p>
        </w:tc>
        <w:tc>
          <w:tcPr>
            <w:tcW w:w="1720" w:type="dxa"/>
            <w:vAlign w:val="bottom"/>
          </w:tcPr>
          <w:p>
            <w:pPr>
              <w:jc w:val="center"/>
              <w:ind w:left="81"/>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17"/>
        </w:trPr>
        <w:tc>
          <w:tcPr>
            <w:tcW w:w="4640" w:type="dxa"/>
            <w:vAlign w:val="bottom"/>
            <w:shd w:val="clear" w:color="auto" w:fill="E5E5E5"/>
          </w:tcPr>
          <w:p>
            <w:pPr>
              <w:ind w:left="120"/>
              <w:spacing w:after="0"/>
              <w:rPr>
                <w:sz w:val="20"/>
                <w:szCs w:val="20"/>
                <w:color w:val="auto"/>
              </w:rPr>
            </w:pPr>
            <w:r>
              <w:rPr>
                <w:rFonts w:ascii="Arial" w:cs="Arial" w:eastAsia="Arial" w:hAnsi="Arial"/>
                <w:sz w:val="16"/>
                <w:szCs w:val="16"/>
                <w:b w:val="1"/>
                <w:bCs w:val="1"/>
                <w:color w:val="auto"/>
              </w:rPr>
              <w:t>Part II: Demographic Background</w:t>
            </w:r>
          </w:p>
        </w:tc>
        <w:tc>
          <w:tcPr>
            <w:tcW w:w="166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18"/>
                <w:szCs w:val="18"/>
                <w:color w:val="auto"/>
              </w:rPr>
            </w:pPr>
          </w:p>
        </w:tc>
        <w:tc>
          <w:tcPr>
            <w:tcW w:w="1960" w:type="dxa"/>
            <w:vAlign w:val="bottom"/>
            <w:shd w:val="clear" w:color="auto" w:fill="E5E5E5"/>
          </w:tcPr>
          <w:p>
            <w:pPr>
              <w:spacing w:after="0"/>
              <w:rPr>
                <w:sz w:val="18"/>
                <w:szCs w:val="18"/>
                <w:color w:val="auto"/>
              </w:rPr>
            </w:pPr>
          </w:p>
        </w:tc>
        <w:tc>
          <w:tcPr>
            <w:tcW w:w="1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40" w:type="dxa"/>
            <w:vAlign w:val="bottom"/>
          </w:tcPr>
          <w:p>
            <w:pPr>
              <w:ind w:left="100"/>
              <w:spacing w:after="0"/>
              <w:rPr>
                <w:sz w:val="20"/>
                <w:szCs w:val="20"/>
                <w:color w:val="auto"/>
              </w:rPr>
            </w:pPr>
            <w:r>
              <w:rPr>
                <w:rFonts w:ascii="Arial" w:cs="Arial" w:eastAsia="Arial" w:hAnsi="Arial"/>
                <w:sz w:val="16"/>
                <w:szCs w:val="16"/>
                <w:color w:val="auto"/>
              </w:rPr>
              <w:t>African American or Black</w:t>
            </w:r>
          </w:p>
        </w:tc>
        <w:tc>
          <w:tcPr>
            <w:tcW w:w="1660" w:type="dxa"/>
            <w:vAlign w:val="bottom"/>
          </w:tcPr>
          <w:p>
            <w:pPr>
              <w:jc w:val="center"/>
              <w:ind w:right="40"/>
              <w:spacing w:after="0"/>
              <w:rPr>
                <w:sz w:val="20"/>
                <w:szCs w:val="20"/>
                <w:color w:val="auto"/>
              </w:rPr>
            </w:pPr>
            <w:r>
              <w:rPr>
                <w:rFonts w:ascii="Arial" w:cs="Arial" w:eastAsia="Arial" w:hAnsi="Arial"/>
                <w:sz w:val="16"/>
                <w:szCs w:val="16"/>
                <w:color w:val="auto"/>
              </w:rPr>
              <w:t>0</w:t>
            </w:r>
          </w:p>
        </w:tc>
        <w:tc>
          <w:tcPr>
            <w:tcW w:w="1260" w:type="dxa"/>
            <w:vAlign w:val="bottom"/>
          </w:tcPr>
          <w:p>
            <w:pPr>
              <w:jc w:val="center"/>
              <w:ind w:left="240"/>
              <w:spacing w:after="0"/>
              <w:rPr>
                <w:sz w:val="20"/>
                <w:szCs w:val="20"/>
                <w:color w:val="auto"/>
              </w:rPr>
            </w:pPr>
            <w:r>
              <w:rPr>
                <w:rFonts w:ascii="Arial" w:cs="Arial" w:eastAsia="Arial" w:hAnsi="Arial"/>
                <w:sz w:val="16"/>
                <w:szCs w:val="16"/>
                <w:color w:val="auto"/>
              </w:rPr>
              <w:t>1</w:t>
            </w:r>
          </w:p>
        </w:tc>
        <w:tc>
          <w:tcPr>
            <w:tcW w:w="1960" w:type="dxa"/>
            <w:vAlign w:val="bottom"/>
          </w:tcPr>
          <w:p>
            <w:pPr>
              <w:jc w:val="center"/>
              <w:ind w:left="380"/>
              <w:spacing w:after="0"/>
              <w:rPr>
                <w:sz w:val="20"/>
                <w:szCs w:val="20"/>
                <w:color w:val="auto"/>
              </w:rPr>
            </w:pPr>
            <w:r>
              <w:rPr>
                <w:rFonts w:ascii="Arial" w:cs="Arial" w:eastAsia="Arial" w:hAnsi="Arial"/>
                <w:sz w:val="16"/>
                <w:szCs w:val="16"/>
                <w:color w:val="auto"/>
              </w:rPr>
              <w:t>0</w:t>
            </w:r>
          </w:p>
        </w:tc>
        <w:tc>
          <w:tcPr>
            <w:tcW w:w="1720" w:type="dxa"/>
            <w:vAlign w:val="bottom"/>
          </w:tcPr>
          <w:p>
            <w:pPr>
              <w:jc w:val="center"/>
              <w:ind w:left="81"/>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17"/>
        </w:trPr>
        <w:tc>
          <w:tcPr>
            <w:tcW w:w="4640" w:type="dxa"/>
            <w:vAlign w:val="bottom"/>
            <w:shd w:val="clear" w:color="auto" w:fill="E5E5E5"/>
          </w:tcPr>
          <w:p>
            <w:pPr>
              <w:ind w:left="100"/>
              <w:spacing w:after="0"/>
              <w:rPr>
                <w:sz w:val="20"/>
                <w:szCs w:val="20"/>
                <w:color w:val="auto"/>
              </w:rPr>
            </w:pPr>
            <w:r>
              <w:rPr>
                <w:rFonts w:ascii="Arial" w:cs="Arial" w:eastAsia="Arial" w:hAnsi="Arial"/>
                <w:sz w:val="16"/>
                <w:szCs w:val="16"/>
                <w:color w:val="auto"/>
              </w:rPr>
              <w:t>Alaskan Native or Native American</w:t>
            </w:r>
          </w:p>
        </w:tc>
        <w:tc>
          <w:tcPr>
            <w:tcW w:w="1660" w:type="dxa"/>
            <w:vAlign w:val="bottom"/>
            <w:shd w:val="clear" w:color="auto" w:fill="E5E5E5"/>
          </w:tcPr>
          <w:p>
            <w:pPr>
              <w:jc w:val="center"/>
              <w:ind w:right="40"/>
              <w:spacing w:after="0"/>
              <w:rPr>
                <w:sz w:val="20"/>
                <w:szCs w:val="20"/>
                <w:color w:val="auto"/>
              </w:rPr>
            </w:pPr>
            <w:r>
              <w:rPr>
                <w:rFonts w:ascii="Arial" w:cs="Arial" w:eastAsia="Arial" w:hAnsi="Arial"/>
                <w:sz w:val="16"/>
                <w:szCs w:val="16"/>
                <w:color w:val="auto"/>
              </w:rPr>
              <w:t>0</w:t>
            </w:r>
          </w:p>
        </w:tc>
        <w:tc>
          <w:tcPr>
            <w:tcW w:w="1260" w:type="dxa"/>
            <w:vAlign w:val="bottom"/>
            <w:shd w:val="clear" w:color="auto" w:fill="E5E5E5"/>
          </w:tcPr>
          <w:p>
            <w:pPr>
              <w:jc w:val="center"/>
              <w:ind w:left="240"/>
              <w:spacing w:after="0"/>
              <w:rPr>
                <w:sz w:val="20"/>
                <w:szCs w:val="20"/>
                <w:color w:val="auto"/>
              </w:rPr>
            </w:pPr>
            <w:r>
              <w:rPr>
                <w:rFonts w:ascii="Arial" w:cs="Arial" w:eastAsia="Arial" w:hAnsi="Arial"/>
                <w:sz w:val="16"/>
                <w:szCs w:val="16"/>
                <w:color w:val="auto"/>
              </w:rPr>
              <w:t>0</w:t>
            </w:r>
          </w:p>
        </w:tc>
        <w:tc>
          <w:tcPr>
            <w:tcW w:w="1960" w:type="dxa"/>
            <w:vAlign w:val="bottom"/>
            <w:shd w:val="clear" w:color="auto" w:fill="E5E5E5"/>
          </w:tcPr>
          <w:p>
            <w:pPr>
              <w:jc w:val="center"/>
              <w:ind w:left="380"/>
              <w:spacing w:after="0"/>
              <w:rPr>
                <w:sz w:val="20"/>
                <w:szCs w:val="20"/>
                <w:color w:val="auto"/>
              </w:rPr>
            </w:pPr>
            <w:r>
              <w:rPr>
                <w:rFonts w:ascii="Arial" w:cs="Arial" w:eastAsia="Arial" w:hAnsi="Arial"/>
                <w:sz w:val="16"/>
                <w:szCs w:val="16"/>
                <w:color w:val="auto"/>
              </w:rPr>
              <w:t>0</w:t>
            </w:r>
          </w:p>
        </w:tc>
        <w:tc>
          <w:tcPr>
            <w:tcW w:w="1720" w:type="dxa"/>
            <w:vAlign w:val="bottom"/>
            <w:shd w:val="clear" w:color="auto" w:fill="E5E5E5"/>
          </w:tcPr>
          <w:p>
            <w:pPr>
              <w:jc w:val="center"/>
              <w:ind w:left="81"/>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15"/>
        </w:trPr>
        <w:tc>
          <w:tcPr>
            <w:tcW w:w="4640" w:type="dxa"/>
            <w:vAlign w:val="bottom"/>
          </w:tcPr>
          <w:p>
            <w:pPr>
              <w:ind w:left="100"/>
              <w:spacing w:after="0"/>
              <w:rPr>
                <w:sz w:val="20"/>
                <w:szCs w:val="20"/>
                <w:color w:val="auto"/>
              </w:rPr>
            </w:pPr>
            <w:r>
              <w:rPr>
                <w:rFonts w:ascii="Arial" w:cs="Arial" w:eastAsia="Arial" w:hAnsi="Arial"/>
                <w:sz w:val="16"/>
                <w:szCs w:val="16"/>
                <w:color w:val="auto"/>
              </w:rPr>
              <w:t>Asian</w:t>
            </w:r>
          </w:p>
        </w:tc>
        <w:tc>
          <w:tcPr>
            <w:tcW w:w="1660" w:type="dxa"/>
            <w:vAlign w:val="bottom"/>
          </w:tcPr>
          <w:p>
            <w:pPr>
              <w:jc w:val="center"/>
              <w:ind w:right="40"/>
              <w:spacing w:after="0"/>
              <w:rPr>
                <w:sz w:val="20"/>
                <w:szCs w:val="20"/>
                <w:color w:val="auto"/>
              </w:rPr>
            </w:pPr>
            <w:r>
              <w:rPr>
                <w:rFonts w:ascii="Arial" w:cs="Arial" w:eastAsia="Arial" w:hAnsi="Arial"/>
                <w:sz w:val="16"/>
                <w:szCs w:val="16"/>
                <w:color w:val="auto"/>
              </w:rPr>
              <w:t>1</w:t>
            </w:r>
          </w:p>
        </w:tc>
        <w:tc>
          <w:tcPr>
            <w:tcW w:w="1260" w:type="dxa"/>
            <w:vAlign w:val="bottom"/>
          </w:tcPr>
          <w:p>
            <w:pPr>
              <w:jc w:val="center"/>
              <w:ind w:left="240"/>
              <w:spacing w:after="0"/>
              <w:rPr>
                <w:sz w:val="20"/>
                <w:szCs w:val="20"/>
                <w:color w:val="auto"/>
              </w:rPr>
            </w:pPr>
            <w:r>
              <w:rPr>
                <w:rFonts w:ascii="Arial" w:cs="Arial" w:eastAsia="Arial" w:hAnsi="Arial"/>
                <w:sz w:val="16"/>
                <w:szCs w:val="16"/>
                <w:color w:val="auto"/>
              </w:rPr>
              <w:t>0</w:t>
            </w:r>
          </w:p>
        </w:tc>
        <w:tc>
          <w:tcPr>
            <w:tcW w:w="1960" w:type="dxa"/>
            <w:vAlign w:val="bottom"/>
          </w:tcPr>
          <w:p>
            <w:pPr>
              <w:jc w:val="center"/>
              <w:ind w:left="380"/>
              <w:spacing w:after="0"/>
              <w:rPr>
                <w:sz w:val="20"/>
                <w:szCs w:val="20"/>
                <w:color w:val="auto"/>
              </w:rPr>
            </w:pPr>
            <w:r>
              <w:rPr>
                <w:rFonts w:ascii="Arial" w:cs="Arial" w:eastAsia="Arial" w:hAnsi="Arial"/>
                <w:sz w:val="16"/>
                <w:szCs w:val="16"/>
                <w:color w:val="auto"/>
              </w:rPr>
              <w:t>0</w:t>
            </w:r>
          </w:p>
        </w:tc>
        <w:tc>
          <w:tcPr>
            <w:tcW w:w="1720" w:type="dxa"/>
            <w:vAlign w:val="bottom"/>
          </w:tcPr>
          <w:p>
            <w:pPr>
              <w:jc w:val="center"/>
              <w:ind w:left="81"/>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17"/>
        </w:trPr>
        <w:tc>
          <w:tcPr>
            <w:tcW w:w="4640" w:type="dxa"/>
            <w:vAlign w:val="bottom"/>
            <w:shd w:val="clear" w:color="auto" w:fill="E5E5E5"/>
          </w:tcPr>
          <w:p>
            <w:pPr>
              <w:ind w:left="120"/>
              <w:spacing w:after="0"/>
              <w:rPr>
                <w:sz w:val="20"/>
                <w:szCs w:val="20"/>
                <w:color w:val="auto"/>
              </w:rPr>
            </w:pPr>
            <w:r>
              <w:rPr>
                <w:rFonts w:ascii="Arial" w:cs="Arial" w:eastAsia="Arial" w:hAnsi="Arial"/>
                <w:sz w:val="16"/>
                <w:szCs w:val="16"/>
                <w:color w:val="auto"/>
              </w:rPr>
              <w:t>Hispanic or Latinx</w:t>
            </w:r>
          </w:p>
        </w:tc>
        <w:tc>
          <w:tcPr>
            <w:tcW w:w="1660" w:type="dxa"/>
            <w:vAlign w:val="bottom"/>
            <w:shd w:val="clear" w:color="auto" w:fill="E5E5E5"/>
          </w:tcPr>
          <w:p>
            <w:pPr>
              <w:jc w:val="center"/>
              <w:ind w:right="40"/>
              <w:spacing w:after="0"/>
              <w:rPr>
                <w:sz w:val="20"/>
                <w:szCs w:val="20"/>
                <w:color w:val="auto"/>
              </w:rPr>
            </w:pPr>
            <w:r>
              <w:rPr>
                <w:rFonts w:ascii="Arial" w:cs="Arial" w:eastAsia="Arial" w:hAnsi="Arial"/>
                <w:sz w:val="16"/>
                <w:szCs w:val="16"/>
                <w:color w:val="auto"/>
              </w:rPr>
              <w:t>0</w:t>
            </w:r>
          </w:p>
        </w:tc>
        <w:tc>
          <w:tcPr>
            <w:tcW w:w="1260" w:type="dxa"/>
            <w:vAlign w:val="bottom"/>
            <w:shd w:val="clear" w:color="auto" w:fill="E5E5E5"/>
          </w:tcPr>
          <w:p>
            <w:pPr>
              <w:jc w:val="center"/>
              <w:ind w:left="240"/>
              <w:spacing w:after="0"/>
              <w:rPr>
                <w:sz w:val="20"/>
                <w:szCs w:val="20"/>
                <w:color w:val="auto"/>
              </w:rPr>
            </w:pPr>
            <w:r>
              <w:rPr>
                <w:rFonts w:ascii="Arial" w:cs="Arial" w:eastAsia="Arial" w:hAnsi="Arial"/>
                <w:sz w:val="16"/>
                <w:szCs w:val="16"/>
                <w:color w:val="auto"/>
              </w:rPr>
              <w:t>0</w:t>
            </w:r>
          </w:p>
        </w:tc>
        <w:tc>
          <w:tcPr>
            <w:tcW w:w="1960" w:type="dxa"/>
            <w:vAlign w:val="bottom"/>
            <w:shd w:val="clear" w:color="auto" w:fill="E5E5E5"/>
          </w:tcPr>
          <w:p>
            <w:pPr>
              <w:jc w:val="center"/>
              <w:ind w:left="380"/>
              <w:spacing w:after="0"/>
              <w:rPr>
                <w:sz w:val="20"/>
                <w:szCs w:val="20"/>
                <w:color w:val="auto"/>
              </w:rPr>
            </w:pPr>
            <w:r>
              <w:rPr>
                <w:rFonts w:ascii="Arial" w:cs="Arial" w:eastAsia="Arial" w:hAnsi="Arial"/>
                <w:sz w:val="16"/>
                <w:szCs w:val="16"/>
                <w:color w:val="auto"/>
              </w:rPr>
              <w:t>0</w:t>
            </w:r>
          </w:p>
        </w:tc>
        <w:tc>
          <w:tcPr>
            <w:tcW w:w="1720" w:type="dxa"/>
            <w:vAlign w:val="bottom"/>
            <w:shd w:val="clear" w:color="auto" w:fill="E5E5E5"/>
          </w:tcPr>
          <w:p>
            <w:pPr>
              <w:jc w:val="center"/>
              <w:ind w:left="81"/>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15"/>
        </w:trPr>
        <w:tc>
          <w:tcPr>
            <w:tcW w:w="4640" w:type="dxa"/>
            <w:vAlign w:val="bottom"/>
          </w:tcPr>
          <w:p>
            <w:pPr>
              <w:ind w:left="120"/>
              <w:spacing w:after="0"/>
              <w:rPr>
                <w:sz w:val="20"/>
                <w:szCs w:val="20"/>
                <w:color w:val="auto"/>
              </w:rPr>
            </w:pPr>
            <w:r>
              <w:rPr>
                <w:rFonts w:ascii="Arial" w:cs="Arial" w:eastAsia="Arial" w:hAnsi="Arial"/>
                <w:sz w:val="16"/>
                <w:szCs w:val="16"/>
                <w:color w:val="auto"/>
              </w:rPr>
              <w:t>Native Hawaiian or Pacific Islander</w:t>
            </w:r>
          </w:p>
        </w:tc>
        <w:tc>
          <w:tcPr>
            <w:tcW w:w="1660" w:type="dxa"/>
            <w:vAlign w:val="bottom"/>
          </w:tcPr>
          <w:p>
            <w:pPr>
              <w:jc w:val="center"/>
              <w:ind w:right="40"/>
              <w:spacing w:after="0"/>
              <w:rPr>
                <w:sz w:val="20"/>
                <w:szCs w:val="20"/>
                <w:color w:val="auto"/>
              </w:rPr>
            </w:pPr>
            <w:r>
              <w:rPr>
                <w:rFonts w:ascii="Arial" w:cs="Arial" w:eastAsia="Arial" w:hAnsi="Arial"/>
                <w:sz w:val="16"/>
                <w:szCs w:val="16"/>
                <w:color w:val="auto"/>
              </w:rPr>
              <w:t>0</w:t>
            </w:r>
          </w:p>
        </w:tc>
        <w:tc>
          <w:tcPr>
            <w:tcW w:w="1260" w:type="dxa"/>
            <w:vAlign w:val="bottom"/>
          </w:tcPr>
          <w:p>
            <w:pPr>
              <w:jc w:val="center"/>
              <w:ind w:left="240"/>
              <w:spacing w:after="0"/>
              <w:rPr>
                <w:sz w:val="20"/>
                <w:szCs w:val="20"/>
                <w:color w:val="auto"/>
              </w:rPr>
            </w:pPr>
            <w:r>
              <w:rPr>
                <w:rFonts w:ascii="Arial" w:cs="Arial" w:eastAsia="Arial" w:hAnsi="Arial"/>
                <w:sz w:val="16"/>
                <w:szCs w:val="16"/>
                <w:color w:val="auto"/>
              </w:rPr>
              <w:t>0</w:t>
            </w:r>
          </w:p>
        </w:tc>
        <w:tc>
          <w:tcPr>
            <w:tcW w:w="1960" w:type="dxa"/>
            <w:vAlign w:val="bottom"/>
          </w:tcPr>
          <w:p>
            <w:pPr>
              <w:jc w:val="center"/>
              <w:ind w:left="380"/>
              <w:spacing w:after="0"/>
              <w:rPr>
                <w:sz w:val="20"/>
                <w:szCs w:val="20"/>
                <w:color w:val="auto"/>
              </w:rPr>
            </w:pPr>
            <w:r>
              <w:rPr>
                <w:rFonts w:ascii="Arial" w:cs="Arial" w:eastAsia="Arial" w:hAnsi="Arial"/>
                <w:sz w:val="16"/>
                <w:szCs w:val="16"/>
                <w:color w:val="auto"/>
              </w:rPr>
              <w:t>0</w:t>
            </w:r>
          </w:p>
        </w:tc>
        <w:tc>
          <w:tcPr>
            <w:tcW w:w="1720" w:type="dxa"/>
            <w:vAlign w:val="bottom"/>
          </w:tcPr>
          <w:p>
            <w:pPr>
              <w:jc w:val="center"/>
              <w:ind w:left="81"/>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17"/>
        </w:trPr>
        <w:tc>
          <w:tcPr>
            <w:tcW w:w="4640" w:type="dxa"/>
            <w:vAlign w:val="bottom"/>
            <w:shd w:val="clear" w:color="auto" w:fill="E5E5E5"/>
          </w:tcPr>
          <w:p>
            <w:pPr>
              <w:ind w:left="120"/>
              <w:spacing w:after="0"/>
              <w:rPr>
                <w:sz w:val="20"/>
                <w:szCs w:val="20"/>
                <w:color w:val="auto"/>
              </w:rPr>
            </w:pPr>
            <w:r>
              <w:rPr>
                <w:rFonts w:ascii="Arial" w:cs="Arial" w:eastAsia="Arial" w:hAnsi="Arial"/>
                <w:sz w:val="16"/>
                <w:szCs w:val="16"/>
                <w:color w:val="auto"/>
              </w:rPr>
              <w:t>White</w:t>
            </w:r>
          </w:p>
        </w:tc>
        <w:tc>
          <w:tcPr>
            <w:tcW w:w="1660" w:type="dxa"/>
            <w:vAlign w:val="bottom"/>
            <w:shd w:val="clear" w:color="auto" w:fill="E5E5E5"/>
          </w:tcPr>
          <w:p>
            <w:pPr>
              <w:jc w:val="center"/>
              <w:ind w:right="40"/>
              <w:spacing w:after="0"/>
              <w:rPr>
                <w:sz w:val="20"/>
                <w:szCs w:val="20"/>
                <w:color w:val="auto"/>
              </w:rPr>
            </w:pPr>
            <w:r>
              <w:rPr>
                <w:rFonts w:ascii="Arial" w:cs="Arial" w:eastAsia="Arial" w:hAnsi="Arial"/>
                <w:sz w:val="16"/>
                <w:szCs w:val="16"/>
                <w:color w:val="auto"/>
              </w:rPr>
              <w:t>1</w:t>
            </w:r>
          </w:p>
        </w:tc>
        <w:tc>
          <w:tcPr>
            <w:tcW w:w="1260" w:type="dxa"/>
            <w:vAlign w:val="bottom"/>
            <w:shd w:val="clear" w:color="auto" w:fill="E5E5E5"/>
          </w:tcPr>
          <w:p>
            <w:pPr>
              <w:jc w:val="center"/>
              <w:ind w:left="240"/>
              <w:spacing w:after="0"/>
              <w:rPr>
                <w:sz w:val="20"/>
                <w:szCs w:val="20"/>
                <w:color w:val="auto"/>
              </w:rPr>
            </w:pPr>
            <w:r>
              <w:rPr>
                <w:rFonts w:ascii="Arial" w:cs="Arial" w:eastAsia="Arial" w:hAnsi="Arial"/>
                <w:sz w:val="16"/>
                <w:szCs w:val="16"/>
                <w:color w:val="auto"/>
              </w:rPr>
              <w:t>5</w:t>
            </w:r>
          </w:p>
        </w:tc>
        <w:tc>
          <w:tcPr>
            <w:tcW w:w="1960" w:type="dxa"/>
            <w:vAlign w:val="bottom"/>
            <w:shd w:val="clear" w:color="auto" w:fill="E5E5E5"/>
          </w:tcPr>
          <w:p>
            <w:pPr>
              <w:jc w:val="center"/>
              <w:ind w:left="380"/>
              <w:spacing w:after="0"/>
              <w:rPr>
                <w:sz w:val="20"/>
                <w:szCs w:val="20"/>
                <w:color w:val="auto"/>
              </w:rPr>
            </w:pPr>
            <w:r>
              <w:rPr>
                <w:rFonts w:ascii="Arial" w:cs="Arial" w:eastAsia="Arial" w:hAnsi="Arial"/>
                <w:sz w:val="16"/>
                <w:szCs w:val="16"/>
                <w:color w:val="auto"/>
              </w:rPr>
              <w:t>0</w:t>
            </w:r>
          </w:p>
        </w:tc>
        <w:tc>
          <w:tcPr>
            <w:tcW w:w="1720" w:type="dxa"/>
            <w:vAlign w:val="bottom"/>
            <w:shd w:val="clear" w:color="auto" w:fill="E5E5E5"/>
          </w:tcPr>
          <w:p>
            <w:pPr>
              <w:jc w:val="center"/>
              <w:ind w:left="81"/>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15"/>
        </w:trPr>
        <w:tc>
          <w:tcPr>
            <w:tcW w:w="4640" w:type="dxa"/>
            <w:vAlign w:val="bottom"/>
          </w:tcPr>
          <w:p>
            <w:pPr>
              <w:ind w:left="120"/>
              <w:spacing w:after="0"/>
              <w:rPr>
                <w:sz w:val="20"/>
                <w:szCs w:val="20"/>
                <w:color w:val="auto"/>
              </w:rPr>
            </w:pPr>
            <w:r>
              <w:rPr>
                <w:rFonts w:ascii="Arial" w:cs="Arial" w:eastAsia="Arial" w:hAnsi="Arial"/>
                <w:sz w:val="16"/>
                <w:szCs w:val="16"/>
                <w:color w:val="auto"/>
              </w:rPr>
              <w:t>Two or More Races or Ethnicities</w:t>
            </w:r>
          </w:p>
        </w:tc>
        <w:tc>
          <w:tcPr>
            <w:tcW w:w="1660" w:type="dxa"/>
            <w:vAlign w:val="bottom"/>
          </w:tcPr>
          <w:p>
            <w:pPr>
              <w:jc w:val="center"/>
              <w:ind w:right="40"/>
              <w:spacing w:after="0"/>
              <w:rPr>
                <w:sz w:val="20"/>
                <w:szCs w:val="20"/>
                <w:color w:val="auto"/>
              </w:rPr>
            </w:pPr>
            <w:r>
              <w:rPr>
                <w:rFonts w:ascii="Arial" w:cs="Arial" w:eastAsia="Arial" w:hAnsi="Arial"/>
                <w:sz w:val="16"/>
                <w:szCs w:val="16"/>
                <w:color w:val="auto"/>
              </w:rPr>
              <w:t>0</w:t>
            </w:r>
          </w:p>
        </w:tc>
        <w:tc>
          <w:tcPr>
            <w:tcW w:w="1260" w:type="dxa"/>
            <w:vAlign w:val="bottom"/>
          </w:tcPr>
          <w:p>
            <w:pPr>
              <w:jc w:val="center"/>
              <w:ind w:left="240"/>
              <w:spacing w:after="0"/>
              <w:rPr>
                <w:sz w:val="20"/>
                <w:szCs w:val="20"/>
                <w:color w:val="auto"/>
              </w:rPr>
            </w:pPr>
            <w:r>
              <w:rPr>
                <w:rFonts w:ascii="Arial" w:cs="Arial" w:eastAsia="Arial" w:hAnsi="Arial"/>
                <w:sz w:val="16"/>
                <w:szCs w:val="16"/>
                <w:color w:val="auto"/>
              </w:rPr>
              <w:t>0</w:t>
            </w:r>
          </w:p>
        </w:tc>
        <w:tc>
          <w:tcPr>
            <w:tcW w:w="1960" w:type="dxa"/>
            <w:vAlign w:val="bottom"/>
          </w:tcPr>
          <w:p>
            <w:pPr>
              <w:jc w:val="center"/>
              <w:ind w:left="380"/>
              <w:spacing w:after="0"/>
              <w:rPr>
                <w:sz w:val="20"/>
                <w:szCs w:val="20"/>
                <w:color w:val="auto"/>
              </w:rPr>
            </w:pPr>
            <w:r>
              <w:rPr>
                <w:rFonts w:ascii="Arial" w:cs="Arial" w:eastAsia="Arial" w:hAnsi="Arial"/>
                <w:sz w:val="16"/>
                <w:szCs w:val="16"/>
                <w:color w:val="auto"/>
              </w:rPr>
              <w:t>0</w:t>
            </w:r>
          </w:p>
        </w:tc>
        <w:tc>
          <w:tcPr>
            <w:tcW w:w="1720" w:type="dxa"/>
            <w:vAlign w:val="bottom"/>
          </w:tcPr>
          <w:p>
            <w:pPr>
              <w:jc w:val="center"/>
              <w:ind w:left="81"/>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17"/>
        </w:trPr>
        <w:tc>
          <w:tcPr>
            <w:tcW w:w="4640" w:type="dxa"/>
            <w:vAlign w:val="bottom"/>
            <w:shd w:val="clear" w:color="auto" w:fill="E5E5E5"/>
          </w:tcPr>
          <w:p>
            <w:pPr>
              <w:ind w:left="120"/>
              <w:spacing w:after="0"/>
              <w:rPr>
                <w:sz w:val="20"/>
                <w:szCs w:val="20"/>
                <w:color w:val="auto"/>
              </w:rPr>
            </w:pPr>
            <w:r>
              <w:rPr>
                <w:rFonts w:ascii="Arial" w:cs="Arial" w:eastAsia="Arial" w:hAnsi="Arial"/>
                <w:sz w:val="16"/>
                <w:szCs w:val="16"/>
                <w:color w:val="auto"/>
              </w:rPr>
              <w:t>LGBTQ+</w:t>
            </w:r>
          </w:p>
        </w:tc>
        <w:tc>
          <w:tcPr>
            <w:tcW w:w="166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18"/>
                <w:szCs w:val="18"/>
                <w:color w:val="auto"/>
              </w:rPr>
            </w:pPr>
          </w:p>
        </w:tc>
        <w:tc>
          <w:tcPr>
            <w:tcW w:w="1960" w:type="dxa"/>
            <w:vAlign w:val="bottom"/>
            <w:shd w:val="clear" w:color="auto" w:fill="E5E5E5"/>
          </w:tcPr>
          <w:p>
            <w:pPr>
              <w:jc w:val="center"/>
              <w:ind w:right="1120"/>
              <w:spacing w:after="0"/>
              <w:rPr>
                <w:sz w:val="20"/>
                <w:szCs w:val="20"/>
                <w:color w:val="auto"/>
              </w:rPr>
            </w:pPr>
            <w:r>
              <w:rPr>
                <w:rFonts w:ascii="Arial" w:cs="Arial" w:eastAsia="Arial" w:hAnsi="Arial"/>
                <w:sz w:val="16"/>
                <w:szCs w:val="16"/>
                <w:color w:val="auto"/>
                <w:w w:val="89"/>
              </w:rPr>
              <w:t>0</w:t>
            </w:r>
          </w:p>
        </w:tc>
        <w:tc>
          <w:tcPr>
            <w:tcW w:w="17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40" w:type="dxa"/>
            <w:vAlign w:val="bottom"/>
            <w:tcBorders>
              <w:bottom w:val="single" w:sz="8" w:color="0071CE"/>
            </w:tcBorders>
          </w:tcPr>
          <w:p>
            <w:pPr>
              <w:ind w:left="120"/>
              <w:spacing w:after="0"/>
              <w:rPr>
                <w:sz w:val="20"/>
                <w:szCs w:val="20"/>
                <w:color w:val="auto"/>
              </w:rPr>
            </w:pPr>
            <w:r>
              <w:rPr>
                <w:rFonts w:ascii="Arial" w:cs="Arial" w:eastAsia="Arial" w:hAnsi="Arial"/>
                <w:sz w:val="16"/>
                <w:szCs w:val="16"/>
                <w:color w:val="auto"/>
              </w:rPr>
              <w:t>Did Not Disclose Demographic Background</w:t>
            </w:r>
          </w:p>
        </w:tc>
        <w:tc>
          <w:tcPr>
            <w:tcW w:w="1660" w:type="dxa"/>
            <w:vAlign w:val="bottom"/>
            <w:tcBorders>
              <w:bottom w:val="single" w:sz="8" w:color="0071CE"/>
            </w:tcBorders>
          </w:tcPr>
          <w:p>
            <w:pPr>
              <w:spacing w:after="0"/>
              <w:rPr>
                <w:sz w:val="18"/>
                <w:szCs w:val="18"/>
                <w:color w:val="auto"/>
              </w:rPr>
            </w:pPr>
          </w:p>
        </w:tc>
        <w:tc>
          <w:tcPr>
            <w:tcW w:w="1260" w:type="dxa"/>
            <w:vAlign w:val="bottom"/>
            <w:tcBorders>
              <w:bottom w:val="single" w:sz="8" w:color="0071CE"/>
            </w:tcBorders>
          </w:tcPr>
          <w:p>
            <w:pPr>
              <w:spacing w:after="0"/>
              <w:rPr>
                <w:sz w:val="18"/>
                <w:szCs w:val="18"/>
                <w:color w:val="auto"/>
              </w:rPr>
            </w:pPr>
          </w:p>
        </w:tc>
        <w:tc>
          <w:tcPr>
            <w:tcW w:w="1960" w:type="dxa"/>
            <w:vAlign w:val="bottom"/>
            <w:tcBorders>
              <w:bottom w:val="single" w:sz="8" w:color="0071CE"/>
            </w:tcBorders>
          </w:tcPr>
          <w:p>
            <w:pPr>
              <w:jc w:val="center"/>
              <w:ind w:right="1120"/>
              <w:spacing w:after="0"/>
              <w:rPr>
                <w:sz w:val="20"/>
                <w:szCs w:val="20"/>
                <w:color w:val="auto"/>
              </w:rPr>
            </w:pPr>
            <w:r>
              <w:rPr>
                <w:rFonts w:ascii="Arial" w:cs="Arial" w:eastAsia="Arial" w:hAnsi="Arial"/>
                <w:sz w:val="16"/>
                <w:szCs w:val="16"/>
                <w:color w:val="auto"/>
                <w:w w:val="89"/>
              </w:rPr>
              <w:t>0</w:t>
            </w:r>
          </w:p>
        </w:tc>
        <w:tc>
          <w:tcPr>
            <w:tcW w:w="1720" w:type="dxa"/>
            <w:vAlign w:val="bottom"/>
            <w:tcBorders>
              <w:bottom w:val="single" w:sz="8" w:color="0071CE"/>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711835</wp:posOffset>
            </wp:positionV>
            <wp:extent cx="986155" cy="205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Corporate Governance, Environmental and Social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our corporate governance, environmental, and social commitment policies and practices:</w:t>
      </w:r>
    </w:p>
    <w:p>
      <w:pPr>
        <w:spacing w:after="0" w:line="127" w:lineRule="exact"/>
        <w:rPr>
          <w:sz w:val="20"/>
          <w:szCs w:val="20"/>
          <w:color w:val="auto"/>
        </w:rPr>
      </w:pPr>
    </w:p>
    <w:p>
      <w:pPr>
        <w:ind w:left="340" w:right="160" w:hanging="251"/>
        <w:spacing w:after="0" w:line="257" w:lineRule="auto"/>
        <w:tabs>
          <w:tab w:leader="none" w:pos="329" w:val="left"/>
        </w:tabs>
        <w:numPr>
          <w:ilvl w:val="0"/>
          <w:numId w:val="18"/>
        </w:numPr>
        <w:rPr>
          <w:rFonts w:ascii="Arial" w:cs="Arial" w:eastAsia="Arial" w:hAnsi="Arial"/>
          <w:sz w:val="16"/>
          <w:szCs w:val="16"/>
          <w:color w:val="0071CE"/>
        </w:rPr>
      </w:pPr>
      <w:r>
        <w:rPr>
          <w:rFonts w:ascii="Arial" w:cs="Arial" w:eastAsia="Arial" w:hAnsi="Arial"/>
          <w:sz w:val="16"/>
          <w:szCs w:val="16"/>
          <w:b w:val="1"/>
          <w:bCs w:val="1"/>
          <w:color w:val="auto"/>
        </w:rPr>
        <w:t>Lead Independent Directo</w:t>
      </w:r>
      <w:r>
        <w:rPr>
          <w:rFonts w:ascii="Arial" w:cs="Arial" w:eastAsia="Arial" w:hAnsi="Arial"/>
          <w:sz w:val="16"/>
          <w:szCs w:val="16"/>
          <w:color w:val="auto"/>
        </w:rPr>
        <w:t>r</w:t>
      </w:r>
      <w:r>
        <w:rPr>
          <w:rFonts w:ascii="Arial" w:cs="Arial" w:eastAsia="Arial" w:hAnsi="Arial"/>
          <w:sz w:val="16"/>
          <w:szCs w:val="16"/>
          <w:b w:val="1"/>
          <w:bCs w:val="1"/>
          <w:color w:val="auto"/>
        </w:rPr>
        <w:t xml:space="preserve">: </w:t>
      </w:r>
      <w:r>
        <w:rPr>
          <w:rFonts w:ascii="Arial" w:cs="Arial" w:eastAsia="Arial" w:hAnsi="Arial"/>
          <w:sz w:val="16"/>
          <w:szCs w:val="16"/>
          <w:color w:val="auto"/>
        </w:rPr>
        <w:t>Because our CEO serves as the Board Chair, we have elected a Lead Independent Director to lead discussions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decision-making of the Board when it would not be appropriate for the CEO to do so, including during executive sessions of the independent members of the Board.</w:t>
      </w:r>
    </w:p>
    <w:p>
      <w:pPr>
        <w:spacing w:after="0" w:line="205" w:lineRule="exact"/>
        <w:rPr>
          <w:rFonts w:ascii="Arial" w:cs="Arial" w:eastAsia="Arial" w:hAnsi="Arial"/>
          <w:sz w:val="16"/>
          <w:szCs w:val="16"/>
          <w:color w:val="0071CE"/>
        </w:rPr>
      </w:pPr>
    </w:p>
    <w:p>
      <w:pPr>
        <w:ind w:left="340" w:right="200" w:hanging="251"/>
        <w:spacing w:after="0" w:line="265" w:lineRule="auto"/>
        <w:tabs>
          <w:tab w:leader="none" w:pos="336" w:val="left"/>
        </w:tabs>
        <w:numPr>
          <w:ilvl w:val="0"/>
          <w:numId w:val="18"/>
        </w:numPr>
        <w:rPr>
          <w:rFonts w:ascii="Arial" w:cs="Arial" w:eastAsia="Arial" w:hAnsi="Arial"/>
          <w:sz w:val="14"/>
          <w:szCs w:val="14"/>
          <w:b w:val="1"/>
          <w:bCs w:val="1"/>
          <w:color w:val="026DCE"/>
        </w:rPr>
      </w:pPr>
      <w:r>
        <w:rPr>
          <w:rFonts w:ascii="Arial" w:cs="Arial" w:eastAsia="Arial" w:hAnsi="Arial"/>
          <w:sz w:val="16"/>
          <w:szCs w:val="16"/>
          <w:b w:val="1"/>
          <w:bCs w:val="1"/>
          <w:color w:val="auto"/>
        </w:rPr>
        <w:t xml:space="preserve">Combined Chair and CEO: </w:t>
      </w:r>
      <w:r>
        <w:rPr>
          <w:rFonts w:ascii="Arial" w:cs="Arial" w:eastAsia="Arial" w:hAnsi="Arial"/>
          <w:sz w:val="16"/>
          <w:szCs w:val="16"/>
          <w:color w:val="auto"/>
        </w:rPr>
        <w:t>Following Douglass Given’s retirement from the Board, including as Board Chair, Mr. Anzalone currently serves as Board</w:t>
      </w:r>
      <w:r>
        <w:rPr>
          <w:rFonts w:ascii="Arial" w:cs="Arial" w:eastAsia="Arial" w:hAnsi="Arial"/>
          <w:sz w:val="16"/>
          <w:szCs w:val="16"/>
          <w:b w:val="1"/>
          <w:bCs w:val="1"/>
          <w:color w:val="auto"/>
        </w:rPr>
        <w:t xml:space="preserve"> </w:t>
      </w:r>
      <w:r>
        <w:rPr>
          <w:rFonts w:ascii="Arial" w:cs="Arial" w:eastAsia="Arial" w:hAnsi="Arial"/>
          <w:sz w:val="16"/>
          <w:szCs w:val="16"/>
          <w:color w:val="auto"/>
        </w:rPr>
        <w:t>Chair and Chief Executive Officer. Our Bylaws do not require that our Board Chair and Chief Executive Officer positions be separate, and our Board believes that having a combined CEO and Chair is the appropriate leadership structure for us at this time as it helps promote unified leadership and direction and provide management a single, clear focus to execute our strategy and business plans</w:t>
      </w:r>
      <w:r>
        <w:rPr>
          <w:rFonts w:ascii="Arial" w:cs="Arial" w:eastAsia="Arial" w:hAnsi="Arial"/>
          <w:sz w:val="16"/>
          <w:szCs w:val="16"/>
          <w:color w:val="0000FF"/>
        </w:rPr>
        <w:t>.</w:t>
      </w:r>
    </w:p>
    <w:p>
      <w:pPr>
        <w:spacing w:after="0" w:line="213" w:lineRule="exact"/>
        <w:rPr>
          <w:rFonts w:ascii="Arial" w:cs="Arial" w:eastAsia="Arial" w:hAnsi="Arial"/>
          <w:sz w:val="14"/>
          <w:szCs w:val="14"/>
          <w:b w:val="1"/>
          <w:bCs w:val="1"/>
          <w:color w:val="026DCE"/>
        </w:rPr>
      </w:pPr>
    </w:p>
    <w:p>
      <w:pPr>
        <w:ind w:left="340" w:right="80" w:hanging="251"/>
        <w:spacing w:after="0" w:line="265" w:lineRule="auto"/>
        <w:tabs>
          <w:tab w:leader="none" w:pos="329" w:val="left"/>
        </w:tabs>
        <w:numPr>
          <w:ilvl w:val="0"/>
          <w:numId w:val="18"/>
        </w:numPr>
        <w:rPr>
          <w:rFonts w:ascii="Arial" w:cs="Arial" w:eastAsia="Arial" w:hAnsi="Arial"/>
          <w:sz w:val="16"/>
          <w:szCs w:val="16"/>
          <w:color w:val="0071CE"/>
        </w:rPr>
      </w:pPr>
      <w:r>
        <w:rPr>
          <w:rFonts w:ascii="Arial" w:cs="Arial" w:eastAsia="Arial" w:hAnsi="Arial"/>
          <w:sz w:val="16"/>
          <w:szCs w:val="16"/>
          <w:b w:val="1"/>
          <w:bCs w:val="1"/>
          <w:color w:val="auto"/>
        </w:rPr>
        <w:t xml:space="preserve">Majority Independent Board: </w:t>
      </w:r>
      <w:r>
        <w:rPr>
          <w:rFonts w:ascii="Arial" w:cs="Arial" w:eastAsia="Arial" w:hAnsi="Arial"/>
          <w:sz w:val="16"/>
          <w:szCs w:val="16"/>
          <w:color w:val="auto"/>
        </w:rPr>
        <w:t>A majority of the members of the Board are independent directors, as defined by Nasdaq Marketplace Rules.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has determined that all of the Company’s directors and director nominees are independent, except Dr. Anzalone, due to his employment relationship with the Company. Douglass Given was independent during the period he served on the Board. Non-employee directors do not receive consulting or other fees from the Company, other than Board and Committee compensation.</w:t>
      </w:r>
    </w:p>
    <w:p>
      <w:pPr>
        <w:spacing w:after="0" w:line="199" w:lineRule="exact"/>
        <w:rPr>
          <w:rFonts w:ascii="Arial" w:cs="Arial" w:eastAsia="Arial" w:hAnsi="Arial"/>
          <w:sz w:val="16"/>
          <w:szCs w:val="16"/>
          <w:color w:val="0071CE"/>
        </w:rPr>
      </w:pPr>
    </w:p>
    <w:p>
      <w:pPr>
        <w:jc w:val="both"/>
        <w:ind w:left="340" w:hanging="251"/>
        <w:spacing w:after="0" w:line="261" w:lineRule="auto"/>
        <w:tabs>
          <w:tab w:leader="none" w:pos="329" w:val="left"/>
        </w:tabs>
        <w:numPr>
          <w:ilvl w:val="0"/>
          <w:numId w:val="18"/>
        </w:numPr>
        <w:rPr>
          <w:rFonts w:ascii="Arial" w:cs="Arial" w:eastAsia="Arial" w:hAnsi="Arial"/>
          <w:sz w:val="16"/>
          <w:szCs w:val="16"/>
          <w:color w:val="0071CE"/>
        </w:rPr>
      </w:pPr>
      <w:r>
        <w:rPr>
          <w:rFonts w:ascii="Arial" w:cs="Arial" w:eastAsia="Arial" w:hAnsi="Arial"/>
          <w:sz w:val="16"/>
          <w:szCs w:val="16"/>
          <w:b w:val="1"/>
          <w:bCs w:val="1"/>
          <w:color w:val="auto"/>
        </w:rPr>
        <w:t xml:space="preserve">Board Oversight of Risk: </w:t>
      </w:r>
      <w:r>
        <w:rPr>
          <w:rFonts w:ascii="Arial" w:cs="Arial" w:eastAsia="Arial" w:hAnsi="Arial"/>
          <w:sz w:val="16"/>
          <w:szCs w:val="16"/>
          <w:color w:val="auto"/>
        </w:rPr>
        <w:t>The Board has overall responsibility for the oversight of the Company’s risk management process, which is designed to</w:t>
      </w:r>
      <w:r>
        <w:rPr>
          <w:rFonts w:ascii="Arial" w:cs="Arial" w:eastAsia="Arial" w:hAnsi="Arial"/>
          <w:sz w:val="16"/>
          <w:szCs w:val="16"/>
          <w:b w:val="1"/>
          <w:bCs w:val="1"/>
          <w:color w:val="auto"/>
        </w:rPr>
        <w:t xml:space="preserve"> </w:t>
      </w:r>
      <w:r>
        <w:rPr>
          <w:rFonts w:ascii="Arial" w:cs="Arial" w:eastAsia="Arial" w:hAnsi="Arial"/>
          <w:sz w:val="16"/>
          <w:szCs w:val="16"/>
          <w:color w:val="auto"/>
        </w:rPr>
        <w:t>support the achievement of organizational objectives, including strategic objectives, to improve long-term organizational performance and enhance stockholder value. Risk management includes not only understanding company-specific risks and the steps management implements to manage those risks, but also what level of risk is acceptable and appropriate for the Company. Management is responsible for establishing our business strategy, identifying and assessing the related risks and implementing appropriate risk management practices. The Board regularly reviews our business strategy and management’s assessment of the related risk and discusses with management the appropriate level of risk for the Company.</w:t>
      </w:r>
    </w:p>
    <w:p>
      <w:pPr>
        <w:spacing w:after="0" w:line="81" w:lineRule="exact"/>
        <w:rPr>
          <w:rFonts w:ascii="Arial" w:cs="Arial" w:eastAsia="Arial" w:hAnsi="Arial"/>
          <w:sz w:val="16"/>
          <w:szCs w:val="16"/>
          <w:color w:val="0071CE"/>
        </w:rPr>
      </w:pPr>
    </w:p>
    <w:p>
      <w:pPr>
        <w:jc w:val="both"/>
        <w:ind w:left="340" w:hanging="251"/>
        <w:spacing w:after="0" w:line="260" w:lineRule="auto"/>
        <w:tabs>
          <w:tab w:leader="none" w:pos="329" w:val="left"/>
        </w:tabs>
        <w:numPr>
          <w:ilvl w:val="0"/>
          <w:numId w:val="18"/>
        </w:numPr>
        <w:rPr>
          <w:rFonts w:ascii="Arial" w:cs="Arial" w:eastAsia="Arial" w:hAnsi="Arial"/>
          <w:sz w:val="16"/>
          <w:szCs w:val="16"/>
          <w:color w:val="0071CE"/>
        </w:rPr>
      </w:pPr>
      <w:r>
        <w:rPr>
          <w:rFonts w:ascii="Arial" w:cs="Arial" w:eastAsia="Arial" w:hAnsi="Arial"/>
          <w:sz w:val="16"/>
          <w:szCs w:val="16"/>
          <w:b w:val="1"/>
          <w:bCs w:val="1"/>
          <w:color w:val="auto"/>
        </w:rPr>
        <w:t xml:space="preserve">Corporate Code of Conduct: </w:t>
      </w:r>
      <w:r>
        <w:rPr>
          <w:rFonts w:ascii="Arial" w:cs="Arial" w:eastAsia="Arial" w:hAnsi="Arial"/>
          <w:sz w:val="16"/>
          <w:szCs w:val="16"/>
          <w:color w:val="auto"/>
        </w:rPr>
        <w:t>All of the Company’s employees, officers, and directors are subject to the Company’s Corporate Code of Conduct, which</w:t>
      </w:r>
      <w:r>
        <w:rPr>
          <w:rFonts w:ascii="Arial" w:cs="Arial" w:eastAsia="Arial" w:hAnsi="Arial"/>
          <w:sz w:val="16"/>
          <w:szCs w:val="16"/>
          <w:b w:val="1"/>
          <w:bCs w:val="1"/>
          <w:color w:val="auto"/>
        </w:rPr>
        <w:t xml:space="preserve"> </w:t>
      </w:r>
      <w:r>
        <w:rPr>
          <w:rFonts w:ascii="Arial" w:cs="Arial" w:eastAsia="Arial" w:hAnsi="Arial"/>
          <w:sz w:val="16"/>
          <w:szCs w:val="16"/>
          <w:color w:val="auto"/>
        </w:rPr>
        <w:t>is available on the Company’s website at www.arrowheadpharma.com. The code meets the requirements of Nasdaq Marketplace Rules, as well as the code of ethics requirements of the SEC. We intend to disclose future amendments to certain provisions of the Corporate Code of Conduct, and waivers of the Corporate Code of Conduct granted to officers and directors, on the Company's website within four business days following the date of the amendment or waiver.</w:t>
      </w:r>
    </w:p>
    <w:p>
      <w:pPr>
        <w:spacing w:after="0" w:line="69" w:lineRule="exact"/>
        <w:rPr>
          <w:rFonts w:ascii="Arial" w:cs="Arial" w:eastAsia="Arial" w:hAnsi="Arial"/>
          <w:sz w:val="16"/>
          <w:szCs w:val="16"/>
          <w:color w:val="0071CE"/>
        </w:rPr>
      </w:pPr>
    </w:p>
    <w:p>
      <w:pPr>
        <w:ind w:left="320" w:hanging="231"/>
        <w:spacing w:after="0"/>
        <w:tabs>
          <w:tab w:leader="none" w:pos="320" w:val="left"/>
        </w:tabs>
        <w:numPr>
          <w:ilvl w:val="0"/>
          <w:numId w:val="18"/>
        </w:numPr>
        <w:rPr>
          <w:rFonts w:ascii="Arial" w:cs="Arial" w:eastAsia="Arial" w:hAnsi="Arial"/>
          <w:sz w:val="16"/>
          <w:szCs w:val="16"/>
          <w:color w:val="0071CE"/>
        </w:rPr>
      </w:pPr>
      <w:r>
        <w:rPr>
          <w:rFonts w:ascii="Arial" w:cs="Arial" w:eastAsia="Arial" w:hAnsi="Arial"/>
          <w:sz w:val="16"/>
          <w:szCs w:val="16"/>
          <w:b w:val="1"/>
          <w:bCs w:val="1"/>
          <w:color w:val="auto"/>
        </w:rPr>
        <w:t xml:space="preserve">Independent Committees: </w:t>
      </w:r>
      <w:r>
        <w:rPr>
          <w:rFonts w:ascii="Arial" w:cs="Arial" w:eastAsia="Arial" w:hAnsi="Arial"/>
          <w:sz w:val="16"/>
          <w:szCs w:val="16"/>
          <w:color w:val="auto"/>
        </w:rPr>
        <w:t>The Audit, Compensation, and Nomination Committees consist entirely of independent directors.</w:t>
      </w:r>
    </w:p>
    <w:p>
      <w:pPr>
        <w:spacing w:after="0" w:line="113" w:lineRule="exact"/>
        <w:rPr>
          <w:rFonts w:ascii="Arial" w:cs="Arial" w:eastAsia="Arial" w:hAnsi="Arial"/>
          <w:sz w:val="16"/>
          <w:szCs w:val="16"/>
          <w:color w:val="0071CE"/>
        </w:rPr>
      </w:pPr>
    </w:p>
    <w:p>
      <w:pPr>
        <w:ind w:left="340" w:hanging="251"/>
        <w:spacing w:after="0" w:line="286" w:lineRule="auto"/>
        <w:tabs>
          <w:tab w:leader="none" w:pos="329" w:val="left"/>
        </w:tabs>
        <w:numPr>
          <w:ilvl w:val="0"/>
          <w:numId w:val="18"/>
        </w:numPr>
        <w:rPr>
          <w:rFonts w:ascii="Arial" w:cs="Arial" w:eastAsia="Arial" w:hAnsi="Arial"/>
          <w:sz w:val="16"/>
          <w:szCs w:val="16"/>
          <w:color w:val="0071CE"/>
        </w:rPr>
      </w:pPr>
      <w:r>
        <w:rPr>
          <w:rFonts w:ascii="Arial" w:cs="Arial" w:eastAsia="Arial" w:hAnsi="Arial"/>
          <w:sz w:val="16"/>
          <w:szCs w:val="16"/>
          <w:b w:val="1"/>
          <w:bCs w:val="1"/>
          <w:color w:val="auto"/>
        </w:rPr>
        <w:t xml:space="preserve">Regularly Held Executive Sessions: </w:t>
      </w:r>
      <w:r>
        <w:rPr>
          <w:rFonts w:ascii="Arial" w:cs="Arial" w:eastAsia="Arial" w:hAnsi="Arial"/>
          <w:sz w:val="16"/>
          <w:szCs w:val="16"/>
          <w:color w:val="auto"/>
        </w:rPr>
        <w:t>The independent directors meet separately in executive session on a regular basis to discuss matters relating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the Board, without members of the management team present.</w:t>
      </w:r>
    </w:p>
    <w:p>
      <w:pPr>
        <w:spacing w:after="0" w:line="61" w:lineRule="exact"/>
        <w:rPr>
          <w:rFonts w:ascii="Arial" w:cs="Arial" w:eastAsia="Arial" w:hAnsi="Arial"/>
          <w:sz w:val="16"/>
          <w:szCs w:val="16"/>
          <w:color w:val="0071CE"/>
        </w:rPr>
      </w:pPr>
    </w:p>
    <w:p>
      <w:pPr>
        <w:ind w:left="320" w:hanging="231"/>
        <w:spacing w:after="0"/>
        <w:tabs>
          <w:tab w:leader="none" w:pos="320" w:val="left"/>
        </w:tabs>
        <w:numPr>
          <w:ilvl w:val="0"/>
          <w:numId w:val="18"/>
        </w:numPr>
        <w:rPr>
          <w:rFonts w:ascii="Arial" w:cs="Arial" w:eastAsia="Arial" w:hAnsi="Arial"/>
          <w:sz w:val="16"/>
          <w:szCs w:val="16"/>
          <w:color w:val="0071CE"/>
        </w:rPr>
      </w:pPr>
      <w:r>
        <w:rPr>
          <w:rFonts w:ascii="Arial" w:cs="Arial" w:eastAsia="Arial" w:hAnsi="Arial"/>
          <w:sz w:val="16"/>
          <w:szCs w:val="16"/>
          <w:b w:val="1"/>
          <w:bCs w:val="1"/>
          <w:color w:val="auto"/>
        </w:rPr>
        <w:t xml:space="preserve">Proxy Access: </w:t>
      </w:r>
      <w:r>
        <w:rPr>
          <w:rFonts w:ascii="Arial" w:cs="Arial" w:eastAsia="Arial" w:hAnsi="Arial"/>
          <w:sz w:val="16"/>
          <w:szCs w:val="16"/>
          <w:color w:val="auto"/>
        </w:rPr>
        <w:t>Stockholders have a proxy access right with market-standard terms (3% for 3 years, up to 20% of the Board).</w:t>
      </w:r>
    </w:p>
    <w:p>
      <w:pPr>
        <w:spacing w:after="0" w:line="113" w:lineRule="exact"/>
        <w:rPr>
          <w:rFonts w:ascii="Arial" w:cs="Arial" w:eastAsia="Arial" w:hAnsi="Arial"/>
          <w:sz w:val="16"/>
          <w:szCs w:val="16"/>
          <w:color w:val="0071CE"/>
        </w:rPr>
      </w:pPr>
    </w:p>
    <w:p>
      <w:pPr>
        <w:ind w:left="320" w:hanging="231"/>
        <w:spacing w:after="0"/>
        <w:tabs>
          <w:tab w:leader="none" w:pos="320" w:val="left"/>
        </w:tabs>
        <w:numPr>
          <w:ilvl w:val="0"/>
          <w:numId w:val="18"/>
        </w:numPr>
        <w:rPr>
          <w:rFonts w:ascii="Arial" w:cs="Arial" w:eastAsia="Arial" w:hAnsi="Arial"/>
          <w:sz w:val="16"/>
          <w:szCs w:val="16"/>
          <w:color w:val="0071CE"/>
        </w:rPr>
      </w:pPr>
      <w:r>
        <w:rPr>
          <w:rFonts w:ascii="Arial" w:cs="Arial" w:eastAsia="Arial" w:hAnsi="Arial"/>
          <w:sz w:val="16"/>
          <w:szCs w:val="16"/>
          <w:b w:val="1"/>
          <w:bCs w:val="1"/>
          <w:color w:val="auto"/>
        </w:rPr>
        <w:t xml:space="preserve">Board Oversight of Strategy: </w:t>
      </w:r>
      <w:r>
        <w:rPr>
          <w:rFonts w:ascii="Arial" w:cs="Arial" w:eastAsia="Arial" w:hAnsi="Arial"/>
          <w:sz w:val="16"/>
          <w:szCs w:val="16"/>
          <w:color w:val="auto"/>
        </w:rPr>
        <w:t>The Board reviews at least annually the Company’s business initiatives, capital projects and budget matters.</w:t>
      </w:r>
    </w:p>
    <w:p>
      <w:pPr>
        <w:spacing w:after="0" w:line="126" w:lineRule="exact"/>
        <w:rPr>
          <w:rFonts w:ascii="Arial" w:cs="Arial" w:eastAsia="Arial" w:hAnsi="Arial"/>
          <w:sz w:val="16"/>
          <w:szCs w:val="16"/>
          <w:color w:val="0071CE"/>
        </w:rPr>
      </w:pPr>
    </w:p>
    <w:p>
      <w:pPr>
        <w:ind w:left="340" w:hanging="251"/>
        <w:spacing w:after="0" w:line="286" w:lineRule="auto"/>
        <w:tabs>
          <w:tab w:leader="none" w:pos="329" w:val="left"/>
        </w:tabs>
        <w:numPr>
          <w:ilvl w:val="0"/>
          <w:numId w:val="18"/>
        </w:numPr>
        <w:rPr>
          <w:rFonts w:ascii="Arial" w:cs="Arial" w:eastAsia="Arial" w:hAnsi="Arial"/>
          <w:sz w:val="16"/>
          <w:szCs w:val="16"/>
          <w:color w:val="0071CE"/>
        </w:rPr>
      </w:pPr>
      <w:r>
        <w:rPr>
          <w:rFonts w:ascii="Arial" w:cs="Arial" w:eastAsia="Arial" w:hAnsi="Arial"/>
          <w:sz w:val="16"/>
          <w:szCs w:val="16"/>
          <w:b w:val="1"/>
          <w:bCs w:val="1"/>
          <w:color w:val="auto"/>
        </w:rPr>
        <w:t xml:space="preserve">Environmental and Social Responsibility Oversight: </w:t>
      </w:r>
      <w:r>
        <w:rPr>
          <w:rFonts w:ascii="Arial" w:cs="Arial" w:eastAsia="Arial" w:hAnsi="Arial"/>
          <w:sz w:val="16"/>
          <w:szCs w:val="16"/>
          <w:color w:val="auto"/>
        </w:rPr>
        <w:t>The Board has designated one of its members, Adeoye Olukotun, with responsibility for</w:t>
      </w:r>
      <w:r>
        <w:rPr>
          <w:rFonts w:ascii="Arial" w:cs="Arial" w:eastAsia="Arial" w:hAnsi="Arial"/>
          <w:sz w:val="16"/>
          <w:szCs w:val="16"/>
          <w:b w:val="1"/>
          <w:bCs w:val="1"/>
          <w:color w:val="auto"/>
        </w:rPr>
        <w:t xml:space="preserve"> </w:t>
      </w:r>
      <w:r>
        <w:rPr>
          <w:rFonts w:ascii="Arial" w:cs="Arial" w:eastAsia="Arial" w:hAnsi="Arial"/>
          <w:sz w:val="16"/>
          <w:szCs w:val="16"/>
          <w:color w:val="auto"/>
        </w:rPr>
        <w:t>confirming the Company’s environmental and social programs align with the Board’s expectations in these matters.</w:t>
      </w:r>
    </w:p>
    <w:p>
      <w:pPr>
        <w:spacing w:after="0" w:line="47" w:lineRule="exact"/>
        <w:rPr>
          <w:rFonts w:ascii="Arial" w:cs="Arial" w:eastAsia="Arial" w:hAnsi="Arial"/>
          <w:sz w:val="16"/>
          <w:szCs w:val="16"/>
          <w:color w:val="0071CE"/>
        </w:rPr>
      </w:pPr>
    </w:p>
    <w:p>
      <w:pPr>
        <w:jc w:val="both"/>
        <w:ind w:left="340" w:hanging="251"/>
        <w:spacing w:after="0" w:line="275" w:lineRule="auto"/>
        <w:tabs>
          <w:tab w:leader="none" w:pos="329" w:val="left"/>
        </w:tabs>
        <w:numPr>
          <w:ilvl w:val="0"/>
          <w:numId w:val="18"/>
        </w:numPr>
        <w:rPr>
          <w:rFonts w:ascii="Arial" w:cs="Arial" w:eastAsia="Arial" w:hAnsi="Arial"/>
          <w:sz w:val="16"/>
          <w:szCs w:val="16"/>
          <w:color w:val="026DCE"/>
        </w:rPr>
      </w:pPr>
      <w:r>
        <w:rPr>
          <w:rFonts w:ascii="Arial" w:cs="Arial" w:eastAsia="Arial" w:hAnsi="Arial"/>
          <w:sz w:val="16"/>
          <w:szCs w:val="16"/>
          <w:b w:val="1"/>
          <w:bCs w:val="1"/>
          <w:color w:val="auto"/>
        </w:rPr>
        <w:t xml:space="preserve">Cybersecurity: </w:t>
      </w:r>
      <w:r>
        <w:rPr>
          <w:rFonts w:ascii="Arial" w:cs="Arial" w:eastAsia="Arial" w:hAnsi="Arial"/>
          <w:sz w:val="16"/>
          <w:szCs w:val="16"/>
          <w:color w:val="auto"/>
        </w:rPr>
        <w:t>The Company maintains a cybersecurity program, with direct oversight from senior management and the Board of Directors, to manage</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data, and technology security. The Company has formed an internal cross-functional Technology Risk Management Committee comprised of representative leaders from various aspects of the Company’s business to broadly implement its cybersecurity program.</w:t>
      </w:r>
    </w:p>
    <w:p>
      <w:pPr>
        <w:spacing w:after="0" w:line="69" w:lineRule="exact"/>
        <w:rPr>
          <w:rFonts w:ascii="Arial" w:cs="Arial" w:eastAsia="Arial" w:hAnsi="Arial"/>
          <w:sz w:val="16"/>
          <w:szCs w:val="16"/>
          <w:color w:val="026DCE"/>
        </w:rPr>
      </w:pPr>
    </w:p>
    <w:p>
      <w:pPr>
        <w:ind w:left="340" w:right="20" w:hanging="251"/>
        <w:spacing w:after="0" w:line="286" w:lineRule="auto"/>
        <w:tabs>
          <w:tab w:leader="none" w:pos="329" w:val="left"/>
        </w:tabs>
        <w:numPr>
          <w:ilvl w:val="0"/>
          <w:numId w:val="18"/>
        </w:numPr>
        <w:rPr>
          <w:rFonts w:ascii="Arial" w:cs="Arial" w:eastAsia="Arial" w:hAnsi="Arial"/>
          <w:sz w:val="16"/>
          <w:szCs w:val="16"/>
          <w:color w:val="0071CE"/>
        </w:rPr>
      </w:pPr>
      <w:r>
        <w:rPr>
          <w:rFonts w:ascii="Arial" w:cs="Arial" w:eastAsia="Arial" w:hAnsi="Arial"/>
          <w:sz w:val="16"/>
          <w:szCs w:val="16"/>
          <w:b w:val="1"/>
          <w:bCs w:val="1"/>
          <w:color w:val="auto"/>
        </w:rPr>
        <w:t xml:space="preserve">Related Party Transaction Oversight: </w:t>
      </w:r>
      <w:r>
        <w:rPr>
          <w:rFonts w:ascii="Arial" w:cs="Arial" w:eastAsia="Arial" w:hAnsi="Arial"/>
          <w:sz w:val="16"/>
          <w:szCs w:val="16"/>
          <w:color w:val="auto"/>
        </w:rPr>
        <w:t>The Audit Committee is responsible for reviewing and approving all disclosable related-party transactions or, if</w:t>
      </w:r>
      <w:r>
        <w:rPr>
          <w:rFonts w:ascii="Arial" w:cs="Arial" w:eastAsia="Arial" w:hAnsi="Arial"/>
          <w:sz w:val="16"/>
          <w:szCs w:val="16"/>
          <w:b w:val="1"/>
          <w:bCs w:val="1"/>
          <w:color w:val="auto"/>
        </w:rPr>
        <w:t xml:space="preserve"> </w:t>
      </w:r>
      <w:r>
        <w:rPr>
          <w:rFonts w:ascii="Arial" w:cs="Arial" w:eastAsia="Arial" w:hAnsi="Arial"/>
          <w:sz w:val="16"/>
          <w:szCs w:val="16"/>
          <w:color w:val="auto"/>
        </w:rPr>
        <w:t>the size and nature of the transaction warrants, a special committee of non-related Board members is formed to negotiate and approve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544830</wp:posOffset>
            </wp:positionV>
            <wp:extent cx="986155" cy="2057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jc w:val="right"/>
        <w:spacing w:after="0"/>
        <w:tabs>
          <w:tab w:leader="none" w:pos="254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340" w:hanging="251"/>
        <w:spacing w:after="0" w:line="261" w:lineRule="auto"/>
        <w:tabs>
          <w:tab w:leader="none" w:pos="329" w:val="left"/>
        </w:tabs>
        <w:numPr>
          <w:ilvl w:val="0"/>
          <w:numId w:val="19"/>
        </w:numPr>
        <w:rPr>
          <w:rFonts w:ascii="Arial" w:cs="Arial" w:eastAsia="Arial" w:hAnsi="Arial"/>
          <w:sz w:val="16"/>
          <w:szCs w:val="16"/>
          <w:color w:val="0071CE"/>
        </w:rPr>
      </w:pPr>
      <w:r>
        <w:rPr>
          <w:rFonts w:ascii="Arial" w:cs="Arial" w:eastAsia="Arial" w:hAnsi="Arial"/>
          <w:sz w:val="16"/>
          <w:szCs w:val="16"/>
          <w:b w:val="1"/>
          <w:bCs w:val="1"/>
          <w:color w:val="auto"/>
        </w:rPr>
        <w:t xml:space="preserve">Sustainability: </w:t>
      </w:r>
      <w:r>
        <w:rPr>
          <w:rFonts w:ascii="Arial" w:cs="Arial" w:eastAsia="Arial" w:hAnsi="Arial"/>
          <w:sz w:val="16"/>
          <w:szCs w:val="16"/>
          <w:color w:val="auto"/>
        </w:rPr>
        <w:t>The Company continues to assess its environmental impact and ways in which it can operate more responsibly and sustainably.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completed building its research and development facilities in San Diego, California and Verona, Wisconsin. Both research and development facilities were built to meet LEED certification standards. The Company has contracted with a third party to operate a solar power generation plant at our San Diego facility with a generating capacity of approximately 1,406kW, which is comprised of a rooftop system, parking lot solar canopies, and a 1,200 kW battery storage system to supply power to the building. Additionally, the Company has continued its efforts to minimize use of paper records in favor of electronic records and has a robust recycling program for paper, batteries, and electronic equipment.</w:t>
      </w:r>
    </w:p>
    <w:p>
      <w:pPr>
        <w:spacing w:after="0" w:line="54" w:lineRule="exact"/>
        <w:rPr>
          <w:rFonts w:ascii="Arial" w:cs="Arial" w:eastAsia="Arial" w:hAnsi="Arial"/>
          <w:sz w:val="16"/>
          <w:szCs w:val="16"/>
          <w:color w:val="0071CE"/>
        </w:rPr>
      </w:pPr>
    </w:p>
    <w:p>
      <w:pPr>
        <w:jc w:val="both"/>
        <w:ind w:left="340" w:hanging="251"/>
        <w:spacing w:after="0" w:line="248" w:lineRule="auto"/>
        <w:tabs>
          <w:tab w:leader="none" w:pos="329" w:val="left"/>
        </w:tabs>
        <w:numPr>
          <w:ilvl w:val="0"/>
          <w:numId w:val="19"/>
        </w:numPr>
        <w:rPr>
          <w:rFonts w:ascii="Arial" w:cs="Arial" w:eastAsia="Arial" w:hAnsi="Arial"/>
          <w:sz w:val="16"/>
          <w:szCs w:val="16"/>
          <w:color w:val="0071CE"/>
        </w:rPr>
      </w:pPr>
      <w:r>
        <w:rPr>
          <w:rFonts w:ascii="Arial" w:cs="Arial" w:eastAsia="Arial" w:hAnsi="Arial"/>
          <w:sz w:val="16"/>
          <w:szCs w:val="16"/>
          <w:b w:val="1"/>
          <w:bCs w:val="1"/>
          <w:color w:val="auto"/>
        </w:rPr>
        <w:t xml:space="preserve">Human Capital Management: </w:t>
      </w:r>
      <w:r>
        <w:rPr>
          <w:rFonts w:ascii="Arial" w:cs="Arial" w:eastAsia="Arial" w:hAnsi="Arial"/>
          <w:sz w:val="16"/>
          <w:szCs w:val="16"/>
          <w:color w:val="auto"/>
        </w:rPr>
        <w:t>Arrowhead has a vibrant and growing culture and we are committed to the health and welfare of our employees. Our</w:t>
      </w:r>
      <w:r>
        <w:rPr>
          <w:rFonts w:ascii="Arial" w:cs="Arial" w:eastAsia="Arial" w:hAnsi="Arial"/>
          <w:sz w:val="16"/>
          <w:szCs w:val="16"/>
          <w:b w:val="1"/>
          <w:bCs w:val="1"/>
          <w:color w:val="auto"/>
        </w:rPr>
        <w:t xml:space="preserve"> </w:t>
      </w:r>
      <w:r>
        <w:rPr>
          <w:rFonts w:ascii="Arial" w:cs="Arial" w:eastAsia="Arial" w:hAnsi="Arial"/>
          <w:sz w:val="16"/>
          <w:szCs w:val="16"/>
          <w:color w:val="auto"/>
        </w:rPr>
        <w:t>important work developing advanced drugs for patients requires a specialized and dedicated workforce. Arrowhead supports the development of our employees with a competitive compensation and benefits package, internal advancement, and individualized development opportunities. We are committed to training young scientists and businesspeople and offer multiple internships and entry level positions each year.</w:t>
      </w:r>
    </w:p>
    <w:p>
      <w:pPr>
        <w:spacing w:after="0" w:line="76" w:lineRule="exact"/>
        <w:rPr>
          <w:rFonts w:ascii="Arial" w:cs="Arial" w:eastAsia="Arial" w:hAnsi="Arial"/>
          <w:sz w:val="16"/>
          <w:szCs w:val="16"/>
          <w:color w:val="0071CE"/>
        </w:rPr>
      </w:pPr>
    </w:p>
    <w:p>
      <w:pPr>
        <w:jc w:val="both"/>
        <w:ind w:left="340" w:hanging="251"/>
        <w:spacing w:after="0" w:line="248" w:lineRule="auto"/>
        <w:tabs>
          <w:tab w:leader="none" w:pos="329" w:val="left"/>
        </w:tabs>
        <w:numPr>
          <w:ilvl w:val="0"/>
          <w:numId w:val="19"/>
        </w:numPr>
        <w:rPr>
          <w:rFonts w:ascii="Arial" w:cs="Arial" w:eastAsia="Arial" w:hAnsi="Arial"/>
          <w:sz w:val="16"/>
          <w:szCs w:val="16"/>
          <w:color w:val="0071CE"/>
        </w:rPr>
      </w:pPr>
      <w:r>
        <w:rPr>
          <w:rFonts w:ascii="Arial" w:cs="Arial" w:eastAsia="Arial" w:hAnsi="Arial"/>
          <w:sz w:val="16"/>
          <w:szCs w:val="16"/>
          <w:b w:val="1"/>
          <w:bCs w:val="1"/>
          <w:color w:val="auto"/>
        </w:rPr>
        <w:t xml:space="preserve">Workforce Diversity: </w:t>
      </w:r>
      <w:r>
        <w:rPr>
          <w:rFonts w:ascii="Arial" w:cs="Arial" w:eastAsia="Arial" w:hAnsi="Arial"/>
          <w:sz w:val="16"/>
          <w:szCs w:val="16"/>
          <w:color w:val="auto"/>
        </w:rPr>
        <w:t>As of September 30, 2024, women comprise 51% of our employee workforce and 45% of our employee leaders at the level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or above. People self-identifying as a minority under the categories established by the Equal Employment Opportunity Commission comprise 27% of our employee workforce and 39% of our employee leaders at the level of director or above. One of our executive officers is a member of the LGBTQ+ community.</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Stockholder Communications with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Stockholders who wish to communicate with the Board or any individual director can write to: Patrick O’Brien, Corporate Secretary, Arrowhead Pharmaceuticals, Inc., 177 E. Colorado, Suite 700, Pasadena, CA 91105. Your letter should indicate that you are an Arrowhead stockholder. Depending on the subject matter, management will:</w:t>
      </w:r>
    </w:p>
    <w:p>
      <w:pPr>
        <w:spacing w:after="0" w:line="83" w:lineRule="exact"/>
        <w:rPr>
          <w:sz w:val="20"/>
          <w:szCs w:val="20"/>
          <w:color w:val="auto"/>
        </w:rPr>
      </w:pPr>
    </w:p>
    <w:p>
      <w:pPr>
        <w:ind w:left="320" w:hanging="231"/>
        <w:spacing w:after="0"/>
        <w:tabs>
          <w:tab w:leader="none" w:pos="320" w:val="left"/>
        </w:tabs>
        <w:numPr>
          <w:ilvl w:val="0"/>
          <w:numId w:val="20"/>
        </w:numPr>
        <w:rPr>
          <w:rFonts w:ascii="Arial" w:cs="Arial" w:eastAsia="Arial" w:hAnsi="Arial"/>
          <w:sz w:val="16"/>
          <w:szCs w:val="16"/>
          <w:color w:val="0071CE"/>
        </w:rPr>
      </w:pPr>
      <w:r>
        <w:rPr>
          <w:rFonts w:ascii="Arial" w:cs="Arial" w:eastAsia="Arial" w:hAnsi="Arial"/>
          <w:sz w:val="16"/>
          <w:szCs w:val="16"/>
          <w:color w:val="auto"/>
        </w:rPr>
        <w:t>Forward the communication to the director or directors to whom it is addressed;</w:t>
      </w:r>
    </w:p>
    <w:p>
      <w:pPr>
        <w:spacing w:after="0" w:line="113" w:lineRule="exact"/>
        <w:rPr>
          <w:rFonts w:ascii="Arial" w:cs="Arial" w:eastAsia="Arial" w:hAnsi="Arial"/>
          <w:sz w:val="16"/>
          <w:szCs w:val="16"/>
          <w:color w:val="0071CE"/>
        </w:rPr>
      </w:pPr>
    </w:p>
    <w:p>
      <w:pPr>
        <w:ind w:left="320" w:hanging="231"/>
        <w:spacing w:after="0"/>
        <w:tabs>
          <w:tab w:leader="none" w:pos="320" w:val="left"/>
        </w:tabs>
        <w:numPr>
          <w:ilvl w:val="0"/>
          <w:numId w:val="20"/>
        </w:numPr>
        <w:rPr>
          <w:rFonts w:ascii="Arial" w:cs="Arial" w:eastAsia="Arial" w:hAnsi="Arial"/>
          <w:sz w:val="16"/>
          <w:szCs w:val="16"/>
          <w:color w:val="0071CE"/>
        </w:rPr>
      </w:pPr>
      <w:r>
        <w:rPr>
          <w:rFonts w:ascii="Arial" w:cs="Arial" w:eastAsia="Arial" w:hAnsi="Arial"/>
          <w:sz w:val="16"/>
          <w:szCs w:val="16"/>
          <w:color w:val="auto"/>
        </w:rPr>
        <w:t>Forward the communication to the Board Chair, if addressed to the board of directors; or</w:t>
      </w:r>
    </w:p>
    <w:p>
      <w:pPr>
        <w:spacing w:after="0" w:line="113" w:lineRule="exact"/>
        <w:rPr>
          <w:rFonts w:ascii="Arial" w:cs="Arial" w:eastAsia="Arial" w:hAnsi="Arial"/>
          <w:sz w:val="16"/>
          <w:szCs w:val="16"/>
          <w:color w:val="0071CE"/>
        </w:rPr>
      </w:pPr>
    </w:p>
    <w:p>
      <w:pPr>
        <w:ind w:left="340" w:right="20" w:hanging="251"/>
        <w:spacing w:after="0" w:line="304" w:lineRule="auto"/>
        <w:tabs>
          <w:tab w:leader="none" w:pos="329" w:val="left"/>
        </w:tabs>
        <w:numPr>
          <w:ilvl w:val="0"/>
          <w:numId w:val="20"/>
        </w:numPr>
        <w:rPr>
          <w:rFonts w:ascii="Arial" w:cs="Arial" w:eastAsia="Arial" w:hAnsi="Arial"/>
          <w:sz w:val="16"/>
          <w:szCs w:val="16"/>
          <w:color w:val="0071CE"/>
        </w:rPr>
      </w:pPr>
      <w:r>
        <w:rPr>
          <w:rFonts w:ascii="Arial" w:cs="Arial" w:eastAsia="Arial" w:hAnsi="Arial"/>
          <w:sz w:val="16"/>
          <w:szCs w:val="16"/>
          <w:color w:val="auto"/>
        </w:rPr>
        <w:t>If not addressed to, or otherwise appropriate for, any director or directors, attempt to handle the inquiry directly (for example, requests for information or stock-related matters).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Board Meetings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Board held a total of five meetings during the fiscal year ended September 30, 2024. The Board has three standing committees: Audit Committee, Compensation Committee, and Nomination Committee. The functions of the Audit Committee are to select and oversee the independent registered public accounting firm, to review the scope and results of the year-end audit with management and the independent auditors, to review the Company’s accounting principles and its system of internal accounting controls, to review the Company’s annual and quarterly reports before filing with the SEC and to review any related-party transactions. The Audit Committee met four times during fiscal 2024. The members of the Audit Committee for fiscal 2024 were William Waddill (Committee Chair), Mauro Ferrari, and Victoria Vakiener. The current members of the Audit Committee for fiscal 2025 are William Waddill (Committee Chair), Mauro Ferrari, and Victoria Vakiener. The Board has determined that all members of the Audit Committee who served during 2024 were independent directors under the rules of the Securities and Exchange Commission (“</w:t>
      </w:r>
      <w:r>
        <w:rPr>
          <w:rFonts w:ascii="Arial" w:cs="Arial" w:eastAsia="Arial" w:hAnsi="Arial"/>
          <w:sz w:val="16"/>
          <w:szCs w:val="16"/>
          <w:b w:val="1"/>
          <w:bCs w:val="1"/>
          <w:color w:val="auto"/>
        </w:rPr>
        <w:t>SEC</w:t>
      </w:r>
      <w:r>
        <w:rPr>
          <w:rFonts w:ascii="Arial" w:cs="Arial" w:eastAsia="Arial" w:hAnsi="Arial"/>
          <w:sz w:val="16"/>
          <w:szCs w:val="16"/>
          <w:color w:val="auto"/>
        </w:rPr>
        <w:t>”) and the listing standards of Nasdaq Marketplace Rules and are financially literate. The Board has determined that Mr. Waddill is an “audit committee financial expert” in accordance with the applicable regulations, based on his experience as noted above. The Audit Committee Charter is available on the Company’s website at www.arrowheadpharma.com.</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functions of the Compensation Committee are to review the goals and achievements of the Company and the Chief Executive Officer for the prior year and approve the goals of the Company and the Chief Executive Officer for the next year, to review and approve salaries, bonuses, equity awards, and other benefits payable to the Company’s executive officers and to administer the Company’s equity incentive compensation plans. The Compensation Committee is specifically responsible for determining the compensation of the Chief Executive Officer and the other executive officers. The Compensation Committee reviews compensation recommendations made by the Chief Executive Officer for other senior executives of the Company and the compensation of the Chief Executive Officer at least annually; the Chief Executive Officer is not present during discussions or deliberations regarding his compensation. In fiscal 2024, the Compensation Committee engaged Compensia, Inc. (“</w:t>
      </w:r>
      <w:r>
        <w:rPr>
          <w:rFonts w:ascii="Arial" w:cs="Arial" w:eastAsia="Arial" w:hAnsi="Arial"/>
          <w:sz w:val="16"/>
          <w:szCs w:val="16"/>
          <w:b w:val="1"/>
          <w:bCs w:val="1"/>
          <w:color w:val="auto"/>
        </w:rPr>
        <w:t>Compensia</w:t>
      </w:r>
      <w:r>
        <w:rPr>
          <w:rFonts w:ascii="Arial" w:cs="Arial" w:eastAsia="Arial" w:hAnsi="Arial"/>
          <w:sz w:val="16"/>
          <w:szCs w:val="16"/>
          <w:color w:val="auto"/>
        </w:rPr>
        <w:t>”), a 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475615</wp:posOffset>
            </wp:positionV>
            <wp:extent cx="986155" cy="2057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compensation consulting firm, to provide advice and guidance with regard to compensation for our NEOs. The decision to engage the consultant was not made or recommended by management and the Compensation Committee has the sole discretion to engage or change the consultant. The Compensation Committee met four times during fiscal 2024. The members of the Compensation Committee for fiscal 2024 were William Waddill (Committee Chair), Mauro Ferrari, and Michael Perry. The current members of the Compensation Committee for fiscal 2025 are Michael Perry (Committee Chair), Hongbo Lu, and William Waddill . The Board has determined that all members of the Compensation Committee are independent directors under the listing rules of Nasdaq Marketplace Rules. The Compensation Committee’s charter is available on the Company’s website at www.arrowheadpharma.com. The Compensation Committee has not delegated any of its responsibilities or authorities granted under its charter.</w:t>
      </w:r>
    </w:p>
    <w:p>
      <w:pPr>
        <w:spacing w:after="0" w:line="163"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Nomination Committee is responsible for proposing a slate of directors for election by the stockholders at each annual meeting and for proposing candidates to fill any vacancies. The Nomination Committee met three times during fiscal 2024. The members of the Nomination Committee for fiscal 2024 were Michael Perry (Committee Chair) Mauro Ferrari, Adeoye Olukotun, Victoria Vakiener, and William Waddill. The current members of the Nomination Committee for fiscal 2025 are Victoria Vakiener (Committee Chair), Mauro Ferrari, Adeoye Olukotun, Michael Perry, Hongbo Lu, and William Waddill. The Board has determined that all members of the Nomination Committee are independent directors under the listing rules of Nasdaq Marketplace Rules. The Nomination Committee’s charter is available on the Company’s website at www.arrowheadpharma.com. The Nomination Committee manages the process for evaluating current Board members at the time they are considered for re-nomination. After considering the appropriate skills and characteristics required on the Board, the current makeup of the Board, the results of the evaluations and the wishes of the Board members to be re-nominated, the Nomination Committee recommends to the Board whether those individuals should be re-nominated.</w:t>
      </w:r>
    </w:p>
    <w:p>
      <w:pPr>
        <w:spacing w:after="0" w:line="19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at least an annual basis, the Nomination Committee reviews with the Board whether it believes the Board would benefit from adding new members and, if so, the appropriate skills and characteristics required for any new members. If the Board determines that a new member would be beneficial, the Nomination Committee solicits and receives recommendations for candidates and manages the process for evaluating candidates. All potential candidates, regardless of their source, are reviewed under the same process. The Nomination Committee (or the Committee Chair) screens the available information about the potential candidate(s). Based on the results of the initial screening, interviews with candidates are scheduled with Nomination Committee members, other members of the Board and senior members of management. Upon completion of these interviews and other due diligence, the Nomination Committee may recommend a candidate to the Board for appointment.</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Candidates for independent Board member positions are identified through recommendations from directors or others associated with the Company, as well as through a formal search process managed by a third-party search firm. Arrowhead stockholders may also recommend candidates by sending the candidate’s name and resume to the Nomination Committee pursuant to the procedures, set forth above, for communication with the Board. The Nomination Committee evaluates director candidates recommended by stockholders in the same way that it evaluates candidates recommended by its members, other members of the Board, or other persons. As described above, our Bylaws also provide for separate notice procedures to recommend a person for nomination as a director to be considered by stockholders at a meeting, including requirements as to the timing, form and content of a stockholder’s notice.</w:t>
      </w:r>
    </w:p>
    <w:p>
      <w:pPr>
        <w:spacing w:after="0" w:line="17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Nomination Committee has no predefined minimum criteria for selecting Board nominees, although it believes that all directors should share qualities such as governance and business experience at the corporate level, relevant non-competitive experience, and strong communication and analytical skills. Independent directors must meet the criteria for independence set forth by Nasdaq and, as applicable, the SEC. In any given search, the Nomination Committee may also define particular characteristics for candidates to balance the overall mix of skills, backgrounds and characteristics of the Board and the needs of the Company. During any search, the Nomination Committee reserves the right to modify its stated search criteria for exceptional candidates.</w:t>
      </w:r>
    </w:p>
    <w:p>
      <w:pPr>
        <w:spacing w:after="0" w:line="17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Nomination Committee assesses its effectiveness in achieving its goal of building a diverse board as part of its annual assessment of the composition of the Board.</w:t>
      </w:r>
    </w:p>
    <w:p>
      <w:pPr>
        <w:spacing w:after="0" w:line="14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2018, the Board established a Science Committee to review and advise on science topics of interest to the Company. The members of the Science Committee for fiscal 2024 were Mauro Ferrari (Committee Co-Chair), Adeoye Olukotun (Committee Co-Chair), Douglass Given, and Michael Perry. The current members of the Science Committee for fiscal 2025 are Mauro Ferrari (Committee Co-Chair), Adeoye Olukotun (Committee Co-Chair), Hongbo Lu, and 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487045</wp:posOffset>
            </wp:positionV>
            <wp:extent cx="986155" cy="2057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jc w:val="right"/>
        <w:spacing w:after="0"/>
        <w:tabs>
          <w:tab w:leader="none" w:pos="254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Proposal One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Each of our incumbent directors attended 100% of the aggregate of (i) the total number of meetings of the Board held during fiscal 2024, and (ii) the total number of meetings held by all committees of the Board during fiscal 2024 on which such person served, in each case during the period in which such person served on the Board or committee.</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all of the directors then serving on the Board and standing for re-election attended the virtual 2024 Annual Meeting of Stockholders. It is the Company’s policy to encourage, but not require, that all directors attend our annual stockholder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476250</wp:posOffset>
            </wp:positionV>
            <wp:extent cx="986155" cy="2057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21" w:name="page22"/>
    <w:bookmarkEnd w:id="21"/>
    <w:p>
      <w:pPr>
        <w:spacing w:after="0"/>
        <w:rPr>
          <w:sz w:val="20"/>
          <w:szCs w:val="20"/>
          <w:color w:val="auto"/>
        </w:rPr>
      </w:pPr>
      <w:r>
        <w:rPr>
          <w:rFonts w:ascii="Arial" w:cs="Arial" w:eastAsia="Arial" w:hAnsi="Arial"/>
          <w:sz w:val="32"/>
          <w:szCs w:val="32"/>
          <w:b w:val="1"/>
          <w:bCs w:val="1"/>
          <w:color w:val="0071CE"/>
        </w:rPr>
        <w:t>Director Compensation</w:t>
      </w:r>
    </w:p>
    <w:p>
      <w:pPr>
        <w:spacing w:after="0" w:line="42" w:lineRule="exact"/>
        <w:rPr>
          <w:sz w:val="20"/>
          <w:szCs w:val="20"/>
          <w:color w:val="auto"/>
        </w:rPr>
      </w:pPr>
    </w:p>
    <w:p>
      <w:pPr>
        <w:ind w:right="260"/>
        <w:spacing w:after="0" w:line="223" w:lineRule="auto"/>
        <w:rPr>
          <w:sz w:val="20"/>
          <w:szCs w:val="20"/>
          <w:color w:val="auto"/>
        </w:rPr>
      </w:pPr>
      <w:r>
        <w:rPr>
          <w:rFonts w:ascii="Arial" w:cs="Arial" w:eastAsia="Arial" w:hAnsi="Arial"/>
          <w:sz w:val="16"/>
          <w:szCs w:val="16"/>
          <w:color w:val="auto"/>
        </w:rPr>
        <w:t>Directors who are also employees of the Company receive no separate compensation from the Company for their service as members of the Board. For 2024, the Company maintained the structure of director compensation it adopted in 2019 to provide a base retainer for each director with higher base retainers for service by the Board Chair and committee leadership. The average total compensation paid to the Company's non-executive directors for service in 2024 is at or below the 60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percentile of the total compensation paid to non-executive directors of its peer group as described later in this proxy statement. The Compensation Committee believes the structure aligns compensation according to the level of service contributions by each director. The fees payable to directors for service on the Board and for service on each committee of the Board on which the director serves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40" w:type="dxa"/>
            <w:vAlign w:val="bottom"/>
            <w:shd w:val="clear" w:color="auto" w:fill="026DCE"/>
          </w:tcPr>
          <w:p>
            <w:pPr>
              <w:ind w:left="1960"/>
              <w:spacing w:after="0"/>
              <w:rPr>
                <w:sz w:val="20"/>
                <w:szCs w:val="20"/>
                <w:color w:val="auto"/>
              </w:rPr>
            </w:pPr>
            <w:r>
              <w:rPr>
                <w:rFonts w:ascii="Arial" w:cs="Arial" w:eastAsia="Arial" w:hAnsi="Arial"/>
                <w:sz w:val="14"/>
                <w:szCs w:val="14"/>
                <w:b w:val="1"/>
                <w:bCs w:val="1"/>
                <w:color w:val="FFFFFF"/>
              </w:rPr>
              <w:t>Board of Directors:</w:t>
            </w:r>
          </w:p>
        </w:tc>
        <w:tc>
          <w:tcPr>
            <w:tcW w:w="3080" w:type="dxa"/>
            <w:vAlign w:val="bottom"/>
            <w:shd w:val="clear" w:color="auto" w:fill="026DCE"/>
          </w:tcPr>
          <w:p>
            <w:pPr>
              <w:ind w:left="820"/>
              <w:spacing w:after="0"/>
              <w:rPr>
                <w:sz w:val="20"/>
                <w:szCs w:val="20"/>
                <w:color w:val="auto"/>
              </w:rPr>
            </w:pPr>
            <w:r>
              <w:rPr>
                <w:rFonts w:ascii="Arial" w:cs="Arial" w:eastAsia="Arial" w:hAnsi="Arial"/>
                <w:sz w:val="14"/>
                <w:szCs w:val="14"/>
                <w:b w:val="1"/>
                <w:bCs w:val="1"/>
                <w:color w:val="FFFFFF"/>
              </w:rPr>
              <w:t>2023 Annual Retainer:</w:t>
            </w:r>
          </w:p>
        </w:tc>
        <w:tc>
          <w:tcPr>
            <w:tcW w:w="3020" w:type="dxa"/>
            <w:vAlign w:val="bottom"/>
            <w:shd w:val="clear" w:color="auto" w:fill="026DCE"/>
          </w:tcPr>
          <w:p>
            <w:pPr>
              <w:ind w:left="760"/>
              <w:spacing w:after="0"/>
              <w:rPr>
                <w:sz w:val="20"/>
                <w:szCs w:val="20"/>
                <w:color w:val="auto"/>
              </w:rPr>
            </w:pPr>
            <w:r>
              <w:rPr>
                <w:rFonts w:ascii="Arial" w:cs="Arial" w:eastAsia="Arial" w:hAnsi="Arial"/>
                <w:sz w:val="14"/>
                <w:szCs w:val="14"/>
                <w:b w:val="1"/>
                <w:bCs w:val="1"/>
                <w:color w:val="FFFFFF"/>
              </w:rPr>
              <w:t>2024 Annual Retainer:</w:t>
            </w:r>
          </w:p>
        </w:tc>
      </w:tr>
      <w:tr>
        <w:trPr>
          <w:trHeight w:val="215"/>
        </w:trPr>
        <w:tc>
          <w:tcPr>
            <w:tcW w:w="5140" w:type="dxa"/>
            <w:vAlign w:val="bottom"/>
          </w:tcPr>
          <w:p>
            <w:pPr>
              <w:ind w:left="20"/>
              <w:spacing w:after="0"/>
              <w:rPr>
                <w:sz w:val="20"/>
                <w:szCs w:val="20"/>
                <w:color w:val="auto"/>
              </w:rPr>
            </w:pPr>
            <w:r>
              <w:rPr>
                <w:rFonts w:ascii="Arial" w:cs="Arial" w:eastAsia="Arial" w:hAnsi="Arial"/>
                <w:sz w:val="16"/>
                <w:szCs w:val="16"/>
                <w:color w:val="auto"/>
              </w:rPr>
              <w:t>All non-employee directors</w:t>
            </w:r>
          </w:p>
        </w:tc>
        <w:tc>
          <w:tcPr>
            <w:tcW w:w="3080" w:type="dxa"/>
            <w:vAlign w:val="bottom"/>
          </w:tcPr>
          <w:p>
            <w:pPr>
              <w:jc w:val="center"/>
              <w:spacing w:after="0"/>
              <w:rPr>
                <w:sz w:val="20"/>
                <w:szCs w:val="20"/>
                <w:color w:val="auto"/>
              </w:rPr>
            </w:pPr>
            <w:r>
              <w:rPr>
                <w:rFonts w:ascii="Arial" w:cs="Arial" w:eastAsia="Arial" w:hAnsi="Arial"/>
                <w:sz w:val="16"/>
                <w:szCs w:val="16"/>
                <w:color w:val="auto"/>
              </w:rPr>
              <w:t>$80,000</w:t>
            </w:r>
          </w:p>
        </w:tc>
        <w:tc>
          <w:tcPr>
            <w:tcW w:w="3020" w:type="dxa"/>
            <w:vAlign w:val="bottom"/>
          </w:tcPr>
          <w:p>
            <w:pPr>
              <w:jc w:val="center"/>
              <w:spacing w:after="0"/>
              <w:rPr>
                <w:sz w:val="20"/>
                <w:szCs w:val="20"/>
                <w:color w:val="auto"/>
              </w:rPr>
            </w:pPr>
            <w:r>
              <w:rPr>
                <w:rFonts w:ascii="Arial" w:cs="Arial" w:eastAsia="Arial" w:hAnsi="Arial"/>
                <w:sz w:val="16"/>
                <w:szCs w:val="16"/>
                <w:color w:val="auto"/>
              </w:rPr>
              <w:t>$80,000</w:t>
            </w:r>
          </w:p>
        </w:tc>
      </w:tr>
      <w:tr>
        <w:trPr>
          <w:trHeight w:val="217"/>
        </w:trPr>
        <w:tc>
          <w:tcPr>
            <w:tcW w:w="5140" w:type="dxa"/>
            <w:vAlign w:val="bottom"/>
            <w:shd w:val="clear" w:color="auto" w:fill="E5E5E5"/>
          </w:tcPr>
          <w:p>
            <w:pPr>
              <w:ind w:left="20"/>
              <w:spacing w:after="0"/>
              <w:rPr>
                <w:sz w:val="20"/>
                <w:szCs w:val="20"/>
                <w:color w:val="auto"/>
              </w:rPr>
            </w:pPr>
            <w:r>
              <w:rPr>
                <w:rFonts w:ascii="Arial" w:cs="Arial" w:eastAsia="Arial" w:hAnsi="Arial"/>
                <w:sz w:val="16"/>
                <w:szCs w:val="16"/>
                <w:color w:val="auto"/>
              </w:rPr>
              <w:t>Additional retainer for Non-Executive Chairman of the Board</w:t>
            </w:r>
          </w:p>
        </w:tc>
        <w:tc>
          <w:tcPr>
            <w:tcW w:w="308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$15,000</w:t>
            </w:r>
          </w:p>
        </w:tc>
        <w:tc>
          <w:tcPr>
            <w:tcW w:w="30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$15,000</w:t>
            </w:r>
          </w:p>
        </w:tc>
      </w:tr>
      <w:tr>
        <w:trPr>
          <w:trHeight w:val="216"/>
        </w:trPr>
        <w:tc>
          <w:tcPr>
            <w:tcW w:w="5140" w:type="dxa"/>
            <w:vAlign w:val="bottom"/>
            <w:tcBorders>
              <w:bottom w:val="single" w:sz="8" w:color="026DCE"/>
            </w:tcBorders>
          </w:tcPr>
          <w:p>
            <w:pPr>
              <w:ind w:left="20"/>
              <w:spacing w:after="0"/>
              <w:rPr>
                <w:sz w:val="20"/>
                <w:szCs w:val="20"/>
                <w:color w:val="auto"/>
              </w:rPr>
            </w:pPr>
            <w:r>
              <w:rPr>
                <w:rFonts w:ascii="Arial" w:cs="Arial" w:eastAsia="Arial" w:hAnsi="Arial"/>
                <w:sz w:val="16"/>
                <w:szCs w:val="16"/>
                <w:b w:val="1"/>
                <w:bCs w:val="1"/>
                <w:color w:val="auto"/>
              </w:rPr>
              <w:t>Audit Committee:</w:t>
            </w:r>
          </w:p>
        </w:tc>
        <w:tc>
          <w:tcPr>
            <w:tcW w:w="3080" w:type="dxa"/>
            <w:vAlign w:val="bottom"/>
            <w:tcBorders>
              <w:bottom w:val="single" w:sz="8" w:color="026DCE"/>
            </w:tcBorders>
          </w:tcPr>
          <w:p>
            <w:pPr>
              <w:spacing w:after="0"/>
              <w:rPr>
                <w:sz w:val="18"/>
                <w:szCs w:val="18"/>
                <w:color w:val="auto"/>
              </w:rPr>
            </w:pPr>
          </w:p>
        </w:tc>
        <w:tc>
          <w:tcPr>
            <w:tcW w:w="3020" w:type="dxa"/>
            <w:vAlign w:val="bottom"/>
            <w:tcBorders>
              <w:bottom w:val="single" w:sz="8" w:color="026DCE"/>
            </w:tcBorders>
          </w:tcPr>
          <w:p>
            <w:pPr>
              <w:spacing w:after="0"/>
              <w:rPr>
                <w:sz w:val="18"/>
                <w:szCs w:val="18"/>
                <w:color w:val="auto"/>
              </w:rPr>
            </w:pPr>
          </w:p>
        </w:tc>
      </w:tr>
      <w:tr>
        <w:trPr>
          <w:trHeight w:val="209"/>
        </w:trPr>
        <w:tc>
          <w:tcPr>
            <w:tcW w:w="5140" w:type="dxa"/>
            <w:vAlign w:val="bottom"/>
            <w:shd w:val="clear" w:color="auto" w:fill="E5E5E5"/>
          </w:tcPr>
          <w:p>
            <w:pPr>
              <w:ind w:left="20"/>
              <w:spacing w:after="0"/>
              <w:rPr>
                <w:sz w:val="20"/>
                <w:szCs w:val="20"/>
                <w:color w:val="auto"/>
              </w:rPr>
            </w:pPr>
            <w:r>
              <w:rPr>
                <w:rFonts w:ascii="Arial" w:cs="Arial" w:eastAsia="Arial" w:hAnsi="Arial"/>
                <w:sz w:val="16"/>
                <w:szCs w:val="16"/>
                <w:color w:val="auto"/>
              </w:rPr>
              <w:t>Chairman</w:t>
            </w:r>
          </w:p>
        </w:tc>
        <w:tc>
          <w:tcPr>
            <w:tcW w:w="308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$5,000</w:t>
            </w:r>
          </w:p>
        </w:tc>
        <w:tc>
          <w:tcPr>
            <w:tcW w:w="30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$5,000</w:t>
            </w:r>
          </w:p>
        </w:tc>
      </w:tr>
      <w:tr>
        <w:trPr>
          <w:trHeight w:val="216"/>
        </w:trPr>
        <w:tc>
          <w:tcPr>
            <w:tcW w:w="5140" w:type="dxa"/>
            <w:vAlign w:val="bottom"/>
          </w:tcPr>
          <w:p>
            <w:pPr>
              <w:ind w:left="20"/>
              <w:spacing w:after="0"/>
              <w:rPr>
                <w:sz w:val="20"/>
                <w:szCs w:val="20"/>
                <w:color w:val="auto"/>
              </w:rPr>
            </w:pPr>
            <w:r>
              <w:rPr>
                <w:rFonts w:ascii="Arial" w:cs="Arial" w:eastAsia="Arial" w:hAnsi="Arial"/>
                <w:sz w:val="16"/>
                <w:szCs w:val="16"/>
                <w:b w:val="1"/>
                <w:bCs w:val="1"/>
                <w:color w:val="auto"/>
              </w:rPr>
              <w:t>Compensation Committee:</w:t>
            </w:r>
          </w:p>
        </w:tc>
        <w:tc>
          <w:tcPr>
            <w:tcW w:w="30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5140" w:type="dxa"/>
            <w:vAlign w:val="bottom"/>
            <w:shd w:val="clear" w:color="auto" w:fill="E5E5E5"/>
          </w:tcPr>
          <w:p>
            <w:pPr>
              <w:ind w:left="20"/>
              <w:spacing w:after="0"/>
              <w:rPr>
                <w:sz w:val="20"/>
                <w:szCs w:val="20"/>
                <w:color w:val="auto"/>
              </w:rPr>
            </w:pPr>
            <w:r>
              <w:rPr>
                <w:rFonts w:ascii="Arial" w:cs="Arial" w:eastAsia="Arial" w:hAnsi="Arial"/>
                <w:sz w:val="16"/>
                <w:szCs w:val="16"/>
                <w:color w:val="auto"/>
              </w:rPr>
              <w:t>Chairman</w:t>
            </w:r>
          </w:p>
        </w:tc>
        <w:tc>
          <w:tcPr>
            <w:tcW w:w="308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$5,000</w:t>
            </w:r>
          </w:p>
        </w:tc>
        <w:tc>
          <w:tcPr>
            <w:tcW w:w="30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$5,000</w:t>
            </w:r>
          </w:p>
        </w:tc>
      </w:tr>
    </w:tbl>
    <w:p>
      <w:pPr>
        <w:spacing w:after="0" w:line="31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following table sets forth the total compensation paid to our non-employee directors in fiscal 2024. Dr. Anzalone’s compensation is set forth in the discussion of Executive Compensation and in the Summary Compensation Table.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shd w:val="clear" w:color="auto" w:fill="0071CE"/>
          </w:tcPr>
          <w:p>
            <w:pPr>
              <w:spacing w:after="0"/>
              <w:rPr>
                <w:sz w:val="14"/>
                <w:szCs w:val="14"/>
                <w:color w:val="auto"/>
              </w:rPr>
            </w:pPr>
          </w:p>
        </w:tc>
        <w:tc>
          <w:tcPr>
            <w:tcW w:w="2040" w:type="dxa"/>
            <w:vAlign w:val="bottom"/>
            <w:shd w:val="clear" w:color="auto" w:fill="0071CE"/>
          </w:tcPr>
          <w:p>
            <w:pPr>
              <w:jc w:val="center"/>
              <w:ind w:right="17"/>
              <w:spacing w:after="0"/>
              <w:rPr>
                <w:sz w:val="20"/>
                <w:szCs w:val="20"/>
                <w:color w:val="auto"/>
              </w:rPr>
            </w:pPr>
            <w:r>
              <w:rPr>
                <w:rFonts w:ascii="Arial" w:cs="Arial" w:eastAsia="Arial" w:hAnsi="Arial"/>
                <w:sz w:val="14"/>
                <w:szCs w:val="14"/>
                <w:b w:val="1"/>
                <w:bCs w:val="1"/>
                <w:color w:val="FFFFFF"/>
              </w:rPr>
              <w:t>Fee Earned</w:t>
            </w:r>
          </w:p>
        </w:tc>
        <w:tc>
          <w:tcPr>
            <w:tcW w:w="200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198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5200" w:type="dxa"/>
            <w:vAlign w:val="bottom"/>
            <w:shd w:val="clear" w:color="auto" w:fill="0071CE"/>
          </w:tcPr>
          <w:p>
            <w:pPr>
              <w:spacing w:after="0"/>
              <w:rPr>
                <w:sz w:val="5"/>
                <w:szCs w:val="5"/>
                <w:color w:val="auto"/>
              </w:rPr>
            </w:pPr>
          </w:p>
        </w:tc>
        <w:tc>
          <w:tcPr>
            <w:tcW w:w="2040" w:type="dxa"/>
            <w:vAlign w:val="bottom"/>
            <w:vMerge w:val="restart"/>
            <w:shd w:val="clear" w:color="auto" w:fill="0071CE"/>
          </w:tcPr>
          <w:p>
            <w:pPr>
              <w:jc w:val="center"/>
              <w:ind w:right="17"/>
              <w:spacing w:after="0" w:line="139" w:lineRule="exact"/>
              <w:rPr>
                <w:sz w:val="20"/>
                <w:szCs w:val="20"/>
                <w:color w:val="auto"/>
              </w:rPr>
            </w:pPr>
            <w:r>
              <w:rPr>
                <w:rFonts w:ascii="Arial" w:cs="Arial" w:eastAsia="Arial" w:hAnsi="Arial"/>
                <w:sz w:val="14"/>
                <w:szCs w:val="14"/>
                <w:b w:val="1"/>
                <w:bCs w:val="1"/>
                <w:color w:val="FFFFFF"/>
                <w:w w:val="99"/>
              </w:rPr>
              <w:t>or</w:t>
            </w:r>
          </w:p>
        </w:tc>
        <w:tc>
          <w:tcPr>
            <w:tcW w:w="2000" w:type="dxa"/>
            <w:vAlign w:val="bottom"/>
            <w:vMerge w:val="continue"/>
            <w:shd w:val="clear" w:color="auto" w:fill="0071CE"/>
          </w:tcPr>
          <w:p>
            <w:pPr>
              <w:spacing w:after="0"/>
              <w:rPr>
                <w:sz w:val="5"/>
                <w:szCs w:val="5"/>
                <w:color w:val="auto"/>
              </w:rPr>
            </w:pPr>
          </w:p>
        </w:tc>
        <w:tc>
          <w:tcPr>
            <w:tcW w:w="1980" w:type="dxa"/>
            <w:vAlign w:val="bottom"/>
            <w:shd w:val="clear" w:color="auto" w:fill="0071C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5200" w:type="dxa"/>
            <w:vAlign w:val="bottom"/>
            <w:vMerge w:val="restart"/>
            <w:shd w:val="clear" w:color="auto" w:fill="0071CE"/>
          </w:tcPr>
          <w:p>
            <w:pPr>
              <w:ind w:left="2420"/>
              <w:spacing w:after="0" w:line="149" w:lineRule="exact"/>
              <w:rPr>
                <w:sz w:val="20"/>
                <w:szCs w:val="20"/>
                <w:color w:val="auto"/>
              </w:rPr>
            </w:pPr>
            <w:r>
              <w:rPr>
                <w:rFonts w:ascii="Arial" w:cs="Arial" w:eastAsia="Arial" w:hAnsi="Arial"/>
                <w:sz w:val="14"/>
                <w:szCs w:val="14"/>
                <w:b w:val="1"/>
                <w:bCs w:val="1"/>
                <w:color w:val="FFFFFF"/>
              </w:rPr>
              <w:t>Name</w:t>
            </w:r>
          </w:p>
        </w:tc>
        <w:tc>
          <w:tcPr>
            <w:tcW w:w="2040" w:type="dxa"/>
            <w:vAlign w:val="bottom"/>
            <w:vMerge w:val="continue"/>
            <w:shd w:val="clear" w:color="auto" w:fill="0071CE"/>
          </w:tcPr>
          <w:p>
            <w:pPr>
              <w:spacing w:after="0"/>
              <w:rPr>
                <w:sz w:val="6"/>
                <w:szCs w:val="6"/>
                <w:color w:val="auto"/>
              </w:rPr>
            </w:pPr>
          </w:p>
        </w:tc>
        <w:tc>
          <w:tcPr>
            <w:tcW w:w="2000" w:type="dxa"/>
            <w:vAlign w:val="bottom"/>
            <w:vMerge w:val="restart"/>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Awards ($)</w:t>
            </w:r>
          </w:p>
        </w:tc>
        <w:tc>
          <w:tcPr>
            <w:tcW w:w="1980" w:type="dxa"/>
            <w:vAlign w:val="bottom"/>
            <w:vMerge w:val="restart"/>
            <w:shd w:val="clear" w:color="auto" w:fill="0071CE"/>
          </w:tcPr>
          <w:p>
            <w:pPr>
              <w:jc w:val="right"/>
              <w:ind w:right="632"/>
              <w:spacing w:after="0" w:line="149" w:lineRule="exact"/>
              <w:rPr>
                <w:sz w:val="20"/>
                <w:szCs w:val="20"/>
                <w:color w:val="auto"/>
              </w:rPr>
            </w:pPr>
            <w:r>
              <w:rPr>
                <w:rFonts w:ascii="Arial" w:cs="Arial" w:eastAsia="Arial" w:hAnsi="Arial"/>
                <w:sz w:val="14"/>
                <w:szCs w:val="14"/>
                <w:b w:val="1"/>
                <w:bCs w:val="1"/>
                <w:color w:val="FFFFFF"/>
              </w:rPr>
              <w:t>Total ($)</w:t>
            </w:r>
          </w:p>
        </w:tc>
        <w:tc>
          <w:tcPr>
            <w:tcW w:w="0" w:type="dxa"/>
            <w:vAlign w:val="bottom"/>
          </w:tcPr>
          <w:p>
            <w:pPr>
              <w:spacing w:after="0"/>
              <w:rPr>
                <w:sz w:val="1"/>
                <w:szCs w:val="1"/>
                <w:color w:val="auto"/>
              </w:rPr>
            </w:pPr>
          </w:p>
        </w:tc>
      </w:tr>
      <w:tr>
        <w:trPr>
          <w:trHeight w:val="77"/>
        </w:trPr>
        <w:tc>
          <w:tcPr>
            <w:tcW w:w="5200" w:type="dxa"/>
            <w:vAlign w:val="bottom"/>
            <w:vMerge w:val="continue"/>
            <w:shd w:val="clear" w:color="auto" w:fill="0071CE"/>
          </w:tcPr>
          <w:p>
            <w:pPr>
              <w:spacing w:after="0"/>
              <w:rPr>
                <w:sz w:val="6"/>
                <w:szCs w:val="6"/>
                <w:color w:val="auto"/>
              </w:rPr>
            </w:pPr>
          </w:p>
        </w:tc>
        <w:tc>
          <w:tcPr>
            <w:tcW w:w="2040" w:type="dxa"/>
            <w:vAlign w:val="bottom"/>
            <w:vMerge w:val="restart"/>
            <w:shd w:val="clear" w:color="auto" w:fill="0071CE"/>
          </w:tcPr>
          <w:p>
            <w:pPr>
              <w:jc w:val="center"/>
              <w:ind w:right="17"/>
              <w:spacing w:after="0" w:line="145" w:lineRule="exact"/>
              <w:rPr>
                <w:sz w:val="20"/>
                <w:szCs w:val="20"/>
                <w:color w:val="auto"/>
              </w:rPr>
            </w:pPr>
            <w:r>
              <w:rPr>
                <w:rFonts w:ascii="Arial" w:cs="Arial" w:eastAsia="Arial" w:hAnsi="Arial"/>
                <w:sz w:val="14"/>
                <w:szCs w:val="14"/>
                <w:b w:val="1"/>
                <w:bCs w:val="1"/>
                <w:color w:val="FFFFFF"/>
              </w:rPr>
              <w:t>Paid in Cash</w:t>
            </w:r>
          </w:p>
        </w:tc>
        <w:tc>
          <w:tcPr>
            <w:tcW w:w="2000" w:type="dxa"/>
            <w:vAlign w:val="bottom"/>
            <w:vMerge w:val="continue"/>
            <w:shd w:val="clear" w:color="auto" w:fill="0071CE"/>
          </w:tcPr>
          <w:p>
            <w:pPr>
              <w:spacing w:after="0"/>
              <w:rPr>
                <w:sz w:val="6"/>
                <w:szCs w:val="6"/>
                <w:color w:val="auto"/>
              </w:rPr>
            </w:pPr>
          </w:p>
        </w:tc>
        <w:tc>
          <w:tcPr>
            <w:tcW w:w="1980" w:type="dxa"/>
            <w:vAlign w:val="bottom"/>
            <w:vMerge w:val="continue"/>
            <w:shd w:val="clear" w:color="auto" w:fill="0071C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5200" w:type="dxa"/>
            <w:vAlign w:val="bottom"/>
            <w:shd w:val="clear" w:color="auto" w:fill="0071CE"/>
          </w:tcPr>
          <w:p>
            <w:pPr>
              <w:spacing w:after="0"/>
              <w:rPr>
                <w:sz w:val="5"/>
                <w:szCs w:val="5"/>
                <w:color w:val="auto"/>
              </w:rPr>
            </w:pPr>
          </w:p>
        </w:tc>
        <w:tc>
          <w:tcPr>
            <w:tcW w:w="2040" w:type="dxa"/>
            <w:vAlign w:val="bottom"/>
            <w:vMerge w:val="continue"/>
            <w:shd w:val="clear" w:color="auto" w:fill="0071CE"/>
          </w:tcPr>
          <w:p>
            <w:pPr>
              <w:spacing w:after="0"/>
              <w:rPr>
                <w:sz w:val="5"/>
                <w:szCs w:val="5"/>
                <w:color w:val="auto"/>
              </w:rPr>
            </w:pPr>
          </w:p>
        </w:tc>
        <w:tc>
          <w:tcPr>
            <w:tcW w:w="200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w w:val="99"/>
              </w:rPr>
              <w:t>(1) (2)</w:t>
            </w:r>
          </w:p>
        </w:tc>
        <w:tc>
          <w:tcPr>
            <w:tcW w:w="1980" w:type="dxa"/>
            <w:vAlign w:val="bottom"/>
            <w:shd w:val="clear" w:color="auto" w:fill="0071C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5200" w:type="dxa"/>
            <w:vAlign w:val="bottom"/>
            <w:shd w:val="clear" w:color="auto" w:fill="0071CE"/>
          </w:tcPr>
          <w:p>
            <w:pPr>
              <w:spacing w:after="0"/>
              <w:rPr>
                <w:sz w:val="11"/>
                <w:szCs w:val="11"/>
                <w:color w:val="auto"/>
              </w:rPr>
            </w:pPr>
          </w:p>
        </w:tc>
        <w:tc>
          <w:tcPr>
            <w:tcW w:w="2040" w:type="dxa"/>
            <w:vAlign w:val="bottom"/>
            <w:vMerge w:val="restart"/>
            <w:shd w:val="clear" w:color="auto" w:fill="0071CE"/>
          </w:tcPr>
          <w:p>
            <w:pPr>
              <w:jc w:val="center"/>
              <w:ind w:right="17"/>
              <w:spacing w:after="0"/>
              <w:rPr>
                <w:sz w:val="20"/>
                <w:szCs w:val="20"/>
                <w:color w:val="auto"/>
              </w:rPr>
            </w:pPr>
            <w:r>
              <w:rPr>
                <w:rFonts w:ascii="Arial" w:cs="Arial" w:eastAsia="Arial" w:hAnsi="Arial"/>
                <w:sz w:val="14"/>
                <w:szCs w:val="14"/>
                <w:b w:val="1"/>
                <w:bCs w:val="1"/>
                <w:color w:val="FFFFFF"/>
              </w:rPr>
              <w:t>($)</w:t>
            </w:r>
          </w:p>
        </w:tc>
        <w:tc>
          <w:tcPr>
            <w:tcW w:w="2000" w:type="dxa"/>
            <w:vAlign w:val="bottom"/>
            <w:vMerge w:val="continue"/>
            <w:shd w:val="clear" w:color="auto" w:fill="0071CE"/>
          </w:tcPr>
          <w:p>
            <w:pPr>
              <w:spacing w:after="0"/>
              <w:rPr>
                <w:sz w:val="11"/>
                <w:szCs w:val="11"/>
                <w:color w:val="auto"/>
              </w:rPr>
            </w:pPr>
          </w:p>
        </w:tc>
        <w:tc>
          <w:tcPr>
            <w:tcW w:w="1980" w:type="dxa"/>
            <w:vAlign w:val="bottom"/>
            <w:shd w:val="clear" w:color="auto" w:fill="0071C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5200" w:type="dxa"/>
            <w:vAlign w:val="bottom"/>
            <w:tcBorders>
              <w:bottom w:val="single" w:sz="8" w:color="0071CE"/>
            </w:tcBorders>
            <w:shd w:val="clear" w:color="auto" w:fill="0071CE"/>
          </w:tcPr>
          <w:p>
            <w:pPr>
              <w:spacing w:after="0"/>
              <w:rPr>
                <w:sz w:val="8"/>
                <w:szCs w:val="8"/>
                <w:color w:val="auto"/>
              </w:rPr>
            </w:pPr>
          </w:p>
        </w:tc>
        <w:tc>
          <w:tcPr>
            <w:tcW w:w="2040" w:type="dxa"/>
            <w:vAlign w:val="bottom"/>
            <w:tcBorders>
              <w:bottom w:val="single" w:sz="8" w:color="0071CE"/>
            </w:tcBorders>
            <w:vMerge w:val="continue"/>
            <w:shd w:val="clear" w:color="auto" w:fill="0071CE"/>
          </w:tcPr>
          <w:p>
            <w:pPr>
              <w:spacing w:after="0"/>
              <w:rPr>
                <w:sz w:val="8"/>
                <w:szCs w:val="8"/>
                <w:color w:val="auto"/>
              </w:rPr>
            </w:pPr>
          </w:p>
        </w:tc>
        <w:tc>
          <w:tcPr>
            <w:tcW w:w="2000" w:type="dxa"/>
            <w:vAlign w:val="bottom"/>
            <w:tcBorders>
              <w:bottom w:val="single" w:sz="8" w:color="0071CE"/>
            </w:tcBorders>
            <w:shd w:val="clear" w:color="auto" w:fill="0071CE"/>
          </w:tcPr>
          <w:p>
            <w:pPr>
              <w:spacing w:after="0"/>
              <w:rPr>
                <w:sz w:val="8"/>
                <w:szCs w:val="8"/>
                <w:color w:val="auto"/>
              </w:rPr>
            </w:pPr>
          </w:p>
        </w:tc>
        <w:tc>
          <w:tcPr>
            <w:tcW w:w="1980" w:type="dxa"/>
            <w:vAlign w:val="bottom"/>
            <w:tcBorders>
              <w:bottom w:val="single" w:sz="8" w:color="0071CE"/>
            </w:tcBorders>
            <w:shd w:val="clear" w:color="auto" w:fill="0071C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 xml:space="preserve">Douglass Given </w:t>
            </w:r>
            <w:r>
              <w:rPr>
                <w:rFonts w:ascii="Arial" w:cs="Arial" w:eastAsia="Arial" w:hAnsi="Arial"/>
                <w:sz w:val="14"/>
                <w:szCs w:val="14"/>
                <w:color w:val="auto"/>
              </w:rPr>
              <w:t>(3)</w:t>
            </w:r>
          </w:p>
        </w:tc>
        <w:tc>
          <w:tcPr>
            <w:tcW w:w="20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8"/>
              </w:rPr>
              <w:t>$95,000</w:t>
            </w:r>
          </w:p>
        </w:tc>
        <w:tc>
          <w:tcPr>
            <w:tcW w:w="20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8"/>
              </w:rPr>
              <w:t>$380,833</w:t>
            </w:r>
          </w:p>
        </w:tc>
        <w:tc>
          <w:tcPr>
            <w:tcW w:w="1980" w:type="dxa"/>
            <w:vAlign w:val="bottom"/>
            <w:shd w:val="clear" w:color="auto" w:fill="E5E5E5"/>
          </w:tcPr>
          <w:p>
            <w:pPr>
              <w:jc w:val="right"/>
              <w:ind w:right="492"/>
              <w:spacing w:after="0"/>
              <w:rPr>
                <w:sz w:val="20"/>
                <w:szCs w:val="20"/>
                <w:color w:val="auto"/>
              </w:rPr>
            </w:pPr>
            <w:r>
              <w:rPr>
                <w:rFonts w:ascii="Arial" w:cs="Arial" w:eastAsia="Arial" w:hAnsi="Arial"/>
                <w:sz w:val="18"/>
                <w:szCs w:val="18"/>
                <w:color w:val="auto"/>
              </w:rPr>
              <w:t>$475,833</w:t>
            </w:r>
          </w:p>
        </w:tc>
        <w:tc>
          <w:tcPr>
            <w:tcW w:w="0" w:type="dxa"/>
            <w:vAlign w:val="bottom"/>
          </w:tcPr>
          <w:p>
            <w:pPr>
              <w:spacing w:after="0"/>
              <w:rPr>
                <w:sz w:val="1"/>
                <w:szCs w:val="1"/>
                <w:color w:val="auto"/>
              </w:rPr>
            </w:pPr>
          </w:p>
        </w:tc>
      </w:tr>
      <w:tr>
        <w:trPr>
          <w:trHeight w:val="229"/>
        </w:trPr>
        <w:tc>
          <w:tcPr>
            <w:tcW w:w="5200" w:type="dxa"/>
            <w:vAlign w:val="bottom"/>
          </w:tcPr>
          <w:p>
            <w:pPr>
              <w:ind w:left="120"/>
              <w:spacing w:after="0"/>
              <w:rPr>
                <w:sz w:val="20"/>
                <w:szCs w:val="20"/>
                <w:color w:val="auto"/>
              </w:rPr>
            </w:pPr>
            <w:r>
              <w:rPr>
                <w:rFonts w:ascii="Arial" w:cs="Arial" w:eastAsia="Arial" w:hAnsi="Arial"/>
                <w:sz w:val="16"/>
                <w:szCs w:val="16"/>
                <w:color w:val="auto"/>
              </w:rPr>
              <w:t>Michael S. Perry</w:t>
            </w:r>
          </w:p>
        </w:tc>
        <w:tc>
          <w:tcPr>
            <w:tcW w:w="2040" w:type="dxa"/>
            <w:vAlign w:val="bottom"/>
          </w:tcPr>
          <w:p>
            <w:pPr>
              <w:jc w:val="center"/>
              <w:spacing w:after="0"/>
              <w:rPr>
                <w:sz w:val="20"/>
                <w:szCs w:val="20"/>
                <w:color w:val="auto"/>
              </w:rPr>
            </w:pPr>
            <w:r>
              <w:rPr>
                <w:rFonts w:ascii="Arial" w:cs="Arial" w:eastAsia="Arial" w:hAnsi="Arial"/>
                <w:sz w:val="18"/>
                <w:szCs w:val="18"/>
                <w:color w:val="auto"/>
                <w:w w:val="98"/>
              </w:rPr>
              <w:t>$80,000</w:t>
            </w:r>
          </w:p>
        </w:tc>
        <w:tc>
          <w:tcPr>
            <w:tcW w:w="2000" w:type="dxa"/>
            <w:vAlign w:val="bottom"/>
          </w:tcPr>
          <w:p>
            <w:pPr>
              <w:jc w:val="center"/>
              <w:spacing w:after="0"/>
              <w:rPr>
                <w:sz w:val="20"/>
                <w:szCs w:val="20"/>
                <w:color w:val="auto"/>
              </w:rPr>
            </w:pPr>
            <w:r>
              <w:rPr>
                <w:rFonts w:ascii="Arial" w:cs="Arial" w:eastAsia="Arial" w:hAnsi="Arial"/>
                <w:sz w:val="18"/>
                <w:szCs w:val="18"/>
                <w:color w:val="auto"/>
                <w:w w:val="98"/>
              </w:rPr>
              <w:t>$380,833</w:t>
            </w:r>
          </w:p>
        </w:tc>
        <w:tc>
          <w:tcPr>
            <w:tcW w:w="1980" w:type="dxa"/>
            <w:vAlign w:val="bottom"/>
          </w:tcPr>
          <w:p>
            <w:pPr>
              <w:jc w:val="right"/>
              <w:ind w:right="492"/>
              <w:spacing w:after="0"/>
              <w:rPr>
                <w:sz w:val="20"/>
                <w:szCs w:val="20"/>
                <w:color w:val="auto"/>
              </w:rPr>
            </w:pPr>
            <w:r>
              <w:rPr>
                <w:rFonts w:ascii="Arial" w:cs="Arial" w:eastAsia="Arial" w:hAnsi="Arial"/>
                <w:sz w:val="18"/>
                <w:szCs w:val="18"/>
                <w:color w:val="auto"/>
              </w:rPr>
              <w:t>$460,833</w:t>
            </w:r>
          </w:p>
        </w:tc>
        <w:tc>
          <w:tcPr>
            <w:tcW w:w="0" w:type="dxa"/>
            <w:vAlign w:val="bottom"/>
          </w:tcPr>
          <w:p>
            <w:pPr>
              <w:spacing w:after="0"/>
              <w:rPr>
                <w:sz w:val="1"/>
                <w:szCs w:val="1"/>
                <w:color w:val="auto"/>
              </w:rPr>
            </w:pPr>
          </w:p>
        </w:tc>
      </w:tr>
      <w:tr>
        <w:trPr>
          <w:trHeight w:val="230"/>
        </w:trPr>
        <w:tc>
          <w:tcPr>
            <w:tcW w:w="52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Mauro Ferrari</w:t>
            </w:r>
          </w:p>
        </w:tc>
        <w:tc>
          <w:tcPr>
            <w:tcW w:w="20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8"/>
              </w:rPr>
              <w:t>$80,000</w:t>
            </w:r>
          </w:p>
        </w:tc>
        <w:tc>
          <w:tcPr>
            <w:tcW w:w="20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8"/>
              </w:rPr>
              <w:t>$380,833</w:t>
            </w:r>
          </w:p>
        </w:tc>
        <w:tc>
          <w:tcPr>
            <w:tcW w:w="1980" w:type="dxa"/>
            <w:vAlign w:val="bottom"/>
            <w:shd w:val="clear" w:color="auto" w:fill="E5E5E5"/>
          </w:tcPr>
          <w:p>
            <w:pPr>
              <w:jc w:val="right"/>
              <w:ind w:right="492"/>
              <w:spacing w:after="0"/>
              <w:rPr>
                <w:sz w:val="20"/>
                <w:szCs w:val="20"/>
                <w:color w:val="auto"/>
              </w:rPr>
            </w:pPr>
            <w:r>
              <w:rPr>
                <w:rFonts w:ascii="Arial" w:cs="Arial" w:eastAsia="Arial" w:hAnsi="Arial"/>
                <w:sz w:val="18"/>
                <w:szCs w:val="18"/>
                <w:color w:val="auto"/>
              </w:rPr>
              <w:t>$460,833</w:t>
            </w:r>
          </w:p>
        </w:tc>
        <w:tc>
          <w:tcPr>
            <w:tcW w:w="0" w:type="dxa"/>
            <w:vAlign w:val="bottom"/>
          </w:tcPr>
          <w:p>
            <w:pPr>
              <w:spacing w:after="0"/>
              <w:rPr>
                <w:sz w:val="1"/>
                <w:szCs w:val="1"/>
                <w:color w:val="auto"/>
              </w:rPr>
            </w:pPr>
          </w:p>
        </w:tc>
      </w:tr>
      <w:tr>
        <w:trPr>
          <w:trHeight w:val="230"/>
        </w:trPr>
        <w:tc>
          <w:tcPr>
            <w:tcW w:w="5200" w:type="dxa"/>
            <w:vAlign w:val="bottom"/>
          </w:tcPr>
          <w:p>
            <w:pPr>
              <w:ind w:left="120"/>
              <w:spacing w:after="0"/>
              <w:rPr>
                <w:sz w:val="20"/>
                <w:szCs w:val="20"/>
                <w:color w:val="auto"/>
              </w:rPr>
            </w:pPr>
            <w:r>
              <w:rPr>
                <w:rFonts w:ascii="Arial" w:cs="Arial" w:eastAsia="Arial" w:hAnsi="Arial"/>
                <w:sz w:val="16"/>
                <w:szCs w:val="16"/>
                <w:color w:val="auto"/>
              </w:rPr>
              <w:t>William Waddill</w:t>
            </w:r>
          </w:p>
        </w:tc>
        <w:tc>
          <w:tcPr>
            <w:tcW w:w="2040" w:type="dxa"/>
            <w:vAlign w:val="bottom"/>
          </w:tcPr>
          <w:p>
            <w:pPr>
              <w:jc w:val="center"/>
              <w:spacing w:after="0"/>
              <w:rPr>
                <w:sz w:val="20"/>
                <w:szCs w:val="20"/>
                <w:color w:val="auto"/>
              </w:rPr>
            </w:pPr>
            <w:r>
              <w:rPr>
                <w:rFonts w:ascii="Arial" w:cs="Arial" w:eastAsia="Arial" w:hAnsi="Arial"/>
                <w:sz w:val="18"/>
                <w:szCs w:val="18"/>
                <w:color w:val="auto"/>
                <w:w w:val="98"/>
              </w:rPr>
              <w:t>$90,000</w:t>
            </w:r>
          </w:p>
        </w:tc>
        <w:tc>
          <w:tcPr>
            <w:tcW w:w="2000" w:type="dxa"/>
            <w:vAlign w:val="bottom"/>
          </w:tcPr>
          <w:p>
            <w:pPr>
              <w:jc w:val="center"/>
              <w:spacing w:after="0"/>
              <w:rPr>
                <w:sz w:val="20"/>
                <w:szCs w:val="20"/>
                <w:color w:val="auto"/>
              </w:rPr>
            </w:pPr>
            <w:r>
              <w:rPr>
                <w:rFonts w:ascii="Arial" w:cs="Arial" w:eastAsia="Arial" w:hAnsi="Arial"/>
                <w:sz w:val="18"/>
                <w:szCs w:val="18"/>
                <w:color w:val="auto"/>
                <w:w w:val="98"/>
              </w:rPr>
              <w:t>$380,833</w:t>
            </w:r>
          </w:p>
        </w:tc>
        <w:tc>
          <w:tcPr>
            <w:tcW w:w="1980" w:type="dxa"/>
            <w:vAlign w:val="bottom"/>
          </w:tcPr>
          <w:p>
            <w:pPr>
              <w:jc w:val="right"/>
              <w:ind w:right="492"/>
              <w:spacing w:after="0"/>
              <w:rPr>
                <w:sz w:val="20"/>
                <w:szCs w:val="20"/>
                <w:color w:val="auto"/>
              </w:rPr>
            </w:pPr>
            <w:r>
              <w:rPr>
                <w:rFonts w:ascii="Arial" w:cs="Arial" w:eastAsia="Arial" w:hAnsi="Arial"/>
                <w:sz w:val="18"/>
                <w:szCs w:val="18"/>
                <w:color w:val="auto"/>
              </w:rPr>
              <w:t>$470,833</w:t>
            </w:r>
          </w:p>
        </w:tc>
        <w:tc>
          <w:tcPr>
            <w:tcW w:w="0" w:type="dxa"/>
            <w:vAlign w:val="bottom"/>
          </w:tcPr>
          <w:p>
            <w:pPr>
              <w:spacing w:after="0"/>
              <w:rPr>
                <w:sz w:val="1"/>
                <w:szCs w:val="1"/>
                <w:color w:val="auto"/>
              </w:rPr>
            </w:pPr>
          </w:p>
        </w:tc>
      </w:tr>
      <w:tr>
        <w:trPr>
          <w:trHeight w:val="230"/>
        </w:trPr>
        <w:tc>
          <w:tcPr>
            <w:tcW w:w="52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 xml:space="preserve">Hongbo Lu </w:t>
            </w:r>
            <w:r>
              <w:rPr>
                <w:rFonts w:ascii="Arial" w:cs="Arial" w:eastAsia="Arial" w:hAnsi="Arial"/>
                <w:sz w:val="14"/>
                <w:szCs w:val="14"/>
                <w:color w:val="auto"/>
              </w:rPr>
              <w:t>(4)(5)</w:t>
            </w:r>
          </w:p>
        </w:tc>
        <w:tc>
          <w:tcPr>
            <w:tcW w:w="20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8"/>
              </w:rPr>
              <w:t>$43,333</w:t>
            </w:r>
          </w:p>
        </w:tc>
        <w:tc>
          <w:tcPr>
            <w:tcW w:w="20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8"/>
              </w:rPr>
              <w:t>$761,666</w:t>
            </w:r>
          </w:p>
        </w:tc>
        <w:tc>
          <w:tcPr>
            <w:tcW w:w="1980" w:type="dxa"/>
            <w:vAlign w:val="bottom"/>
            <w:shd w:val="clear" w:color="auto" w:fill="E5E5E5"/>
          </w:tcPr>
          <w:p>
            <w:pPr>
              <w:jc w:val="right"/>
              <w:ind w:right="492"/>
              <w:spacing w:after="0"/>
              <w:rPr>
                <w:sz w:val="20"/>
                <w:szCs w:val="20"/>
                <w:color w:val="auto"/>
              </w:rPr>
            </w:pPr>
            <w:r>
              <w:rPr>
                <w:rFonts w:ascii="Arial" w:cs="Arial" w:eastAsia="Arial" w:hAnsi="Arial"/>
                <w:sz w:val="18"/>
                <w:szCs w:val="18"/>
                <w:color w:val="auto"/>
              </w:rPr>
              <w:t>$804,999</w:t>
            </w:r>
          </w:p>
        </w:tc>
        <w:tc>
          <w:tcPr>
            <w:tcW w:w="0" w:type="dxa"/>
            <w:vAlign w:val="bottom"/>
          </w:tcPr>
          <w:p>
            <w:pPr>
              <w:spacing w:after="0"/>
              <w:rPr>
                <w:sz w:val="1"/>
                <w:szCs w:val="1"/>
                <w:color w:val="auto"/>
              </w:rPr>
            </w:pPr>
          </w:p>
        </w:tc>
      </w:tr>
      <w:tr>
        <w:trPr>
          <w:trHeight w:val="229"/>
        </w:trPr>
        <w:tc>
          <w:tcPr>
            <w:tcW w:w="5200" w:type="dxa"/>
            <w:vAlign w:val="bottom"/>
          </w:tcPr>
          <w:p>
            <w:pPr>
              <w:ind w:left="120"/>
              <w:spacing w:after="0"/>
              <w:rPr>
                <w:sz w:val="20"/>
                <w:szCs w:val="20"/>
                <w:color w:val="auto"/>
              </w:rPr>
            </w:pPr>
            <w:r>
              <w:rPr>
                <w:rFonts w:ascii="Arial" w:cs="Arial" w:eastAsia="Arial" w:hAnsi="Arial"/>
                <w:sz w:val="16"/>
                <w:szCs w:val="16"/>
                <w:color w:val="auto"/>
              </w:rPr>
              <w:t>Adeoye Olukotun</w:t>
            </w:r>
          </w:p>
        </w:tc>
        <w:tc>
          <w:tcPr>
            <w:tcW w:w="2040" w:type="dxa"/>
            <w:vAlign w:val="bottom"/>
          </w:tcPr>
          <w:p>
            <w:pPr>
              <w:jc w:val="center"/>
              <w:spacing w:after="0"/>
              <w:rPr>
                <w:sz w:val="20"/>
                <w:szCs w:val="20"/>
                <w:color w:val="auto"/>
              </w:rPr>
            </w:pPr>
            <w:r>
              <w:rPr>
                <w:rFonts w:ascii="Arial" w:cs="Arial" w:eastAsia="Arial" w:hAnsi="Arial"/>
                <w:sz w:val="18"/>
                <w:szCs w:val="18"/>
                <w:color w:val="auto"/>
                <w:w w:val="98"/>
              </w:rPr>
              <w:t>$80,000</w:t>
            </w:r>
          </w:p>
        </w:tc>
        <w:tc>
          <w:tcPr>
            <w:tcW w:w="2000" w:type="dxa"/>
            <w:vAlign w:val="bottom"/>
          </w:tcPr>
          <w:p>
            <w:pPr>
              <w:jc w:val="center"/>
              <w:spacing w:after="0"/>
              <w:rPr>
                <w:sz w:val="20"/>
                <w:szCs w:val="20"/>
                <w:color w:val="auto"/>
              </w:rPr>
            </w:pPr>
            <w:r>
              <w:rPr>
                <w:rFonts w:ascii="Arial" w:cs="Arial" w:eastAsia="Arial" w:hAnsi="Arial"/>
                <w:sz w:val="18"/>
                <w:szCs w:val="18"/>
                <w:color w:val="auto"/>
                <w:w w:val="98"/>
              </w:rPr>
              <w:t>$380,833</w:t>
            </w:r>
          </w:p>
        </w:tc>
        <w:tc>
          <w:tcPr>
            <w:tcW w:w="1980" w:type="dxa"/>
            <w:vAlign w:val="bottom"/>
          </w:tcPr>
          <w:p>
            <w:pPr>
              <w:jc w:val="right"/>
              <w:ind w:right="492"/>
              <w:spacing w:after="0"/>
              <w:rPr>
                <w:sz w:val="20"/>
                <w:szCs w:val="20"/>
                <w:color w:val="auto"/>
              </w:rPr>
            </w:pPr>
            <w:r>
              <w:rPr>
                <w:rFonts w:ascii="Arial" w:cs="Arial" w:eastAsia="Arial" w:hAnsi="Arial"/>
                <w:sz w:val="18"/>
                <w:szCs w:val="18"/>
                <w:color w:val="auto"/>
              </w:rPr>
              <w:t>$460,833</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026DCE"/>
            </w:tcBorders>
            <w:shd w:val="clear" w:color="auto" w:fill="E5E5E5"/>
          </w:tcPr>
          <w:p>
            <w:pPr>
              <w:ind w:left="120"/>
              <w:spacing w:after="0"/>
              <w:rPr>
                <w:sz w:val="20"/>
                <w:szCs w:val="20"/>
                <w:color w:val="auto"/>
              </w:rPr>
            </w:pPr>
            <w:r>
              <w:rPr>
                <w:rFonts w:ascii="Arial" w:cs="Arial" w:eastAsia="Arial" w:hAnsi="Arial"/>
                <w:sz w:val="16"/>
                <w:szCs w:val="16"/>
                <w:color w:val="auto"/>
              </w:rPr>
              <w:t>Victoria Vakiener</w:t>
            </w:r>
          </w:p>
        </w:tc>
        <w:tc>
          <w:tcPr>
            <w:tcW w:w="2040" w:type="dxa"/>
            <w:vAlign w:val="bottom"/>
            <w:tcBorders>
              <w:bottom w:val="single" w:sz="8" w:color="026DCE"/>
            </w:tcBorders>
            <w:shd w:val="clear" w:color="auto" w:fill="E5E5E5"/>
          </w:tcPr>
          <w:p>
            <w:pPr>
              <w:jc w:val="center"/>
              <w:spacing w:after="0"/>
              <w:rPr>
                <w:sz w:val="20"/>
                <w:szCs w:val="20"/>
                <w:color w:val="auto"/>
              </w:rPr>
            </w:pPr>
            <w:r>
              <w:rPr>
                <w:rFonts w:ascii="Arial" w:cs="Arial" w:eastAsia="Arial" w:hAnsi="Arial"/>
                <w:sz w:val="18"/>
                <w:szCs w:val="18"/>
                <w:color w:val="auto"/>
                <w:w w:val="98"/>
              </w:rPr>
              <w:t>$80,000</w:t>
            </w:r>
          </w:p>
        </w:tc>
        <w:tc>
          <w:tcPr>
            <w:tcW w:w="2000" w:type="dxa"/>
            <w:vAlign w:val="bottom"/>
            <w:tcBorders>
              <w:bottom w:val="single" w:sz="8" w:color="026DCE"/>
            </w:tcBorders>
            <w:shd w:val="clear" w:color="auto" w:fill="E5E5E5"/>
          </w:tcPr>
          <w:p>
            <w:pPr>
              <w:jc w:val="center"/>
              <w:spacing w:after="0"/>
              <w:rPr>
                <w:sz w:val="20"/>
                <w:szCs w:val="20"/>
                <w:color w:val="auto"/>
              </w:rPr>
            </w:pPr>
            <w:r>
              <w:rPr>
                <w:rFonts w:ascii="Arial" w:cs="Arial" w:eastAsia="Arial" w:hAnsi="Arial"/>
                <w:sz w:val="18"/>
                <w:szCs w:val="18"/>
                <w:color w:val="auto"/>
                <w:w w:val="98"/>
              </w:rPr>
              <w:t>$380,833</w:t>
            </w:r>
          </w:p>
        </w:tc>
        <w:tc>
          <w:tcPr>
            <w:tcW w:w="1980" w:type="dxa"/>
            <w:vAlign w:val="bottom"/>
            <w:tcBorders>
              <w:bottom w:val="single" w:sz="8" w:color="026DCE"/>
            </w:tcBorders>
            <w:shd w:val="clear" w:color="auto" w:fill="E5E5E5"/>
          </w:tcPr>
          <w:p>
            <w:pPr>
              <w:jc w:val="right"/>
              <w:ind w:right="492"/>
              <w:spacing w:after="0"/>
              <w:rPr>
                <w:sz w:val="20"/>
                <w:szCs w:val="20"/>
                <w:color w:val="auto"/>
              </w:rPr>
            </w:pPr>
            <w:r>
              <w:rPr>
                <w:rFonts w:ascii="Arial" w:cs="Arial" w:eastAsia="Arial" w:hAnsi="Arial"/>
                <w:sz w:val="18"/>
                <w:szCs w:val="18"/>
                <w:color w:val="auto"/>
              </w:rPr>
              <w:t>$460,833</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500" w:right="160" w:hanging="492"/>
        <w:spacing w:after="0" w:line="248" w:lineRule="auto"/>
        <w:tabs>
          <w:tab w:leader="none" w:pos="487"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This column represents the total grant date fair value, computed in accordance with ASC 718, of RSUs granted during fiscal year 2024 to each director. The assumptions used to calculate the value of the stock underlying the RSU awards are set forth in Note 9 of the Notes to the Consolidated Financial Statements included with the Company’s Annual Report on Form 10-K.</w:t>
      </w:r>
    </w:p>
    <w:p>
      <w:pPr>
        <w:jc w:val="both"/>
        <w:ind w:left="500" w:hanging="492"/>
        <w:spacing w:after="0" w:line="272" w:lineRule="auto"/>
        <w:tabs>
          <w:tab w:leader="none" w:pos="487"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RSUs granted to non-employee directors vest one year from the date of grant, subject to continued service through the vesting date, with the exception of the RSUs granted to Dr. Lu in connection with her appointment to the Board, which vest in three equal installments on each anniversary of the date of grant , subject to continued service through each such vesting date.</w:t>
      </w:r>
    </w:p>
    <w:p>
      <w:pPr>
        <w:spacing w:after="0" w:line="19" w:lineRule="exact"/>
        <w:rPr>
          <w:rFonts w:ascii="Arial" w:cs="Arial" w:eastAsia="Arial" w:hAnsi="Arial"/>
          <w:sz w:val="14"/>
          <w:szCs w:val="14"/>
          <w:color w:val="auto"/>
        </w:rPr>
      </w:pPr>
    </w:p>
    <w:p>
      <w:pPr>
        <w:ind w:left="480" w:hanging="472"/>
        <w:spacing w:after="0"/>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Douglass Given retired from the Board effective as of December 31, 2024.</w:t>
      </w:r>
    </w:p>
    <w:p>
      <w:pPr>
        <w:spacing w:after="0" w:line="68" w:lineRule="exact"/>
        <w:rPr>
          <w:rFonts w:ascii="Arial" w:cs="Arial" w:eastAsia="Arial" w:hAnsi="Arial"/>
          <w:sz w:val="14"/>
          <w:szCs w:val="14"/>
          <w:color w:val="auto"/>
        </w:rPr>
      </w:pPr>
    </w:p>
    <w:p>
      <w:pPr>
        <w:ind w:left="480" w:hanging="472"/>
        <w:spacing w:after="0"/>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Dr. Lu joined the Board during fiscal year 2024 and her cash compensation was pro-rated for such fiscal year.</w:t>
      </w:r>
    </w:p>
    <w:p>
      <w:pPr>
        <w:spacing w:after="0" w:line="55" w:lineRule="exact"/>
        <w:rPr>
          <w:rFonts w:ascii="Arial" w:cs="Arial" w:eastAsia="Arial" w:hAnsi="Arial"/>
          <w:sz w:val="14"/>
          <w:szCs w:val="14"/>
          <w:color w:val="auto"/>
        </w:rPr>
      </w:pPr>
    </w:p>
    <w:p>
      <w:pPr>
        <w:ind w:left="480" w:hanging="472"/>
        <w:spacing w:after="0"/>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 connection with her appointment, Dr. Lu received a sign-on grant of restricted stock units valued at $761,666.</w:t>
      </w:r>
    </w:p>
    <w:p>
      <w:pPr>
        <w:spacing w:after="0" w:line="347"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As of the last day of fiscal year 2024, the directors held the following outstanding restricted stock unit (“</w:t>
      </w:r>
      <w:r>
        <w:rPr>
          <w:rFonts w:ascii="Arial" w:cs="Arial" w:eastAsia="Arial" w:hAnsi="Arial"/>
          <w:sz w:val="16"/>
          <w:szCs w:val="16"/>
          <w:b w:val="1"/>
          <w:bCs w:val="1"/>
          <w:color w:val="auto"/>
        </w:rPr>
        <w:t>RSU</w:t>
      </w:r>
      <w:r>
        <w:rPr>
          <w:rFonts w:ascii="Arial" w:cs="Arial" w:eastAsia="Arial" w:hAnsi="Arial"/>
          <w:sz w:val="16"/>
          <w:szCs w:val="16"/>
          <w:color w:val="auto"/>
        </w:rPr>
        <w:t>”) grants in the aggregate: Douglass Given — — 19,583; Michael S. Perry — 19,583; Mauro Ferrari —19,583; William Waddill — 19,583; Adeoye Olukotun — 19,583; Victoria Vakiener — 24,722; and Hongbo Lu — 24,080 RSUs.</w:t>
      </w:r>
    </w:p>
    <w:p>
      <w:pPr>
        <w:spacing w:after="0" w:line="192"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As of the last day of fiscal year 2024, the directors held the following outstanding option ("Options") grants in the aggregate: Douglass Given — 4,593; Michael S. Perry — 4,593; Mauro Ferrari —4,593; William Waddill — 4,593; Adeoye Olukotun — 4,593; Victoria Vakiener — 4,593 Options; and Hongbo Lu</w:t>
      </w:r>
    </w:p>
    <w:p>
      <w:pPr>
        <w:spacing w:after="0"/>
        <w:rPr>
          <w:sz w:val="20"/>
          <w:szCs w:val="20"/>
          <w:color w:val="auto"/>
        </w:rPr>
      </w:pPr>
      <w:r>
        <w:rPr>
          <w:rFonts w:ascii="Arial" w:cs="Arial" w:eastAsia="Arial" w:hAnsi="Arial"/>
          <w:sz w:val="16"/>
          <w:szCs w:val="16"/>
          <w:color w:val="auto"/>
        </w:rPr>
        <w:t>—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508000</wp:posOffset>
            </wp:positionV>
            <wp:extent cx="986155" cy="2057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57" w:lineRule="exact"/>
        <w:rPr>
          <w:sz w:val="20"/>
          <w:szCs w:val="20"/>
          <w:color w:val="auto"/>
        </w:rPr>
      </w:pPr>
    </w:p>
    <w:p>
      <w:pPr>
        <w:jc w:val="right"/>
        <w:spacing w:after="0"/>
        <w:tabs>
          <w:tab w:leader="none" w:pos="158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Director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nominees listed above receiving more “FOR” votes than “AGAINST” votes, assuming a quorum is present, will be elected as directors to serve until their terms expire or until their successors have been duly elected and qualified. Because directors are elected by a majority of votes cast, abstentions from voting and broker non-votes, if any, will be excluded from the vote and will have no effect on its outcome.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164465</wp:posOffset>
            </wp:positionV>
            <wp:extent cx="4663440" cy="3683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663440" cy="368300"/>
                    </a:xfrm>
                    <a:prstGeom prst="rect">
                      <a:avLst/>
                    </a:prstGeom>
                    <a:noFill/>
                  </pic:spPr>
                </pic:pic>
              </a:graphicData>
            </a:graphic>
          </wp:anchor>
        </w:drawing>
      </w:r>
    </w:p>
    <w:p>
      <w:pPr>
        <w:spacing w:after="0" w:line="279" w:lineRule="exact"/>
        <w:rPr>
          <w:sz w:val="20"/>
          <w:szCs w:val="20"/>
          <w:color w:val="auto"/>
        </w:rPr>
      </w:pPr>
    </w:p>
    <w:p>
      <w:pPr>
        <w:ind w:left="3360"/>
        <w:spacing w:after="0"/>
        <w:rPr>
          <w:sz w:val="20"/>
          <w:szCs w:val="20"/>
          <w:color w:val="auto"/>
        </w:rPr>
      </w:pPr>
      <w:r>
        <w:rPr>
          <w:rFonts w:ascii="Arial" w:cs="Arial" w:eastAsia="Arial" w:hAnsi="Arial"/>
          <w:sz w:val="16"/>
          <w:szCs w:val="16"/>
          <w:b w:val="1"/>
          <w:bCs w:val="1"/>
          <w:color w:val="auto"/>
        </w:rPr>
        <w:t>THE BOARD UNANIMOUSLY RECOMMENDS A VOTE</w:t>
      </w:r>
    </w:p>
    <w:p>
      <w:pPr>
        <w:spacing w:after="0" w:line="26"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0071CE"/>
        </w:rPr>
        <w:t xml:space="preserve">“FOR” </w:t>
      </w:r>
      <w:r>
        <w:rPr>
          <w:rFonts w:ascii="Arial" w:cs="Arial" w:eastAsia="Arial" w:hAnsi="Arial"/>
          <w:sz w:val="16"/>
          <w:szCs w:val="16"/>
          <w:b w:val="1"/>
          <w:bCs w:val="1"/>
          <w:color w:val="000000"/>
        </w:rPr>
        <w:t>EACH OF THE NOMINEES FOR DIRECTOR IN PROPOSAL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606425</wp:posOffset>
            </wp:positionV>
            <wp:extent cx="986155" cy="2057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8"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Proposal Two — Advisory Vote to Approve Executive Compensation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Proposal Two — Advisory Vote to Approve Executive Compensation</w:t>
      </w:r>
    </w:p>
    <w:p>
      <w:pPr>
        <w:spacing w:after="0" w:line="3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compensation paid to our Named Executive Officers (“</w:t>
      </w:r>
      <w:r>
        <w:rPr>
          <w:rFonts w:ascii="Arial" w:cs="Arial" w:eastAsia="Arial" w:hAnsi="Arial"/>
          <w:sz w:val="16"/>
          <w:szCs w:val="16"/>
          <w:b w:val="1"/>
          <w:bCs w:val="1"/>
          <w:color w:val="auto"/>
        </w:rPr>
        <w:t>NEOs</w:t>
      </w:r>
      <w:r>
        <w:rPr>
          <w:rFonts w:ascii="Arial" w:cs="Arial" w:eastAsia="Arial" w:hAnsi="Arial"/>
          <w:sz w:val="16"/>
          <w:szCs w:val="16"/>
          <w:color w:val="auto"/>
        </w:rPr>
        <w:t>”) is described below in the Compensation Discussion and Analysis of this proxy statement for the year ended September 30, 2024. The Board is asking stockholders to cast a non-binding, advisory vote FOR the following resolution:</w:t>
      </w:r>
    </w:p>
    <w:p>
      <w:pPr>
        <w:spacing w:after="0" w:line="48" w:lineRule="exact"/>
        <w:rPr>
          <w:sz w:val="20"/>
          <w:szCs w:val="20"/>
          <w:color w:val="auto"/>
        </w:rPr>
      </w:pPr>
    </w:p>
    <w:p>
      <w:pPr>
        <w:ind w:left="440"/>
        <w:spacing w:after="0" w:line="304" w:lineRule="auto"/>
        <w:rPr>
          <w:sz w:val="20"/>
          <w:szCs w:val="20"/>
          <w:color w:val="auto"/>
        </w:rPr>
      </w:pPr>
      <w:r>
        <w:rPr>
          <w:rFonts w:ascii="Arial" w:cs="Arial" w:eastAsia="Arial" w:hAnsi="Arial"/>
          <w:sz w:val="16"/>
          <w:szCs w:val="16"/>
          <w:color w:val="auto"/>
        </w:rPr>
        <w:t>“RESOLVED, that the compensation paid to the Company’s named executive officers, as disclosed pursuant to Item 402 of Regulation S-K, as set forth in the compensation tables and narrative discussion, is hereby APPROVED.”</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Although the vote we are asking you to cast is non-binding, the Compensation Committee and the Board value the views of our stockholders and will consider the outcome of the vote when determining future compensation arrangements for our NEOs.</w:t>
      </w:r>
    </w:p>
    <w:p>
      <w:pPr>
        <w:spacing w:after="0" w:line="16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Board has adopted a policy providing for annual advisory votes to approve executive compensation. Unless stockholders approve a different frequency in Proposal Three or the Board modifies its policy on the frequency of holding advisory votes to approve executive compensation, the next such advisory vote will occur in 2026.</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23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Proposal Two must be approved by the Required Vote, assuming a quorum is present. For this purpose, abstentions will be counted as a vote “AGAINST” the proposal, while broker non-votes, if any, will have no effect on the outcome of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150495</wp:posOffset>
            </wp:positionV>
            <wp:extent cx="4483100" cy="4972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483100" cy="49720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THE BOARD UNANIMOUSLY RECOMMENDS A VOTE</w:t>
      </w:r>
    </w:p>
    <w:p>
      <w:pPr>
        <w:spacing w:after="0" w:line="26"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0071CE"/>
        </w:rPr>
        <w:t xml:space="preserve">“FOR” </w:t>
      </w:r>
      <w:r>
        <w:rPr>
          <w:rFonts w:ascii="Arial" w:cs="Arial" w:eastAsia="Arial" w:hAnsi="Arial"/>
          <w:sz w:val="16"/>
          <w:szCs w:val="16"/>
          <w:b w:val="1"/>
          <w:bCs w:val="1"/>
          <w:color w:val="000000"/>
        </w:rPr>
        <w:t>PROPOSAL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589280</wp:posOffset>
            </wp:positionV>
            <wp:extent cx="986155" cy="2057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8"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Proposal Two — Advisory Vote to Approve Executive Compensation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100"/>
        <w:spacing w:after="0" w:line="307" w:lineRule="auto"/>
        <w:rPr>
          <w:sz w:val="20"/>
          <w:szCs w:val="20"/>
          <w:color w:val="auto"/>
        </w:rPr>
      </w:pPr>
      <w:r>
        <w:rPr>
          <w:rFonts w:ascii="Arial" w:cs="Arial" w:eastAsia="Arial" w:hAnsi="Arial"/>
          <w:sz w:val="32"/>
          <w:szCs w:val="32"/>
          <w:b w:val="1"/>
          <w:bCs w:val="1"/>
          <w:color w:val="026DCE"/>
        </w:rPr>
        <w:t>Proposal Three —Advisory Vote on Frequency of Executive Compensation Advisory Votes</w:t>
      </w:r>
    </w:p>
    <w:p>
      <w:pPr>
        <w:spacing w:after="0" w:line="8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Proposal Two, we are asking stockholders to cast an advisory vote to approve the compensation disclosed in this proxy statement that we paid in fiscal 2024 to our named executive officers. This advisory vote is referred to as a “Say-on-Pay” vote. In this Proposal Three, the Board is asking stockholders to cast a non-binding, advisory vote on how frequently we should have Say-on-Pay votes in the future. Stockholders will be able to mark the enclosed proxy card or voting instruction form on whether to hold say-on-pay votes every one, two or three years. Alternatively, you may indicate that you are abstaining from voting.</w:t>
      </w:r>
    </w:p>
    <w:p>
      <w:pPr>
        <w:spacing w:after="0" w:line="396" w:lineRule="exact"/>
        <w:rPr>
          <w:sz w:val="20"/>
          <w:szCs w:val="20"/>
          <w:color w:val="auto"/>
        </w:rPr>
      </w:pPr>
    </w:p>
    <w:p>
      <w:pPr>
        <w:ind w:left="660" w:right="20"/>
        <w:spacing w:after="0" w:line="304" w:lineRule="auto"/>
        <w:rPr>
          <w:sz w:val="20"/>
          <w:szCs w:val="20"/>
          <w:color w:val="auto"/>
        </w:rPr>
      </w:pPr>
      <w:r>
        <w:rPr>
          <w:rFonts w:ascii="Arial" w:cs="Arial" w:eastAsia="Arial" w:hAnsi="Arial"/>
          <w:sz w:val="16"/>
          <w:szCs w:val="16"/>
          <w:color w:val="auto"/>
        </w:rPr>
        <w:t>“RESOLVED, that the stockholders of the Company recommend, in a non-binding vote, whether an advisory vote to approve the compensation of the Company’s named executive officers should occur every one, two or three years.”</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This vote, like the Say-on-Pay vote itself, is not binding on the Board. Although the Board and the Compensation Committee recognize the potential benefits of having less frequent advisory votes to approve executive compensation (including allowing the Company additional time to effectively evaluate the relationship between the executive compensation and long-term Company performance and stockholder return), we recognize that the widely adopted standard is to hold Say-on-Pay votes annually. The Board and Compensation Committee also acknowledge current stockholder expectations regarding having the opportunity to express their views on the Company’s executive compensation on an annual basis. In light of investor expectations and prevailing market practice, our Board and the Compensation Committee recommend that the advisory vote to approve executive compensation occur every year.</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25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Proposal Three must be approved by the Required Vote, assuming a quorum is present. For this purpose, abstentions will be counted as a vote against the proposal, while broker non-votes will have no effect on the outcome of the vote. Because Proposal Three has three possible substantive responses (every one, two or three years), if none of the frequency alternatives receives the Required Vote, then we will consider stockholders to have approved the frequency that receives the greatest number of the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149860</wp:posOffset>
            </wp:positionV>
            <wp:extent cx="4483100" cy="7454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483100" cy="7454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THE BOARD UNANIMOUSLY RECOMMENDS THAT STOCKHOLDERS</w:t>
      </w:r>
    </w:p>
    <w:p>
      <w:pPr>
        <w:spacing w:after="0" w:line="26"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 xml:space="preserve">SELECT </w:t>
      </w:r>
      <w:r>
        <w:rPr>
          <w:rFonts w:ascii="Arial" w:cs="Arial" w:eastAsia="Arial" w:hAnsi="Arial"/>
          <w:sz w:val="21"/>
          <w:szCs w:val="21"/>
          <w:b w:val="1"/>
          <w:bCs w:val="1"/>
          <w:color w:val="0071CE"/>
        </w:rPr>
        <w:t>“1 YEAR”</w:t>
      </w:r>
      <w:r>
        <w:rPr>
          <w:rFonts w:ascii="Arial" w:cs="Arial" w:eastAsia="Arial" w:hAnsi="Arial"/>
          <w:sz w:val="16"/>
          <w:szCs w:val="16"/>
          <w:b w:val="1"/>
          <w:bCs w:val="1"/>
          <w:color w:val="auto"/>
        </w:rPr>
        <w:t xml:space="preserve"> ON THE PROPOSAL CONCERNING THE</w:t>
      </w:r>
    </w:p>
    <w:p>
      <w:pPr>
        <w:spacing w:after="0" w:line="23" w:lineRule="exact"/>
        <w:rPr>
          <w:sz w:val="20"/>
          <w:szCs w:val="20"/>
          <w:color w:val="auto"/>
        </w:rPr>
      </w:pPr>
    </w:p>
    <w:p>
      <w:pPr>
        <w:ind w:left="3520" w:right="2180"/>
        <w:spacing w:after="0" w:line="276" w:lineRule="auto"/>
        <w:rPr>
          <w:sz w:val="20"/>
          <w:szCs w:val="20"/>
          <w:color w:val="auto"/>
        </w:rPr>
      </w:pPr>
      <w:r>
        <w:rPr>
          <w:rFonts w:ascii="Arial" w:cs="Arial" w:eastAsia="Arial" w:hAnsi="Arial"/>
          <w:sz w:val="16"/>
          <w:szCs w:val="16"/>
          <w:b w:val="1"/>
          <w:bCs w:val="1"/>
          <w:color w:val="auto"/>
        </w:rPr>
        <w:t>FREQUENCY OF FUTURE ADVISORY VOTES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715645</wp:posOffset>
            </wp:positionV>
            <wp:extent cx="986155" cy="2057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E"/>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Executive Compensation</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The following compensation discussion and analysis contains statements regarding future individual and Company performance targets and goals. These targets and goals are disclosed in the limited context of Arrowhead’s executive compensation program and should not be understood to be statements of management’s expectations or guidance. Arrowhead cautions investors not to apply these statements to other contexts. Fiscal years are denoted as fiscal years, all other year references refer to calendar years.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This Compensation Discussion and Analysis describes the compensation program for our NEOs. During fiscal 2024, these individuals were:</w:t>
      </w:r>
    </w:p>
    <w:p>
      <w:pPr>
        <w:spacing w:after="0" w:line="140" w:lineRule="exact"/>
        <w:rPr>
          <w:sz w:val="20"/>
          <w:szCs w:val="20"/>
          <w:color w:val="auto"/>
        </w:rPr>
      </w:pPr>
    </w:p>
    <w:p>
      <w:pPr>
        <w:ind w:left="320" w:hanging="231"/>
        <w:spacing w:after="0"/>
        <w:tabs>
          <w:tab w:leader="none" w:pos="320" w:val="left"/>
        </w:tabs>
        <w:numPr>
          <w:ilvl w:val="0"/>
          <w:numId w:val="22"/>
        </w:numPr>
        <w:rPr>
          <w:rFonts w:ascii="Arial" w:cs="Arial" w:eastAsia="Arial" w:hAnsi="Arial"/>
          <w:sz w:val="16"/>
          <w:szCs w:val="16"/>
          <w:color w:val="0071CE"/>
        </w:rPr>
      </w:pPr>
      <w:r>
        <w:rPr>
          <w:rFonts w:ascii="Arial" w:cs="Arial" w:eastAsia="Arial" w:hAnsi="Arial"/>
          <w:sz w:val="16"/>
          <w:szCs w:val="16"/>
          <w:color w:val="auto"/>
        </w:rPr>
        <w:t>Christopher Anzalone, our President and Chief Executive Officer (our “</w:t>
      </w:r>
      <w:r>
        <w:rPr>
          <w:rFonts w:ascii="Arial" w:cs="Arial" w:eastAsia="Arial" w:hAnsi="Arial"/>
          <w:sz w:val="16"/>
          <w:szCs w:val="16"/>
          <w:b w:val="1"/>
          <w:bCs w:val="1"/>
          <w:color w:val="auto"/>
        </w:rPr>
        <w:t>CEO</w:t>
      </w:r>
      <w:r>
        <w:rPr>
          <w:rFonts w:ascii="Arial" w:cs="Arial" w:eastAsia="Arial" w:hAnsi="Arial"/>
          <w:sz w:val="16"/>
          <w:szCs w:val="16"/>
          <w:color w:val="auto"/>
        </w:rPr>
        <w:t>”);</w:t>
      </w:r>
    </w:p>
    <w:p>
      <w:pPr>
        <w:spacing w:after="0" w:line="113" w:lineRule="exact"/>
        <w:rPr>
          <w:rFonts w:ascii="Arial" w:cs="Arial" w:eastAsia="Arial" w:hAnsi="Arial"/>
          <w:sz w:val="16"/>
          <w:szCs w:val="16"/>
          <w:color w:val="0071CE"/>
        </w:rPr>
      </w:pPr>
    </w:p>
    <w:p>
      <w:pPr>
        <w:ind w:left="320" w:hanging="231"/>
        <w:spacing w:after="0"/>
        <w:tabs>
          <w:tab w:leader="none" w:pos="320" w:val="left"/>
        </w:tabs>
        <w:numPr>
          <w:ilvl w:val="0"/>
          <w:numId w:val="22"/>
        </w:numPr>
        <w:rPr>
          <w:rFonts w:ascii="Arial" w:cs="Arial" w:eastAsia="Arial" w:hAnsi="Arial"/>
          <w:sz w:val="16"/>
          <w:szCs w:val="16"/>
          <w:color w:val="0071CE"/>
        </w:rPr>
      </w:pPr>
      <w:r>
        <w:rPr>
          <w:rFonts w:ascii="Arial" w:cs="Arial" w:eastAsia="Arial" w:hAnsi="Arial"/>
          <w:sz w:val="16"/>
          <w:szCs w:val="16"/>
          <w:color w:val="auto"/>
        </w:rPr>
        <w:t>James Hamilton, our Chief of Discovery and Translational Medicine (our “</w:t>
      </w:r>
      <w:r>
        <w:rPr>
          <w:rFonts w:ascii="Arial" w:cs="Arial" w:eastAsia="Arial" w:hAnsi="Arial"/>
          <w:sz w:val="16"/>
          <w:szCs w:val="16"/>
          <w:b w:val="1"/>
          <w:bCs w:val="1"/>
          <w:color w:val="auto"/>
        </w:rPr>
        <w:t>CDTM</w:t>
      </w:r>
      <w:r>
        <w:rPr>
          <w:rFonts w:ascii="Arial" w:cs="Arial" w:eastAsia="Arial" w:hAnsi="Arial"/>
          <w:sz w:val="16"/>
          <w:szCs w:val="16"/>
          <w:color w:val="auto"/>
        </w:rPr>
        <w:t>”);</w:t>
      </w:r>
    </w:p>
    <w:p>
      <w:pPr>
        <w:spacing w:after="0" w:line="113" w:lineRule="exact"/>
        <w:rPr>
          <w:rFonts w:ascii="Arial" w:cs="Arial" w:eastAsia="Arial" w:hAnsi="Arial"/>
          <w:sz w:val="16"/>
          <w:szCs w:val="16"/>
          <w:color w:val="0071CE"/>
        </w:rPr>
      </w:pPr>
    </w:p>
    <w:p>
      <w:pPr>
        <w:ind w:left="320" w:hanging="231"/>
        <w:spacing w:after="0"/>
        <w:tabs>
          <w:tab w:leader="none" w:pos="320" w:val="left"/>
        </w:tabs>
        <w:numPr>
          <w:ilvl w:val="0"/>
          <w:numId w:val="22"/>
        </w:numPr>
        <w:rPr>
          <w:rFonts w:ascii="Arial" w:cs="Arial" w:eastAsia="Arial" w:hAnsi="Arial"/>
          <w:sz w:val="16"/>
          <w:szCs w:val="16"/>
          <w:color w:val="0071CE"/>
        </w:rPr>
      </w:pPr>
      <w:r>
        <w:rPr>
          <w:rFonts w:ascii="Arial" w:cs="Arial" w:eastAsia="Arial" w:hAnsi="Arial"/>
          <w:sz w:val="16"/>
          <w:szCs w:val="16"/>
          <w:color w:val="auto"/>
        </w:rPr>
        <w:t>Kenneth Myszkowski, our Chief Financial Officer (our “</w:t>
      </w:r>
      <w:r>
        <w:rPr>
          <w:rFonts w:ascii="Arial" w:cs="Arial" w:eastAsia="Arial" w:hAnsi="Arial"/>
          <w:sz w:val="16"/>
          <w:szCs w:val="16"/>
          <w:b w:val="1"/>
          <w:bCs w:val="1"/>
          <w:color w:val="auto"/>
        </w:rPr>
        <w:t>CFO</w:t>
      </w:r>
      <w:r>
        <w:rPr>
          <w:rFonts w:ascii="Arial" w:cs="Arial" w:eastAsia="Arial" w:hAnsi="Arial"/>
          <w:sz w:val="16"/>
          <w:szCs w:val="16"/>
          <w:color w:val="auto"/>
        </w:rPr>
        <w:t>”);</w:t>
      </w:r>
    </w:p>
    <w:p>
      <w:pPr>
        <w:spacing w:after="0" w:line="126" w:lineRule="exact"/>
        <w:rPr>
          <w:rFonts w:ascii="Arial" w:cs="Arial" w:eastAsia="Arial" w:hAnsi="Arial"/>
          <w:sz w:val="16"/>
          <w:szCs w:val="16"/>
          <w:color w:val="0071CE"/>
        </w:rPr>
      </w:pPr>
    </w:p>
    <w:p>
      <w:pPr>
        <w:ind w:left="320" w:hanging="231"/>
        <w:spacing w:after="0"/>
        <w:tabs>
          <w:tab w:leader="none" w:pos="320" w:val="left"/>
        </w:tabs>
        <w:numPr>
          <w:ilvl w:val="0"/>
          <w:numId w:val="22"/>
        </w:numPr>
        <w:rPr>
          <w:rFonts w:ascii="Arial" w:cs="Arial" w:eastAsia="Arial" w:hAnsi="Arial"/>
          <w:sz w:val="16"/>
          <w:szCs w:val="16"/>
          <w:color w:val="0071CE"/>
        </w:rPr>
      </w:pPr>
      <w:r>
        <w:rPr>
          <w:rFonts w:ascii="Arial" w:cs="Arial" w:eastAsia="Arial" w:hAnsi="Arial"/>
          <w:sz w:val="16"/>
          <w:szCs w:val="16"/>
          <w:color w:val="auto"/>
        </w:rPr>
        <w:t>Patrick O’Brien, our Chief Operating Officer and General Counsel (our “</w:t>
      </w:r>
      <w:r>
        <w:rPr>
          <w:rFonts w:ascii="Arial" w:cs="Arial" w:eastAsia="Arial" w:hAnsi="Arial"/>
          <w:sz w:val="16"/>
          <w:szCs w:val="16"/>
          <w:b w:val="1"/>
          <w:bCs w:val="1"/>
          <w:color w:val="auto"/>
        </w:rPr>
        <w:t>COO</w:t>
      </w:r>
      <w:r>
        <w:rPr>
          <w:rFonts w:ascii="Arial" w:cs="Arial" w:eastAsia="Arial" w:hAnsi="Arial"/>
          <w:sz w:val="16"/>
          <w:szCs w:val="16"/>
          <w:color w:val="auto"/>
        </w:rPr>
        <w:t>” and “</w:t>
      </w:r>
      <w:r>
        <w:rPr>
          <w:rFonts w:ascii="Arial" w:cs="Arial" w:eastAsia="Arial" w:hAnsi="Arial"/>
          <w:sz w:val="16"/>
          <w:szCs w:val="16"/>
          <w:b w:val="1"/>
          <w:bCs w:val="1"/>
          <w:color w:val="auto"/>
        </w:rPr>
        <w:t>GC</w:t>
      </w:r>
      <w:r>
        <w:rPr>
          <w:rFonts w:ascii="Arial" w:cs="Arial" w:eastAsia="Arial" w:hAnsi="Arial"/>
          <w:sz w:val="16"/>
          <w:szCs w:val="16"/>
          <w:color w:val="auto"/>
        </w:rPr>
        <w:t>”);</w:t>
      </w:r>
    </w:p>
    <w:p>
      <w:pPr>
        <w:spacing w:after="0" w:line="113" w:lineRule="exact"/>
        <w:rPr>
          <w:rFonts w:ascii="Arial" w:cs="Arial" w:eastAsia="Arial" w:hAnsi="Arial"/>
          <w:sz w:val="16"/>
          <w:szCs w:val="16"/>
          <w:color w:val="0071CE"/>
        </w:rPr>
      </w:pPr>
    </w:p>
    <w:p>
      <w:pPr>
        <w:ind w:left="320" w:hanging="231"/>
        <w:spacing w:after="0"/>
        <w:tabs>
          <w:tab w:leader="none" w:pos="320" w:val="left"/>
        </w:tabs>
        <w:numPr>
          <w:ilvl w:val="0"/>
          <w:numId w:val="22"/>
        </w:numPr>
        <w:rPr>
          <w:rFonts w:ascii="Arial" w:cs="Arial" w:eastAsia="Arial" w:hAnsi="Arial"/>
          <w:sz w:val="16"/>
          <w:szCs w:val="16"/>
          <w:color w:val="0071CE"/>
        </w:rPr>
      </w:pPr>
      <w:r>
        <w:rPr>
          <w:rFonts w:ascii="Arial" w:cs="Arial" w:eastAsia="Arial" w:hAnsi="Arial"/>
          <w:sz w:val="16"/>
          <w:szCs w:val="16"/>
          <w:color w:val="auto"/>
        </w:rPr>
        <w:t>Tracie Oliver, our former Chief Commercial Officer (our "</w:t>
      </w:r>
      <w:r>
        <w:rPr>
          <w:rFonts w:ascii="Arial" w:cs="Arial" w:eastAsia="Arial" w:hAnsi="Arial"/>
          <w:sz w:val="16"/>
          <w:szCs w:val="16"/>
          <w:b w:val="1"/>
          <w:bCs w:val="1"/>
          <w:color w:val="auto"/>
        </w:rPr>
        <w:t>CCO</w:t>
      </w:r>
      <w:r>
        <w:rPr>
          <w:rFonts w:ascii="Arial" w:cs="Arial" w:eastAsia="Arial" w:hAnsi="Arial"/>
          <w:sz w:val="16"/>
          <w:szCs w:val="16"/>
          <w:color w:val="auto"/>
        </w:rPr>
        <w:t>"); and</w:t>
      </w:r>
    </w:p>
    <w:p>
      <w:pPr>
        <w:spacing w:after="0" w:line="113" w:lineRule="exact"/>
        <w:rPr>
          <w:rFonts w:ascii="Arial" w:cs="Arial" w:eastAsia="Arial" w:hAnsi="Arial"/>
          <w:sz w:val="16"/>
          <w:szCs w:val="16"/>
          <w:color w:val="0071CE"/>
        </w:rPr>
      </w:pPr>
    </w:p>
    <w:p>
      <w:pPr>
        <w:ind w:left="320" w:hanging="231"/>
        <w:spacing w:after="0"/>
        <w:tabs>
          <w:tab w:leader="none" w:pos="320" w:val="left"/>
        </w:tabs>
        <w:numPr>
          <w:ilvl w:val="0"/>
          <w:numId w:val="22"/>
        </w:numPr>
        <w:rPr>
          <w:rFonts w:ascii="Arial" w:cs="Arial" w:eastAsia="Arial" w:hAnsi="Arial"/>
          <w:sz w:val="16"/>
          <w:szCs w:val="16"/>
          <w:color w:val="0071CE"/>
        </w:rPr>
      </w:pPr>
      <w:r>
        <w:rPr>
          <w:rFonts w:ascii="Arial" w:cs="Arial" w:eastAsia="Arial" w:hAnsi="Arial"/>
          <w:sz w:val="16"/>
          <w:szCs w:val="16"/>
          <w:color w:val="auto"/>
        </w:rPr>
        <w:t>Javier San Martin, our former Chief Medical Officer (our “</w:t>
      </w:r>
      <w:r>
        <w:rPr>
          <w:rFonts w:ascii="Arial" w:cs="Arial" w:eastAsia="Arial" w:hAnsi="Arial"/>
          <w:sz w:val="16"/>
          <w:szCs w:val="16"/>
          <w:b w:val="1"/>
          <w:bCs w:val="1"/>
          <w:color w:val="auto"/>
        </w:rPr>
        <w:t>CMO</w:t>
      </w:r>
      <w:r>
        <w:rPr>
          <w:rFonts w:ascii="Arial" w:cs="Arial" w:eastAsia="Arial" w:hAnsi="Arial"/>
          <w:sz w:val="16"/>
          <w:szCs w:val="16"/>
          <w:color w:val="auto"/>
        </w:rPr>
        <w:t>”).</w:t>
      </w:r>
    </w:p>
    <w:p>
      <w:pPr>
        <w:spacing w:after="0" w:line="23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This Compensation Discussion and Analysis describes the material elements of our executive compensation program during fiscal 2024. It also provides an overview of our executive compensation philosophy and objectives and summarizes our executive compensation policies and practices. Finally, it analyzes how and why the Compensation Committee of our Board arrived at the specific compensation decisions for our executive officers, including our NEOs, for fiscal 2024, including the key factors that the Compensation Committee considered in determining their compensation.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Our Company</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develop medicines that treat intractable diseases by silencing the genes that cause them. Using a broad portfolio of RNA chemistries and efficient modes of delivery, our therapies trigger the RNA interference mechanism to induce rapid, deep and durable knockdown of target genes. RNA interference, or RNAi, is a mechanism present in living cells that inhibits the expression of a specific gene, thereby affecting the production of a specific protein. Arrowhead’s RNAi-based therapeutics leverage this natural pathway of gene silencing.</w:t>
      </w:r>
    </w:p>
    <w:p>
      <w:pPr>
        <w:spacing w:after="0" w:line="16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Arrowhead is focused on developing innovative drugs for diseases with a genetic basis, typically characterized by the overproduction of one or more proteins. The depth and versatility of our RNAi technologies enable us to potentially address conditions in virtually any therapeutic area and pursue disease targets that are not otherwise addressable by small molecules and Biologics.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2024 Business Highlights</w:t>
      </w:r>
    </w:p>
    <w:p>
      <w:pPr>
        <w:spacing w:after="0" w:line="135" w:lineRule="exact"/>
        <w:rPr>
          <w:sz w:val="20"/>
          <w:szCs w:val="20"/>
          <w:color w:val="auto"/>
        </w:rPr>
      </w:pPr>
    </w:p>
    <w:p>
      <w:pPr>
        <w:ind w:left="340" w:right="360" w:hanging="251"/>
        <w:spacing w:after="0" w:line="248" w:lineRule="auto"/>
        <w:tabs>
          <w:tab w:leader="none" w:pos="329" w:val="left"/>
        </w:tabs>
        <w:numPr>
          <w:ilvl w:val="0"/>
          <w:numId w:val="23"/>
        </w:numPr>
        <w:rPr>
          <w:rFonts w:ascii="Arial" w:cs="Arial" w:eastAsia="Arial" w:hAnsi="Arial"/>
          <w:sz w:val="16"/>
          <w:szCs w:val="16"/>
          <w:color w:val="0071CE"/>
        </w:rPr>
      </w:pPr>
      <w:r>
        <w:rPr>
          <w:rFonts w:ascii="Arial" w:cs="Arial" w:eastAsia="Arial" w:hAnsi="Arial"/>
          <w:sz w:val="16"/>
          <w:szCs w:val="16"/>
          <w:color w:val="auto"/>
        </w:rPr>
        <w:t>Presented new pivotal Phase 3 Data from PALISADE study of plozasiran in patients with familial chylomicronemia syndrome (FCS) at the European Society of Cardiology (ESC) Congress 2024 and simultaneously published in The New England Journal of Medicine.</w:t>
      </w:r>
    </w:p>
    <w:p>
      <w:pPr>
        <w:ind w:left="340" w:right="80" w:hanging="251"/>
        <w:spacing w:after="0" w:line="234" w:lineRule="auto"/>
        <w:tabs>
          <w:tab w:leader="none" w:pos="329" w:val="left"/>
        </w:tabs>
        <w:numPr>
          <w:ilvl w:val="0"/>
          <w:numId w:val="23"/>
        </w:numPr>
        <w:rPr>
          <w:rFonts w:ascii="Arial" w:cs="Arial" w:eastAsia="Arial" w:hAnsi="Arial"/>
          <w:sz w:val="16"/>
          <w:szCs w:val="16"/>
          <w:color w:val="026DCE"/>
        </w:rPr>
      </w:pPr>
      <w:r>
        <w:rPr>
          <w:rFonts w:ascii="Arial" w:cs="Arial" w:eastAsia="Arial" w:hAnsi="Arial"/>
          <w:sz w:val="16"/>
          <w:szCs w:val="16"/>
          <w:color w:val="auto"/>
        </w:rPr>
        <w:t>The Company submitted a New Drug Application to the U.S. Food and Drug Administration (FDA) on November 16, 2024, which was accepted for filing on January 17, 2025. The FDA provided a Prescription Drug User Fee Act (PDUFA) action date of November 18, 2025, and indicated it is not currently planning to hold an advisory committee meeting.</w:t>
      </w:r>
    </w:p>
    <w:p>
      <w:pPr>
        <w:spacing w:after="0" w:line="1" w:lineRule="exact"/>
        <w:rPr>
          <w:rFonts w:ascii="Arial" w:cs="Arial" w:eastAsia="Arial" w:hAnsi="Arial"/>
          <w:sz w:val="16"/>
          <w:szCs w:val="16"/>
          <w:color w:val="026DCE"/>
        </w:rPr>
      </w:pPr>
    </w:p>
    <w:p>
      <w:pPr>
        <w:ind w:left="340" w:right="60" w:hanging="251"/>
        <w:spacing w:after="0" w:line="247" w:lineRule="auto"/>
        <w:tabs>
          <w:tab w:leader="none" w:pos="329" w:val="left"/>
        </w:tabs>
        <w:numPr>
          <w:ilvl w:val="0"/>
          <w:numId w:val="23"/>
        </w:numPr>
        <w:rPr>
          <w:rFonts w:ascii="Arial" w:cs="Arial" w:eastAsia="Arial" w:hAnsi="Arial"/>
          <w:sz w:val="16"/>
          <w:szCs w:val="16"/>
          <w:color w:val="026DCE"/>
        </w:rPr>
      </w:pPr>
      <w:r>
        <w:rPr>
          <w:rFonts w:ascii="Arial" w:cs="Arial" w:eastAsia="Arial" w:hAnsi="Arial"/>
          <w:sz w:val="16"/>
          <w:szCs w:val="16"/>
          <w:color w:val="auto"/>
        </w:rPr>
        <w:t>Entered into a global and collaboration agreement with Sarepta Therapeutics, Inc. Upon closing, Arrowhead will receive $825 million, consisting of $500 million cash and $325 million as an equity investment. Arrowhead will also receive $250 million to be paid in equal installments over five years and is eligible to receive an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495300</wp:posOffset>
            </wp:positionV>
            <wp:extent cx="986155" cy="2057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40" w:right="260"/>
        <w:spacing w:after="0" w:line="268" w:lineRule="auto"/>
        <w:rPr>
          <w:sz w:val="20"/>
          <w:szCs w:val="20"/>
          <w:color w:val="auto"/>
        </w:rPr>
      </w:pPr>
      <w:r>
        <w:rPr>
          <w:rFonts w:ascii="Arial" w:cs="Arial" w:eastAsia="Arial" w:hAnsi="Arial"/>
          <w:sz w:val="16"/>
          <w:szCs w:val="16"/>
          <w:color w:val="auto"/>
        </w:rPr>
        <w:t>$300 million in near-term payments. Additionally, Arrowhead is eligible to receive royalties on commercial sales and up to approximately $10 billion in future potential milestone payments.</w:t>
      </w:r>
    </w:p>
    <w:p>
      <w:pPr>
        <w:spacing w:after="0" w:line="210" w:lineRule="exact"/>
        <w:rPr>
          <w:sz w:val="20"/>
          <w:szCs w:val="20"/>
          <w:color w:val="auto"/>
        </w:rPr>
      </w:pPr>
    </w:p>
    <w:p>
      <w:pPr>
        <w:jc w:val="both"/>
        <w:ind w:left="340" w:hanging="251"/>
        <w:spacing w:after="0" w:line="260" w:lineRule="auto"/>
        <w:tabs>
          <w:tab w:leader="none" w:pos="329" w:val="left"/>
        </w:tabs>
        <w:numPr>
          <w:ilvl w:val="0"/>
          <w:numId w:val="24"/>
        </w:numPr>
        <w:rPr>
          <w:rFonts w:ascii="Arial" w:cs="Arial" w:eastAsia="Arial" w:hAnsi="Arial"/>
          <w:sz w:val="16"/>
          <w:szCs w:val="16"/>
          <w:color w:val="026DCE"/>
        </w:rPr>
      </w:pPr>
      <w:r>
        <w:rPr>
          <w:rFonts w:ascii="Arial" w:cs="Arial" w:eastAsia="Arial" w:hAnsi="Arial"/>
          <w:sz w:val="16"/>
          <w:szCs w:val="16"/>
          <w:color w:val="auto"/>
        </w:rPr>
        <w:t>Presented preclinical data and detailed plans to advance two next generation RNAi-based candidates, ARO-INHBE and ARO-ALK7, into upcoming clinical studies for the treatment of obesity and metabolic diseases. In preclinical studies to date, these candidates demonstrated the potential to reduce body weight and fat mass with a novel mechanism of action that may lead to improved preservation of lean muscle mass compared to currently approved obesity therapies. On September 23, 2024, the Company filed for regulatory clearance to initiate a Phase 1/2a clinical trial of ARO-INHBE and subsequently on December 3, 2024, filed for regulatory clearance to initiate a Phase 1/2a clinical trial of ARO-ALK7.</w:t>
      </w:r>
    </w:p>
    <w:p>
      <w:pPr>
        <w:spacing w:after="0" w:line="83" w:lineRule="exact"/>
        <w:rPr>
          <w:rFonts w:ascii="Arial" w:cs="Arial" w:eastAsia="Arial" w:hAnsi="Arial"/>
          <w:sz w:val="16"/>
          <w:szCs w:val="16"/>
          <w:color w:val="026DCE"/>
        </w:rPr>
      </w:pPr>
    </w:p>
    <w:p>
      <w:pPr>
        <w:ind w:left="340" w:right="20" w:hanging="251"/>
        <w:spacing w:after="0" w:line="286" w:lineRule="auto"/>
        <w:tabs>
          <w:tab w:leader="none" w:pos="329" w:val="left"/>
        </w:tabs>
        <w:numPr>
          <w:ilvl w:val="0"/>
          <w:numId w:val="24"/>
        </w:numPr>
        <w:rPr>
          <w:rFonts w:ascii="Arial" w:cs="Arial" w:eastAsia="Arial" w:hAnsi="Arial"/>
          <w:sz w:val="16"/>
          <w:szCs w:val="16"/>
          <w:color w:val="026DCE"/>
        </w:rPr>
      </w:pPr>
      <w:r>
        <w:rPr>
          <w:rFonts w:ascii="Arial" w:cs="Arial" w:eastAsia="Arial" w:hAnsi="Arial"/>
          <w:sz w:val="16"/>
          <w:szCs w:val="16"/>
          <w:color w:val="auto"/>
        </w:rPr>
        <w:t>Announced successful top-line results from the pivotal Phase 3 PALISADE study of investigational plozasiran in patients with familial chylomicronemia syndrome (FCS). The Company highlighted recent data for its cardiometabolic pipeline at its June 25, 2024, Cardiometabolic event.</w:t>
      </w:r>
    </w:p>
    <w:p>
      <w:pPr>
        <w:spacing w:after="0" w:line="47" w:lineRule="exact"/>
        <w:rPr>
          <w:rFonts w:ascii="Arial" w:cs="Arial" w:eastAsia="Arial" w:hAnsi="Arial"/>
          <w:sz w:val="16"/>
          <w:szCs w:val="16"/>
          <w:color w:val="026DCE"/>
        </w:rPr>
      </w:pPr>
    </w:p>
    <w:p>
      <w:pPr>
        <w:ind w:left="320" w:hanging="231"/>
        <w:spacing w:after="0"/>
        <w:tabs>
          <w:tab w:leader="none" w:pos="320" w:val="left"/>
        </w:tabs>
        <w:numPr>
          <w:ilvl w:val="0"/>
          <w:numId w:val="24"/>
        </w:numPr>
        <w:rPr>
          <w:rFonts w:ascii="Arial" w:cs="Arial" w:eastAsia="Arial" w:hAnsi="Arial"/>
          <w:sz w:val="16"/>
          <w:szCs w:val="16"/>
          <w:color w:val="026DCE"/>
        </w:rPr>
      </w:pPr>
      <w:r>
        <w:rPr>
          <w:rFonts w:ascii="Arial" w:cs="Arial" w:eastAsia="Arial" w:hAnsi="Arial"/>
          <w:sz w:val="16"/>
          <w:szCs w:val="16"/>
          <w:color w:val="auto"/>
        </w:rPr>
        <w:t>Announced results from the Phase 2b double blind, randomized ARCHES-2 study of investigational zodasiran in patients with mixed hyperlipidemia.</w:t>
      </w:r>
    </w:p>
    <w:p>
      <w:pPr>
        <w:spacing w:after="0" w:line="126" w:lineRule="exact"/>
        <w:rPr>
          <w:rFonts w:ascii="Arial" w:cs="Arial" w:eastAsia="Arial" w:hAnsi="Arial"/>
          <w:sz w:val="16"/>
          <w:szCs w:val="16"/>
          <w:color w:val="026DCE"/>
        </w:rPr>
      </w:pPr>
    </w:p>
    <w:p>
      <w:pPr>
        <w:ind w:left="320" w:hanging="231"/>
        <w:spacing w:after="0"/>
        <w:tabs>
          <w:tab w:leader="none" w:pos="320" w:val="left"/>
        </w:tabs>
        <w:numPr>
          <w:ilvl w:val="0"/>
          <w:numId w:val="24"/>
        </w:numPr>
        <w:rPr>
          <w:rFonts w:ascii="Arial" w:cs="Arial" w:eastAsia="Arial" w:hAnsi="Arial"/>
          <w:sz w:val="16"/>
          <w:szCs w:val="16"/>
          <w:color w:val="026DCE"/>
        </w:rPr>
      </w:pPr>
      <w:r>
        <w:rPr>
          <w:rFonts w:ascii="Arial" w:cs="Arial" w:eastAsia="Arial" w:hAnsi="Arial"/>
          <w:sz w:val="16"/>
          <w:szCs w:val="16"/>
          <w:color w:val="auto"/>
        </w:rPr>
        <w:t>Announced that new interim clinical data on ARO-RAGE achieves high level of gene knockdown in patients with asthma.</w:t>
      </w:r>
    </w:p>
    <w:p>
      <w:pPr>
        <w:spacing w:after="0" w:line="113" w:lineRule="exact"/>
        <w:rPr>
          <w:rFonts w:ascii="Arial" w:cs="Arial" w:eastAsia="Arial" w:hAnsi="Arial"/>
          <w:sz w:val="16"/>
          <w:szCs w:val="16"/>
          <w:color w:val="026DCE"/>
        </w:rPr>
      </w:pPr>
    </w:p>
    <w:p>
      <w:pPr>
        <w:ind w:left="340" w:right="20" w:hanging="251"/>
        <w:spacing w:after="0" w:line="304" w:lineRule="auto"/>
        <w:tabs>
          <w:tab w:leader="none" w:pos="329" w:val="left"/>
        </w:tabs>
        <w:numPr>
          <w:ilvl w:val="0"/>
          <w:numId w:val="24"/>
        </w:numPr>
        <w:rPr>
          <w:rFonts w:ascii="Arial" w:cs="Arial" w:eastAsia="Arial" w:hAnsi="Arial"/>
          <w:sz w:val="16"/>
          <w:szCs w:val="16"/>
          <w:color w:val="026DCE"/>
        </w:rPr>
      </w:pPr>
      <w:r>
        <w:rPr>
          <w:rFonts w:ascii="Arial" w:cs="Arial" w:eastAsia="Arial" w:hAnsi="Arial"/>
          <w:sz w:val="16"/>
          <w:szCs w:val="16"/>
          <w:color w:val="auto"/>
        </w:rPr>
        <w:t>Amgen completed enrollment in Amgen’s Phase 3 OCEAN(a) - outcomes trial of olpasiran, triggering a $50.0 million milestone payment to the Company from Royalty Pharma, which was paid in the third quarter of fiscal 2024.</w:t>
      </w:r>
    </w:p>
    <w:p>
      <w:pPr>
        <w:spacing w:after="0" w:line="33" w:lineRule="exact"/>
        <w:rPr>
          <w:rFonts w:ascii="Arial" w:cs="Arial" w:eastAsia="Arial" w:hAnsi="Arial"/>
          <w:sz w:val="16"/>
          <w:szCs w:val="16"/>
          <w:color w:val="026DCE"/>
        </w:rPr>
      </w:pPr>
    </w:p>
    <w:p>
      <w:pPr>
        <w:jc w:val="both"/>
        <w:ind w:left="340" w:hanging="251"/>
        <w:spacing w:after="0" w:line="275" w:lineRule="auto"/>
        <w:tabs>
          <w:tab w:leader="none" w:pos="329" w:val="left"/>
        </w:tabs>
        <w:numPr>
          <w:ilvl w:val="0"/>
          <w:numId w:val="24"/>
        </w:numPr>
        <w:rPr>
          <w:rFonts w:ascii="Arial" w:cs="Arial" w:eastAsia="Arial" w:hAnsi="Arial"/>
          <w:sz w:val="16"/>
          <w:szCs w:val="16"/>
          <w:color w:val="026DCE"/>
        </w:rPr>
      </w:pPr>
      <w:r>
        <w:rPr>
          <w:rFonts w:ascii="Arial" w:cs="Arial" w:eastAsia="Arial" w:hAnsi="Arial"/>
          <w:sz w:val="16"/>
          <w:szCs w:val="16"/>
          <w:color w:val="auto"/>
        </w:rPr>
        <w:t>Presented final data from the double-blind treatment period of the Company’s Phase 2 SHASTA-2 study of investigational plozasiran in patients with severe Hypertriglyceridemia. Results from the SHASTA-2 study showed dramatic, consistent, and sustained reductions in Apolipoprotein C-III (APOC3) and triglycerides and improvement in multiple atherogenic lipoprotein levels.</w:t>
      </w:r>
    </w:p>
    <w:p>
      <w:pPr>
        <w:spacing w:after="0" w:line="56" w:lineRule="exact"/>
        <w:rPr>
          <w:rFonts w:ascii="Arial" w:cs="Arial" w:eastAsia="Arial" w:hAnsi="Arial"/>
          <w:sz w:val="16"/>
          <w:szCs w:val="16"/>
          <w:color w:val="026DCE"/>
        </w:rPr>
      </w:pPr>
    </w:p>
    <w:p>
      <w:pPr>
        <w:ind w:left="340" w:hanging="251"/>
        <w:spacing w:after="0" w:line="286" w:lineRule="auto"/>
        <w:tabs>
          <w:tab w:leader="none" w:pos="329" w:val="left"/>
        </w:tabs>
        <w:numPr>
          <w:ilvl w:val="0"/>
          <w:numId w:val="24"/>
        </w:numPr>
        <w:rPr>
          <w:rFonts w:ascii="Arial" w:cs="Arial" w:eastAsia="Arial" w:hAnsi="Arial"/>
          <w:sz w:val="16"/>
          <w:szCs w:val="16"/>
          <w:color w:val="026DCE"/>
        </w:rPr>
      </w:pPr>
      <w:r>
        <w:rPr>
          <w:rFonts w:ascii="Arial" w:cs="Arial" w:eastAsia="Arial" w:hAnsi="Arial"/>
          <w:sz w:val="16"/>
          <w:szCs w:val="16"/>
          <w:color w:val="auto"/>
        </w:rPr>
        <w:t>Announced an Expanded Access Program (“EAP”) to make investigational plozasiran available outside of a clinical trial for qualifying patients with familial chylomicronemia syndrome (FCS).</w:t>
      </w:r>
    </w:p>
    <w:p>
      <w:pPr>
        <w:spacing w:after="0" w:line="61" w:lineRule="exact"/>
        <w:rPr>
          <w:rFonts w:ascii="Arial" w:cs="Arial" w:eastAsia="Arial" w:hAnsi="Arial"/>
          <w:sz w:val="16"/>
          <w:szCs w:val="16"/>
          <w:color w:val="026DCE"/>
        </w:rPr>
      </w:pPr>
    </w:p>
    <w:p>
      <w:pPr>
        <w:ind w:left="340" w:hanging="251"/>
        <w:spacing w:after="0" w:line="286" w:lineRule="auto"/>
        <w:tabs>
          <w:tab w:leader="none" w:pos="329" w:val="left"/>
        </w:tabs>
        <w:numPr>
          <w:ilvl w:val="0"/>
          <w:numId w:val="24"/>
        </w:numPr>
        <w:rPr>
          <w:rFonts w:ascii="Arial" w:cs="Arial" w:eastAsia="Arial" w:hAnsi="Arial"/>
          <w:sz w:val="16"/>
          <w:szCs w:val="16"/>
          <w:color w:val="026DCE"/>
        </w:rPr>
      </w:pPr>
      <w:r>
        <w:rPr>
          <w:rFonts w:ascii="Arial" w:cs="Arial" w:eastAsia="Arial" w:hAnsi="Arial"/>
          <w:sz w:val="16"/>
          <w:szCs w:val="16"/>
          <w:color w:val="auto"/>
        </w:rPr>
        <w:t>Initiated a Phase 1/2a clinical trial of ARO-DM1, being developed as a potential treatment for type 1 myotonic dystrophy (DM1), the most common adult-onset muscular dystrophy.</w:t>
      </w:r>
    </w:p>
    <w:p>
      <w:pPr>
        <w:spacing w:after="0" w:line="61" w:lineRule="exact"/>
        <w:rPr>
          <w:rFonts w:ascii="Arial" w:cs="Arial" w:eastAsia="Arial" w:hAnsi="Arial"/>
          <w:sz w:val="16"/>
          <w:szCs w:val="16"/>
          <w:color w:val="026DCE"/>
        </w:rPr>
      </w:pPr>
    </w:p>
    <w:p>
      <w:pPr>
        <w:ind w:left="340" w:hanging="251"/>
        <w:spacing w:after="0" w:line="286" w:lineRule="auto"/>
        <w:tabs>
          <w:tab w:leader="none" w:pos="329" w:val="left"/>
        </w:tabs>
        <w:numPr>
          <w:ilvl w:val="0"/>
          <w:numId w:val="24"/>
        </w:numPr>
        <w:rPr>
          <w:rFonts w:ascii="Arial" w:cs="Arial" w:eastAsia="Arial" w:hAnsi="Arial"/>
          <w:sz w:val="16"/>
          <w:szCs w:val="16"/>
          <w:color w:val="026DCE"/>
        </w:rPr>
      </w:pPr>
      <w:r>
        <w:rPr>
          <w:rFonts w:ascii="Arial" w:cs="Arial" w:eastAsia="Arial" w:hAnsi="Arial"/>
          <w:sz w:val="16"/>
          <w:szCs w:val="16"/>
          <w:color w:val="auto"/>
        </w:rPr>
        <w:t>Filed an application for clearance to initiate a Phase 1/2a clinical trial of ARO-CFB, being developed as a potential treatment for complement mediated renal disease.</w:t>
      </w:r>
    </w:p>
    <w:p>
      <w:pPr>
        <w:spacing w:after="0" w:line="47" w:lineRule="exact"/>
        <w:rPr>
          <w:rFonts w:ascii="Arial" w:cs="Arial" w:eastAsia="Arial" w:hAnsi="Arial"/>
          <w:sz w:val="16"/>
          <w:szCs w:val="16"/>
          <w:color w:val="026DCE"/>
        </w:rPr>
      </w:pPr>
    </w:p>
    <w:p>
      <w:pPr>
        <w:jc w:val="both"/>
        <w:ind w:left="340" w:hanging="251"/>
        <w:spacing w:after="0" w:line="275" w:lineRule="auto"/>
        <w:tabs>
          <w:tab w:leader="none" w:pos="329" w:val="left"/>
        </w:tabs>
        <w:numPr>
          <w:ilvl w:val="0"/>
          <w:numId w:val="24"/>
        </w:numPr>
        <w:rPr>
          <w:rFonts w:ascii="Arial" w:cs="Arial" w:eastAsia="Arial" w:hAnsi="Arial"/>
          <w:sz w:val="16"/>
          <w:szCs w:val="16"/>
          <w:color w:val="026DCE"/>
        </w:rPr>
      </w:pPr>
      <w:r>
        <w:rPr>
          <w:rFonts w:ascii="Arial" w:cs="Arial" w:eastAsia="Arial" w:hAnsi="Arial"/>
          <w:sz w:val="16"/>
          <w:szCs w:val="16"/>
          <w:color w:val="auto"/>
        </w:rPr>
        <w:t>Entered into an Amended and Restated License Agreement with GSK, pursuant to which GSK received a worldwide, exclusive license to develop and commercialize daplusiran/tomligisiran (GSK5637608, formerly JNJ-3989). Daplusiran/tomligisiran had previously been licensed to Janssen Pharmaceuticals, Inc.</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Business Development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Sarepta Therapeutics, Inc.</w:t>
      </w:r>
    </w:p>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November 25, 2024, the Company entered into an Exclusive License and Collaboration Agreement (the “Sarepta Collaboration”) with Sarepta Therapeutics, Inc. (“Sarepta”) for the co-development and commercialization of ARO-DUX4, ARO-DM1, ARO-MMP7, and ARO-ATXN2 clinical stage programs. Sarepta has also received an exclusive sublicensable worldwide license to the Company’s ARO-HTT, ARO-ATXN1, and ARO-ATXN3 preclinical stage programs.</w:t>
      </w:r>
    </w:p>
    <w:p>
      <w:pPr>
        <w:spacing w:after="0" w:line="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Pursuant to the Sarepta Collaboration, Sarepta may select up to six gene targets for which the Company will perform discovery, optimization and preclinical development activities to identify RNAi compounds against each selected target. Upon completion of the Company’s preclinical activities, Sarepta will receive an exclusive license to the Company’s intellectual property rights to exploit those compounds and be wholly responsible for clinical development and commercialization of each compound.</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Closing of the Sarepta Collaboration is subject to clearance under the Hart-Scott Rodino Antitrust Improvements Act.</w:t>
      </w:r>
    </w:p>
    <w:p>
      <w:pPr>
        <w:spacing w:after="0" w:line="262"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In connection with the Sarepta Collaboration, on November 25, 2024, the Company entered into a Stock Purchase Agreement (the “Stock Purchase Agreement”) with an affiliate of Sarepta for a private placement of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476250</wp:posOffset>
            </wp:positionV>
            <wp:extent cx="986155" cy="2057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E"/>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common stock of the Company (the “Private Placement”). Pursuant to the Stock Purchase Agreement, the Company sold 11,926,301 shares of common stock, at a price per share of $27.25, for an aggregate value of approximately $325.0 million. The Private Placement is expected to close concurrently with the Sarepta Collaboration.</w:t>
      </w:r>
    </w:p>
    <w:p>
      <w:pPr>
        <w:spacing w:after="0" w:line="191"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Under the terms of the agreements taken together, the Company expects to receive $500.0 million as an upfront payment under the Sarepta Collaboration, $325.0 million in the form of an equity investment under the Stock Purchase Agreement, and $250.0 million to be paid in annual installments of $50.0 million over 5 years. The Company is also eligible to receive $300.0 million in near-term payments associated with the continued enrollment of certain cohorts of a Phase 1/2 study, which the Company is on track to achieve. Further, for each of the 13 programs, the Company is eligible to receive development milestone payments between $110.0 million and $180.0 million per program and sales milestone payments between $500.0 million and $700.0 million per program. The Company is also eligible to receive tiered royalties on net sales of licensed products of up to the low double digits.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Platform</w:t>
      </w:r>
    </w:p>
    <w:p>
      <w:pPr>
        <w:spacing w:after="0" w:line="106" w:lineRule="exact"/>
        <w:rPr>
          <w:sz w:val="20"/>
          <w:szCs w:val="20"/>
          <w:color w:val="auto"/>
        </w:rPr>
      </w:pPr>
    </w:p>
    <w:p>
      <w:pPr>
        <w:jc w:val="both"/>
        <w:spacing w:after="0"/>
        <w:rPr>
          <w:sz w:val="20"/>
          <w:szCs w:val="20"/>
          <w:color w:val="auto"/>
        </w:rPr>
      </w:pPr>
      <w:r>
        <w:rPr>
          <w:rFonts w:ascii="Arial" w:cs="Arial" w:eastAsia="Arial" w:hAnsi="Arial"/>
          <w:sz w:val="16"/>
          <w:szCs w:val="16"/>
          <w:color w:val="auto"/>
        </w:rPr>
        <w:t>In fiscal 2024, the Company continued to develop and deploy its Targeted RNAi Molecule platform (“</w:t>
      </w:r>
      <w:r>
        <w:rPr>
          <w:rFonts w:ascii="Arial" w:cs="Arial" w:eastAsia="Arial" w:hAnsi="Arial"/>
          <w:sz w:val="16"/>
          <w:szCs w:val="16"/>
          <w:b w:val="1"/>
          <w:bCs w:val="1"/>
          <w:color w:val="auto"/>
        </w:rPr>
        <w:t>TRiM</w:t>
      </w:r>
      <w:r>
        <w:rPr>
          <w:rFonts w:ascii="Arial" w:cs="Arial" w:eastAsia="Arial" w:hAnsi="Arial"/>
          <w:sz w:val="8"/>
          <w:szCs w:val="8"/>
          <w:color w:val="auto"/>
        </w:rPr>
        <w:t>™</w:t>
      </w:r>
      <w:r>
        <w:rPr>
          <w:rFonts w:ascii="Arial" w:cs="Arial" w:eastAsia="Arial" w:hAnsi="Arial"/>
          <w:sz w:val="16"/>
          <w:szCs w:val="16"/>
          <w:color w:val="auto"/>
        </w:rPr>
        <w:t>”) to identify and develop new therapeutics. TRiM</w:t>
      </w:r>
      <w:r>
        <w:rPr>
          <w:rFonts w:ascii="Arial" w:cs="Arial" w:eastAsia="Arial" w:hAnsi="Arial"/>
          <w:sz w:val="8"/>
          <w:szCs w:val="8"/>
          <w:color w:val="auto"/>
        </w:rPr>
        <w:t>™</w:t>
      </w:r>
      <w:r>
        <w:rPr>
          <w:rFonts w:ascii="Arial" w:cs="Arial" w:eastAsia="Arial" w:hAnsi="Arial"/>
          <w:sz w:val="16"/>
          <w:szCs w:val="16"/>
          <w:color w:val="auto"/>
        </w:rPr>
        <w:t xml:space="preserve"> utilizes ligand-mediated delivery and is designed to enable tissue-specific targeting, while being structurally simple. Targeting has been core to the Company’s development philosophy and the TRiM</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platform builds on more than a decade of work on actively targeted drug delivery vehicles. The TRiM</w:t>
      </w:r>
      <w:r>
        <w:rPr>
          <w:rFonts w:ascii="Arial" w:cs="Arial" w:eastAsia="Arial" w:hAnsi="Arial"/>
          <w:sz w:val="8"/>
          <w:szCs w:val="8"/>
          <w:color w:val="auto"/>
        </w:rPr>
        <w:t>™</w:t>
      </w:r>
      <w:r>
        <w:rPr>
          <w:rFonts w:ascii="Arial" w:cs="Arial" w:eastAsia="Arial" w:hAnsi="Arial"/>
          <w:sz w:val="16"/>
          <w:szCs w:val="16"/>
          <w:color w:val="auto"/>
        </w:rPr>
        <w:t xml:space="preserve"> platform is designed to offer several potential competitive advantages including:</w:t>
      </w:r>
    </w:p>
    <w:p>
      <w:pPr>
        <w:spacing w:after="0" w:line="111" w:lineRule="exact"/>
        <w:rPr>
          <w:sz w:val="20"/>
          <w:szCs w:val="20"/>
          <w:color w:val="auto"/>
        </w:rPr>
      </w:pPr>
    </w:p>
    <w:p>
      <w:pPr>
        <w:ind w:left="320" w:hanging="231"/>
        <w:spacing w:after="0"/>
        <w:tabs>
          <w:tab w:leader="none" w:pos="320" w:val="left"/>
        </w:tabs>
        <w:numPr>
          <w:ilvl w:val="0"/>
          <w:numId w:val="25"/>
        </w:numPr>
        <w:rPr>
          <w:rFonts w:ascii="Arial" w:cs="Arial" w:eastAsia="Arial" w:hAnsi="Arial"/>
          <w:sz w:val="16"/>
          <w:szCs w:val="16"/>
          <w:color w:val="0071CE"/>
        </w:rPr>
      </w:pPr>
      <w:r>
        <w:rPr>
          <w:rFonts w:ascii="Arial" w:cs="Arial" w:eastAsia="Arial" w:hAnsi="Arial"/>
          <w:sz w:val="16"/>
          <w:szCs w:val="16"/>
          <w:color w:val="auto"/>
        </w:rPr>
        <w:t>A more sophisticated RNAi trigger selection and screening process that identifies potent sequences rapidly in locations that RNAi competitors may miss;</w:t>
      </w:r>
    </w:p>
    <w:p>
      <w:pPr>
        <w:spacing w:after="0" w:line="113" w:lineRule="exact"/>
        <w:rPr>
          <w:rFonts w:ascii="Arial" w:cs="Arial" w:eastAsia="Arial" w:hAnsi="Arial"/>
          <w:sz w:val="16"/>
          <w:szCs w:val="16"/>
          <w:color w:val="0071CE"/>
        </w:rPr>
      </w:pPr>
    </w:p>
    <w:p>
      <w:pPr>
        <w:ind w:left="320" w:hanging="231"/>
        <w:spacing w:after="0"/>
        <w:tabs>
          <w:tab w:leader="none" w:pos="320" w:val="left"/>
        </w:tabs>
        <w:numPr>
          <w:ilvl w:val="0"/>
          <w:numId w:val="25"/>
        </w:numPr>
        <w:rPr>
          <w:rFonts w:ascii="Arial" w:cs="Arial" w:eastAsia="Arial" w:hAnsi="Arial"/>
          <w:sz w:val="16"/>
          <w:szCs w:val="16"/>
          <w:color w:val="0071CE"/>
        </w:rPr>
      </w:pPr>
      <w:r>
        <w:rPr>
          <w:rFonts w:ascii="Arial" w:cs="Arial" w:eastAsia="Arial" w:hAnsi="Arial"/>
          <w:sz w:val="16"/>
          <w:szCs w:val="16"/>
          <w:color w:val="auto"/>
        </w:rPr>
        <w:t>Multiple routes of administration including subcutaneous, intravenous and inhaled;</w:t>
      </w:r>
    </w:p>
    <w:p>
      <w:pPr>
        <w:spacing w:after="0" w:line="126" w:lineRule="exact"/>
        <w:rPr>
          <w:rFonts w:ascii="Arial" w:cs="Arial" w:eastAsia="Arial" w:hAnsi="Arial"/>
          <w:sz w:val="16"/>
          <w:szCs w:val="16"/>
          <w:color w:val="0071CE"/>
        </w:rPr>
      </w:pPr>
    </w:p>
    <w:p>
      <w:pPr>
        <w:ind w:left="320" w:hanging="231"/>
        <w:spacing w:after="0"/>
        <w:tabs>
          <w:tab w:leader="none" w:pos="320" w:val="left"/>
        </w:tabs>
        <w:numPr>
          <w:ilvl w:val="0"/>
          <w:numId w:val="25"/>
        </w:numPr>
        <w:rPr>
          <w:rFonts w:ascii="Arial" w:cs="Arial" w:eastAsia="Arial" w:hAnsi="Arial"/>
          <w:sz w:val="16"/>
          <w:szCs w:val="16"/>
          <w:color w:val="0071CE"/>
        </w:rPr>
      </w:pPr>
      <w:r>
        <w:rPr>
          <w:rFonts w:ascii="Arial" w:cs="Arial" w:eastAsia="Arial" w:hAnsi="Arial"/>
          <w:sz w:val="16"/>
          <w:szCs w:val="16"/>
          <w:color w:val="auto"/>
        </w:rPr>
        <w:t>Faster time to clinical candidates;</w:t>
      </w:r>
    </w:p>
    <w:p>
      <w:pPr>
        <w:spacing w:after="0" w:line="113" w:lineRule="exact"/>
        <w:rPr>
          <w:rFonts w:ascii="Arial" w:cs="Arial" w:eastAsia="Arial" w:hAnsi="Arial"/>
          <w:sz w:val="16"/>
          <w:szCs w:val="16"/>
          <w:color w:val="0071CE"/>
        </w:rPr>
      </w:pPr>
    </w:p>
    <w:p>
      <w:pPr>
        <w:ind w:left="320" w:hanging="231"/>
        <w:spacing w:after="0"/>
        <w:tabs>
          <w:tab w:leader="none" w:pos="320" w:val="left"/>
        </w:tabs>
        <w:numPr>
          <w:ilvl w:val="0"/>
          <w:numId w:val="25"/>
        </w:numPr>
        <w:rPr>
          <w:rFonts w:ascii="Arial" w:cs="Arial" w:eastAsia="Arial" w:hAnsi="Arial"/>
          <w:sz w:val="16"/>
          <w:szCs w:val="16"/>
          <w:color w:val="0071CE"/>
        </w:rPr>
      </w:pPr>
      <w:r>
        <w:rPr>
          <w:rFonts w:ascii="Arial" w:cs="Arial" w:eastAsia="Arial" w:hAnsi="Arial"/>
          <w:sz w:val="16"/>
          <w:szCs w:val="16"/>
          <w:color w:val="auto"/>
        </w:rPr>
        <w:t>Optimal pharmacologic activity and long duration-of-effect;</w:t>
      </w:r>
    </w:p>
    <w:p>
      <w:pPr>
        <w:spacing w:after="0" w:line="113" w:lineRule="exact"/>
        <w:rPr>
          <w:rFonts w:ascii="Arial" w:cs="Arial" w:eastAsia="Arial" w:hAnsi="Arial"/>
          <w:sz w:val="16"/>
          <w:szCs w:val="16"/>
          <w:color w:val="0071CE"/>
        </w:rPr>
      </w:pPr>
    </w:p>
    <w:p>
      <w:pPr>
        <w:ind w:left="320" w:hanging="231"/>
        <w:spacing w:after="0"/>
        <w:tabs>
          <w:tab w:leader="none" w:pos="320" w:val="left"/>
        </w:tabs>
        <w:numPr>
          <w:ilvl w:val="0"/>
          <w:numId w:val="25"/>
        </w:numPr>
        <w:rPr>
          <w:rFonts w:ascii="Arial" w:cs="Arial" w:eastAsia="Arial" w:hAnsi="Arial"/>
          <w:sz w:val="16"/>
          <w:szCs w:val="16"/>
          <w:color w:val="0071CE"/>
        </w:rPr>
      </w:pPr>
      <w:r>
        <w:rPr>
          <w:rFonts w:ascii="Arial" w:cs="Arial" w:eastAsia="Arial" w:hAnsi="Arial"/>
          <w:sz w:val="16"/>
          <w:szCs w:val="16"/>
          <w:color w:val="auto"/>
        </w:rPr>
        <w:t>Potentially wide safety margins;</w:t>
      </w:r>
    </w:p>
    <w:p>
      <w:pPr>
        <w:spacing w:after="0" w:line="126" w:lineRule="exact"/>
        <w:rPr>
          <w:rFonts w:ascii="Arial" w:cs="Arial" w:eastAsia="Arial" w:hAnsi="Arial"/>
          <w:sz w:val="16"/>
          <w:szCs w:val="16"/>
          <w:color w:val="0071CE"/>
        </w:rPr>
      </w:pPr>
    </w:p>
    <w:p>
      <w:pPr>
        <w:ind w:left="320" w:hanging="231"/>
        <w:spacing w:after="0"/>
        <w:tabs>
          <w:tab w:leader="none" w:pos="320" w:val="left"/>
        </w:tabs>
        <w:numPr>
          <w:ilvl w:val="0"/>
          <w:numId w:val="25"/>
        </w:numPr>
        <w:rPr>
          <w:rFonts w:ascii="Arial" w:cs="Arial" w:eastAsia="Arial" w:hAnsi="Arial"/>
          <w:sz w:val="16"/>
          <w:szCs w:val="16"/>
          <w:color w:val="0071CE"/>
        </w:rPr>
      </w:pPr>
      <w:r>
        <w:rPr>
          <w:rFonts w:ascii="Arial" w:cs="Arial" w:eastAsia="Arial" w:hAnsi="Arial"/>
          <w:sz w:val="16"/>
          <w:szCs w:val="16"/>
          <w:color w:val="auto"/>
        </w:rPr>
        <w:t>Simplified manufacturing at reduced cost; and</w:t>
      </w:r>
    </w:p>
    <w:p>
      <w:pPr>
        <w:spacing w:after="0" w:line="113" w:lineRule="exact"/>
        <w:rPr>
          <w:rFonts w:ascii="Arial" w:cs="Arial" w:eastAsia="Arial" w:hAnsi="Arial"/>
          <w:sz w:val="16"/>
          <w:szCs w:val="16"/>
          <w:color w:val="0071CE"/>
        </w:rPr>
      </w:pPr>
    </w:p>
    <w:p>
      <w:pPr>
        <w:ind w:left="320" w:hanging="231"/>
        <w:spacing w:after="0"/>
        <w:tabs>
          <w:tab w:leader="none" w:pos="320" w:val="left"/>
        </w:tabs>
        <w:numPr>
          <w:ilvl w:val="0"/>
          <w:numId w:val="25"/>
        </w:numPr>
        <w:rPr>
          <w:rFonts w:ascii="Arial" w:cs="Arial" w:eastAsia="Arial" w:hAnsi="Arial"/>
          <w:sz w:val="16"/>
          <w:szCs w:val="16"/>
          <w:color w:val="0071CE"/>
        </w:rPr>
      </w:pPr>
      <w:r>
        <w:rPr>
          <w:rFonts w:ascii="Arial" w:cs="Arial" w:eastAsia="Arial" w:hAnsi="Arial"/>
          <w:sz w:val="16"/>
          <w:szCs w:val="16"/>
          <w:color w:val="auto"/>
        </w:rPr>
        <w:t>The ability to take RNAi to tissues beyond the 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586740</wp:posOffset>
            </wp:positionV>
            <wp:extent cx="986155" cy="2057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Pipeline</w:t>
      </w:r>
    </w:p>
    <w:p>
      <w:pPr>
        <w:spacing w:after="0" w:line="12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Arrowhead is focused on developing innovative drugs for diseases with a genetic basis, typically characterized by the overproduction of one or more proteins that are involved with disease. The depth and versatility of Arrowhead's RNAi technologies enables Arrowhead to potentially address conditions in virtually any therapeutic area and pursue disease targets that are not otherwise addressable by small molecules and biologics. Arrowhead is focused on bringing the promise of RNAi to address diseases outside of the liver, and its pipeline now includes disease targets in the liver, lung, muscle and CNS.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timing of our planned and already filed clinical trial applications (“</w:t>
      </w:r>
      <w:r>
        <w:rPr>
          <w:rFonts w:ascii="Arial" w:cs="Arial" w:eastAsia="Arial" w:hAnsi="Arial"/>
          <w:sz w:val="16"/>
          <w:szCs w:val="16"/>
          <w:b w:val="1"/>
          <w:bCs w:val="1"/>
          <w:i w:val="1"/>
          <w:iCs w:val="1"/>
          <w:color w:val="auto"/>
        </w:rPr>
        <w:t>CTA</w:t>
      </w:r>
      <w:r>
        <w:rPr>
          <w:rFonts w:ascii="Arial" w:cs="Arial" w:eastAsia="Arial" w:hAnsi="Arial"/>
          <w:sz w:val="16"/>
          <w:szCs w:val="16"/>
          <w:i w:val="1"/>
          <w:iCs w:val="1"/>
          <w:color w:val="auto"/>
        </w:rPr>
        <w:t>”) discussed below are based on calendar years, not fiscal years.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Arrowhead Proprietary Clinical Stage Candidates</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Plozasiran (ARO-APOC3) </w:t>
      </w:r>
      <w:r>
        <w:rPr>
          <w:rFonts w:ascii="Arial" w:cs="Arial" w:eastAsia="Arial" w:hAnsi="Arial"/>
          <w:sz w:val="16"/>
          <w:szCs w:val="16"/>
          <w:color w:val="auto"/>
        </w:rPr>
        <w:t>is designed to reduce production of Apolipoprotein C-III (apoC-III), a component of triglyceride rich lipoproteins (TRLs)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Very Low Density Lipoprotein (VLDL) and chylomicrons, a key regulator of triglyceride metabolism. The Company believes that knocking down the hepatic production of apoC-III may result in reduced VLDL synthesis and assembly, enhanced breakdown of TRLs, and better clearance of VLDL and chylomicron remnants. The Company is currently investigating plozasiran in one Phase 2 clinical trial and four Phase 3 clinical trials. In the Phase 3 PALISADE trial in patients with familial chylomicronemia syndrome (FCS), plozasiran has met its primary endpoint of triglyceride reduction as well as all of its key (alpha controlled) secondary endpoints. The Company is currently in the process of seeking regulatory approval for plozasiran for the treatment of FCS.</w:t>
      </w:r>
    </w:p>
    <w:p>
      <w:pPr>
        <w:spacing w:after="0" w:line="184" w:lineRule="exact"/>
        <w:rPr>
          <w:sz w:val="20"/>
          <w:szCs w:val="20"/>
          <w:color w:val="auto"/>
        </w:rPr>
      </w:pPr>
    </w:p>
    <w:p>
      <w:pPr>
        <w:ind w:left="320" w:hanging="231"/>
        <w:spacing w:after="0"/>
        <w:tabs>
          <w:tab w:leader="none" w:pos="320" w:val="left"/>
        </w:tabs>
        <w:numPr>
          <w:ilvl w:val="0"/>
          <w:numId w:val="26"/>
        </w:numPr>
        <w:rPr>
          <w:rFonts w:ascii="Arial" w:cs="Arial" w:eastAsia="Arial" w:hAnsi="Arial"/>
          <w:sz w:val="16"/>
          <w:szCs w:val="16"/>
          <w:color w:val="0071CE"/>
        </w:rPr>
      </w:pPr>
      <w:r>
        <w:rPr>
          <w:rFonts w:ascii="Arial" w:cs="Arial" w:eastAsia="Arial" w:hAnsi="Arial"/>
          <w:sz w:val="16"/>
          <w:szCs w:val="16"/>
          <w:b w:val="1"/>
          <w:bCs w:val="1"/>
          <w:color w:val="auto"/>
        </w:rPr>
        <w:t>Study Name: Study of ARO-APOC3 in Adults With Dyslipidemia</w:t>
      </w:r>
    </w:p>
    <w:p>
      <w:pPr>
        <w:ind w:left="340" w:right="1500"/>
        <w:spacing w:after="0" w:line="325" w:lineRule="auto"/>
        <w:rPr>
          <w:rFonts w:ascii="Arial" w:cs="Arial" w:eastAsia="Arial" w:hAnsi="Arial"/>
          <w:sz w:val="16"/>
          <w:szCs w:val="16"/>
          <w:color w:val="0071CE"/>
        </w:rPr>
      </w:pPr>
      <w:r>
        <w:rPr>
          <w:rFonts w:ascii="Arial" w:cs="Arial" w:eastAsia="Arial" w:hAnsi="Arial"/>
          <w:sz w:val="16"/>
          <w:szCs w:val="16"/>
          <w:color w:val="auto"/>
        </w:rPr>
        <w:t>A Phase 2 Open-Label Extension Study to Evaluate the Long-Term Safety and Efficacy of ARO-APOC3 in Adults With Dyslipidemia ClinicalTrials.gov Identifier: NCT05413135</w:t>
      </w:r>
    </w:p>
    <w:p>
      <w:pPr>
        <w:spacing w:after="0" w:line="1" w:lineRule="exact"/>
        <w:rPr>
          <w:rFonts w:ascii="Arial" w:cs="Arial" w:eastAsia="Arial" w:hAnsi="Arial"/>
          <w:sz w:val="16"/>
          <w:szCs w:val="16"/>
          <w:color w:val="0071CE"/>
        </w:rPr>
      </w:pPr>
    </w:p>
    <w:p>
      <w:pPr>
        <w:ind w:left="320" w:hanging="231"/>
        <w:spacing w:after="0" w:line="211" w:lineRule="auto"/>
        <w:tabs>
          <w:tab w:leader="none" w:pos="320" w:val="left"/>
        </w:tabs>
        <w:numPr>
          <w:ilvl w:val="0"/>
          <w:numId w:val="26"/>
        </w:numPr>
        <w:rPr>
          <w:rFonts w:ascii="Arial" w:cs="Arial" w:eastAsia="Arial" w:hAnsi="Arial"/>
          <w:sz w:val="16"/>
          <w:szCs w:val="16"/>
          <w:color w:val="0071CE"/>
        </w:rPr>
      </w:pPr>
      <w:r>
        <w:rPr>
          <w:rFonts w:ascii="Arial" w:cs="Arial" w:eastAsia="Arial" w:hAnsi="Arial"/>
          <w:sz w:val="16"/>
          <w:szCs w:val="16"/>
          <w:b w:val="1"/>
          <w:bCs w:val="1"/>
          <w:color w:val="auto"/>
        </w:rPr>
        <w:t>Study Name: Study of ARO-APOC3 in Adults With FCS (PALISADE)</w:t>
      </w:r>
    </w:p>
    <w:p>
      <w:pPr>
        <w:ind w:left="340" w:right="2240"/>
        <w:spacing w:after="0" w:line="316" w:lineRule="auto"/>
        <w:rPr>
          <w:rFonts w:ascii="Arial" w:cs="Arial" w:eastAsia="Arial" w:hAnsi="Arial"/>
          <w:sz w:val="16"/>
          <w:szCs w:val="16"/>
          <w:color w:val="0071CE"/>
        </w:rPr>
      </w:pPr>
      <w:r>
        <w:rPr>
          <w:rFonts w:ascii="Arial" w:cs="Arial" w:eastAsia="Arial" w:hAnsi="Arial"/>
          <w:sz w:val="16"/>
          <w:szCs w:val="16"/>
          <w:color w:val="auto"/>
        </w:rPr>
        <w:t>A Phase 3 Study to Evaluate the Efficacy and Safety of ARO-APOC3 in Adults With Familial Chylomicronemia Syndrome ClinicalTrials.gov Identifier: NCT05089084</w:t>
      </w:r>
    </w:p>
    <w:p>
      <w:pPr>
        <w:spacing w:after="0" w:line="1" w:lineRule="exact"/>
        <w:rPr>
          <w:rFonts w:ascii="Arial" w:cs="Arial" w:eastAsia="Arial" w:hAnsi="Arial"/>
          <w:sz w:val="16"/>
          <w:szCs w:val="16"/>
          <w:color w:val="0071CE"/>
        </w:rPr>
      </w:pPr>
    </w:p>
    <w:p>
      <w:pPr>
        <w:ind w:left="320" w:hanging="231"/>
        <w:spacing w:after="0" w:line="211" w:lineRule="auto"/>
        <w:tabs>
          <w:tab w:leader="none" w:pos="320" w:val="left"/>
        </w:tabs>
        <w:numPr>
          <w:ilvl w:val="0"/>
          <w:numId w:val="26"/>
        </w:numPr>
        <w:rPr>
          <w:rFonts w:ascii="Arial" w:cs="Arial" w:eastAsia="Arial" w:hAnsi="Arial"/>
          <w:sz w:val="16"/>
          <w:szCs w:val="16"/>
          <w:color w:val="0071CE"/>
        </w:rPr>
      </w:pPr>
      <w:r>
        <w:rPr>
          <w:rFonts w:ascii="Arial" w:cs="Arial" w:eastAsia="Arial" w:hAnsi="Arial"/>
          <w:sz w:val="16"/>
          <w:szCs w:val="16"/>
          <w:b w:val="1"/>
          <w:bCs w:val="1"/>
          <w:color w:val="auto"/>
        </w:rPr>
        <w:t>Study Name: Study of Plozasiran (ARO-APOC3) in Adults With Severe Hypertriglyceridemia (SHASTA-3)</w:t>
      </w:r>
    </w:p>
    <w:p>
      <w:pPr>
        <w:ind w:left="340"/>
        <w:spacing w:after="0" w:line="211" w:lineRule="auto"/>
        <w:rPr>
          <w:rFonts w:ascii="Arial" w:cs="Arial" w:eastAsia="Arial" w:hAnsi="Arial"/>
          <w:sz w:val="16"/>
          <w:szCs w:val="16"/>
          <w:color w:val="0071CE"/>
        </w:rPr>
      </w:pPr>
      <w:r>
        <w:rPr>
          <w:rFonts w:ascii="Arial" w:cs="Arial" w:eastAsia="Arial" w:hAnsi="Arial"/>
          <w:sz w:val="16"/>
          <w:szCs w:val="16"/>
          <w:color w:val="auto"/>
        </w:rPr>
        <w:t>Double-blind, Placebo-controlled, Phase 3 Study to Evaluate the Efficacy and Safety of Plozasiran in Adults With Severe Hypertriglyceridemia</w:t>
      </w:r>
    </w:p>
    <w:p>
      <w:pPr>
        <w:ind w:left="320" w:hanging="231"/>
        <w:spacing w:after="0"/>
        <w:tabs>
          <w:tab w:leader="none" w:pos="320" w:val="left"/>
        </w:tabs>
        <w:numPr>
          <w:ilvl w:val="0"/>
          <w:numId w:val="26"/>
        </w:numPr>
        <w:rPr>
          <w:rFonts w:ascii="Arial" w:cs="Arial" w:eastAsia="Arial" w:hAnsi="Arial"/>
          <w:sz w:val="16"/>
          <w:szCs w:val="16"/>
          <w:color w:val="0071CE"/>
        </w:rPr>
      </w:pPr>
      <w:r>
        <w:rPr>
          <w:rFonts w:ascii="Arial" w:cs="Arial" w:eastAsia="Arial" w:hAnsi="Arial"/>
          <w:sz w:val="16"/>
          <w:szCs w:val="16"/>
          <w:color w:val="auto"/>
        </w:rPr>
        <w:t>ClinicalTrials.gov Identifier: NCT06347003</w:t>
      </w:r>
    </w:p>
    <w:p>
      <w:pPr>
        <w:spacing w:after="0" w:line="199" w:lineRule="exact"/>
        <w:rPr>
          <w:rFonts w:ascii="Arial" w:cs="Arial" w:eastAsia="Arial" w:hAnsi="Arial"/>
          <w:sz w:val="16"/>
          <w:szCs w:val="16"/>
          <w:color w:val="0071CE"/>
        </w:rPr>
      </w:pPr>
    </w:p>
    <w:p>
      <w:pPr>
        <w:ind w:left="320" w:hanging="231"/>
        <w:spacing w:after="0"/>
        <w:tabs>
          <w:tab w:leader="none" w:pos="320" w:val="left"/>
        </w:tabs>
        <w:numPr>
          <w:ilvl w:val="0"/>
          <w:numId w:val="26"/>
        </w:numPr>
        <w:rPr>
          <w:rFonts w:ascii="Arial" w:cs="Arial" w:eastAsia="Arial" w:hAnsi="Arial"/>
          <w:sz w:val="16"/>
          <w:szCs w:val="16"/>
          <w:color w:val="0071CE"/>
        </w:rPr>
      </w:pPr>
      <w:r>
        <w:rPr>
          <w:rFonts w:ascii="Arial" w:cs="Arial" w:eastAsia="Arial" w:hAnsi="Arial"/>
          <w:sz w:val="16"/>
          <w:szCs w:val="16"/>
          <w:b w:val="1"/>
          <w:bCs w:val="1"/>
          <w:color w:val="auto"/>
        </w:rPr>
        <w:t>Study Name: Study of Plozasiran in Adults With Severe Hypertriglyceridemia (SHASTA-4)</w:t>
      </w:r>
    </w:p>
    <w:p>
      <w:pPr>
        <w:ind w:left="340"/>
        <w:spacing w:after="0" w:line="211" w:lineRule="auto"/>
        <w:rPr>
          <w:rFonts w:ascii="Arial" w:cs="Arial" w:eastAsia="Arial" w:hAnsi="Arial"/>
          <w:sz w:val="16"/>
          <w:szCs w:val="16"/>
          <w:color w:val="0071CE"/>
        </w:rPr>
      </w:pPr>
      <w:r>
        <w:rPr>
          <w:rFonts w:ascii="Arial" w:cs="Arial" w:eastAsia="Arial" w:hAnsi="Arial"/>
          <w:sz w:val="16"/>
          <w:szCs w:val="16"/>
          <w:color w:val="auto"/>
        </w:rPr>
        <w:t>Double-blind, Placebo-controlled, Phase 3 Study to Evaluate the Efficacy and Safety of Plozsiran in Adults With Severe Hypertriglyceridemia</w:t>
      </w:r>
    </w:p>
    <w:p>
      <w:pPr>
        <w:ind w:left="320" w:hanging="231"/>
        <w:spacing w:after="0"/>
        <w:tabs>
          <w:tab w:leader="none" w:pos="320" w:val="left"/>
        </w:tabs>
        <w:numPr>
          <w:ilvl w:val="0"/>
          <w:numId w:val="26"/>
        </w:numPr>
        <w:rPr>
          <w:rFonts w:ascii="Arial" w:cs="Arial" w:eastAsia="Arial" w:hAnsi="Arial"/>
          <w:sz w:val="16"/>
          <w:szCs w:val="16"/>
          <w:color w:val="0071CE"/>
        </w:rPr>
      </w:pPr>
      <w:r>
        <w:rPr>
          <w:rFonts w:ascii="Arial" w:cs="Arial" w:eastAsia="Arial" w:hAnsi="Arial"/>
          <w:sz w:val="16"/>
          <w:szCs w:val="16"/>
          <w:color w:val="auto"/>
        </w:rPr>
        <w:t>ClinicalTrials.gov Identifier: NCT06347016</w:t>
      </w:r>
    </w:p>
    <w:p>
      <w:pPr>
        <w:spacing w:after="0" w:line="199" w:lineRule="exact"/>
        <w:rPr>
          <w:rFonts w:ascii="Arial" w:cs="Arial" w:eastAsia="Arial" w:hAnsi="Arial"/>
          <w:sz w:val="16"/>
          <w:szCs w:val="16"/>
          <w:color w:val="0071CE"/>
        </w:rPr>
      </w:pPr>
    </w:p>
    <w:p>
      <w:pPr>
        <w:ind w:left="320" w:hanging="231"/>
        <w:spacing w:after="0"/>
        <w:tabs>
          <w:tab w:leader="none" w:pos="320" w:val="left"/>
        </w:tabs>
        <w:numPr>
          <w:ilvl w:val="0"/>
          <w:numId w:val="26"/>
        </w:numPr>
        <w:rPr>
          <w:rFonts w:ascii="Arial" w:cs="Arial" w:eastAsia="Arial" w:hAnsi="Arial"/>
          <w:sz w:val="16"/>
          <w:szCs w:val="16"/>
          <w:color w:val="0071CE"/>
        </w:rPr>
      </w:pPr>
      <w:r>
        <w:rPr>
          <w:rFonts w:ascii="Arial" w:cs="Arial" w:eastAsia="Arial" w:hAnsi="Arial"/>
          <w:sz w:val="16"/>
          <w:szCs w:val="16"/>
          <w:b w:val="1"/>
          <w:bCs w:val="1"/>
          <w:color w:val="auto"/>
        </w:rPr>
        <w:t>Study Name: Phase 3 Study of Plozasiran in Adults With Hypertriglyceridemia (MUIR-3)</w:t>
      </w:r>
    </w:p>
    <w:p>
      <w:pPr>
        <w:ind w:left="340"/>
        <w:spacing w:after="0" w:line="211" w:lineRule="auto"/>
        <w:rPr>
          <w:rFonts w:ascii="Arial" w:cs="Arial" w:eastAsia="Arial" w:hAnsi="Arial"/>
          <w:sz w:val="16"/>
          <w:szCs w:val="16"/>
          <w:color w:val="0071CE"/>
        </w:rPr>
      </w:pPr>
      <w:r>
        <w:rPr>
          <w:rFonts w:ascii="Arial" w:cs="Arial" w:eastAsia="Arial" w:hAnsi="Arial"/>
          <w:sz w:val="16"/>
          <w:szCs w:val="16"/>
          <w:color w:val="auto"/>
        </w:rPr>
        <w:t>Double-blind, Placebo-controlled, Phase 3 Study to Evaluate the Efficacy and Safety of Plozasiran in Adults With Hypertriglyceridemia</w:t>
      </w:r>
    </w:p>
    <w:p>
      <w:pPr>
        <w:ind w:left="320" w:hanging="231"/>
        <w:spacing w:after="0"/>
        <w:tabs>
          <w:tab w:leader="none" w:pos="320" w:val="left"/>
        </w:tabs>
        <w:numPr>
          <w:ilvl w:val="0"/>
          <w:numId w:val="26"/>
        </w:numPr>
        <w:rPr>
          <w:rFonts w:ascii="Arial" w:cs="Arial" w:eastAsia="Arial" w:hAnsi="Arial"/>
          <w:sz w:val="16"/>
          <w:szCs w:val="16"/>
          <w:color w:val="0071CE"/>
        </w:rPr>
      </w:pPr>
      <w:r>
        <w:rPr>
          <w:rFonts w:ascii="Arial" w:cs="Arial" w:eastAsia="Arial" w:hAnsi="Arial"/>
          <w:sz w:val="16"/>
          <w:szCs w:val="16"/>
          <w:color w:val="auto"/>
        </w:rPr>
        <w:t>ClinicalTrials.gov Identifier: NCT06347133</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Zodasiran (</w:t>
      </w:r>
      <w:r>
        <w:rPr>
          <w:rFonts w:ascii="Arial" w:cs="Arial" w:eastAsia="Arial" w:hAnsi="Arial"/>
          <w:sz w:val="16"/>
          <w:szCs w:val="16"/>
          <w:b w:val="1"/>
          <w:bCs w:val="1"/>
          <w:i w:val="1"/>
          <w:iCs w:val="1"/>
          <w:color w:val="auto"/>
        </w:rPr>
        <w:t>ARO-ANG3</w:t>
      </w:r>
      <w:r>
        <w:rPr>
          <w:rFonts w:ascii="Arial" w:cs="Arial" w:eastAsia="Arial" w:hAnsi="Arial"/>
          <w:sz w:val="16"/>
          <w:szCs w:val="16"/>
          <w:b w:val="1"/>
          <w:bCs w:val="1"/>
          <w:color w:val="auto"/>
        </w:rPr>
        <w:t xml:space="preserve">) </w:t>
      </w:r>
      <w:r>
        <w:rPr>
          <w:rFonts w:ascii="Arial" w:cs="Arial" w:eastAsia="Arial" w:hAnsi="Arial"/>
          <w:sz w:val="16"/>
          <w:szCs w:val="16"/>
          <w:color w:val="auto"/>
        </w:rPr>
        <w:t>is designed to reduce production of angiopoietin-like protein 3 (“</w:t>
      </w:r>
      <w:r>
        <w:rPr>
          <w:rFonts w:ascii="Arial" w:cs="Arial" w:eastAsia="Arial" w:hAnsi="Arial"/>
          <w:sz w:val="16"/>
          <w:szCs w:val="16"/>
          <w:b w:val="1"/>
          <w:bCs w:val="1"/>
          <w:color w:val="auto"/>
        </w:rPr>
        <w:t>ANGPTL3</w:t>
      </w:r>
      <w:r>
        <w:rPr>
          <w:rFonts w:ascii="Arial" w:cs="Arial" w:eastAsia="Arial" w:hAnsi="Arial"/>
          <w:sz w:val="16"/>
          <w:szCs w:val="16"/>
          <w:color w:val="auto"/>
        </w:rPr>
        <w:t>”), a liver synthesized inhibitor of lipoprotein lipase and</w:t>
      </w:r>
      <w:r>
        <w:rPr>
          <w:rFonts w:ascii="Arial" w:cs="Arial" w:eastAsia="Arial" w:hAnsi="Arial"/>
          <w:sz w:val="16"/>
          <w:szCs w:val="16"/>
          <w:b w:val="1"/>
          <w:bCs w:val="1"/>
          <w:color w:val="auto"/>
        </w:rPr>
        <w:t xml:space="preserve"> </w:t>
      </w:r>
      <w:r>
        <w:rPr>
          <w:rFonts w:ascii="Arial" w:cs="Arial" w:eastAsia="Arial" w:hAnsi="Arial"/>
          <w:sz w:val="16"/>
          <w:szCs w:val="16"/>
          <w:color w:val="auto"/>
        </w:rPr>
        <w:t>endothelial lipase. ANGPTL3 inhibition has been shown to lower serum LDL, serum and liver triglyceride and has genetic validation as a novel target for cardiovascular disease. Arrowhead is currently investigating zodasiran in two Phase 2b clinical trials.</w:t>
      </w:r>
    </w:p>
    <w:p>
      <w:pPr>
        <w:spacing w:after="0" w:line="191" w:lineRule="exact"/>
        <w:rPr>
          <w:sz w:val="20"/>
          <w:szCs w:val="20"/>
          <w:color w:val="auto"/>
        </w:rPr>
      </w:pPr>
    </w:p>
    <w:p>
      <w:pPr>
        <w:ind w:left="340" w:hanging="251"/>
        <w:spacing w:after="0" w:line="304" w:lineRule="auto"/>
        <w:tabs>
          <w:tab w:leader="none" w:pos="329" w:val="left"/>
        </w:tabs>
        <w:numPr>
          <w:ilvl w:val="0"/>
          <w:numId w:val="27"/>
        </w:numPr>
        <w:rPr>
          <w:rFonts w:ascii="Arial" w:cs="Arial" w:eastAsia="Arial" w:hAnsi="Arial"/>
          <w:sz w:val="16"/>
          <w:szCs w:val="16"/>
          <w:color w:val="0071CE"/>
        </w:rPr>
      </w:pPr>
      <w:r>
        <w:rPr>
          <w:rFonts w:ascii="Arial" w:cs="Arial" w:eastAsia="Arial" w:hAnsi="Arial"/>
          <w:sz w:val="16"/>
          <w:szCs w:val="16"/>
          <w:b w:val="1"/>
          <w:bCs w:val="1"/>
          <w:color w:val="auto"/>
        </w:rPr>
        <w:t>Dyslipidemia and Hypertriglyceridemia</w:t>
      </w:r>
      <w:r>
        <w:rPr>
          <w:rFonts w:ascii="Arial" w:cs="Arial" w:eastAsia="Arial" w:hAnsi="Arial"/>
          <w:sz w:val="16"/>
          <w:szCs w:val="16"/>
          <w:color w:val="auto"/>
        </w:rPr>
        <w:t>: Dyslipidemia and hypertriglyceridemia are risk factors for atherosclerotic coronary heart disease and</w:t>
      </w:r>
      <w:r>
        <w:rPr>
          <w:rFonts w:ascii="Arial" w:cs="Arial" w:eastAsia="Arial" w:hAnsi="Arial"/>
          <w:sz w:val="16"/>
          <w:szCs w:val="16"/>
          <w:b w:val="1"/>
          <w:bCs w:val="1"/>
          <w:color w:val="auto"/>
        </w:rPr>
        <w:t xml:space="preserve"> </w:t>
      </w:r>
      <w:r>
        <w:rPr>
          <w:rFonts w:ascii="Arial" w:cs="Arial" w:eastAsia="Arial" w:hAnsi="Arial"/>
          <w:sz w:val="16"/>
          <w:szCs w:val="16"/>
          <w:color w:val="auto"/>
        </w:rPr>
        <w:t>cardiovascular events.</w:t>
      </w:r>
    </w:p>
    <w:p>
      <w:pPr>
        <w:spacing w:after="0" w:line="148" w:lineRule="exact"/>
        <w:rPr>
          <w:rFonts w:ascii="Arial" w:cs="Arial" w:eastAsia="Arial" w:hAnsi="Arial"/>
          <w:sz w:val="16"/>
          <w:szCs w:val="16"/>
          <w:color w:val="0071CE"/>
        </w:rPr>
      </w:pPr>
    </w:p>
    <w:p>
      <w:pPr>
        <w:ind w:left="320" w:hanging="231"/>
        <w:spacing w:after="0"/>
        <w:tabs>
          <w:tab w:leader="none" w:pos="320" w:val="left"/>
        </w:tabs>
        <w:numPr>
          <w:ilvl w:val="0"/>
          <w:numId w:val="27"/>
        </w:numPr>
        <w:rPr>
          <w:rFonts w:ascii="Arial" w:cs="Arial" w:eastAsia="Arial" w:hAnsi="Arial"/>
          <w:sz w:val="16"/>
          <w:szCs w:val="16"/>
          <w:color w:val="0071CE"/>
        </w:rPr>
      </w:pPr>
      <w:r>
        <w:rPr>
          <w:rFonts w:ascii="Arial" w:cs="Arial" w:eastAsia="Arial" w:hAnsi="Arial"/>
          <w:sz w:val="16"/>
          <w:szCs w:val="16"/>
          <w:b w:val="1"/>
          <w:bCs w:val="1"/>
          <w:color w:val="auto"/>
        </w:rPr>
        <w:t>Study Name: Study of ARO-ANG3 in Adults With Mixed Dyslipidemia (ARCHES-2)</w:t>
      </w:r>
    </w:p>
    <w:p>
      <w:pPr>
        <w:ind w:left="340"/>
        <w:spacing w:after="0"/>
        <w:rPr>
          <w:rFonts w:ascii="Arial" w:cs="Arial" w:eastAsia="Arial" w:hAnsi="Arial"/>
          <w:sz w:val="16"/>
          <w:szCs w:val="16"/>
          <w:color w:val="0071CE"/>
        </w:rPr>
      </w:pPr>
      <w:r>
        <w:rPr>
          <w:rFonts w:ascii="Arial" w:cs="Arial" w:eastAsia="Arial" w:hAnsi="Arial"/>
          <w:sz w:val="16"/>
          <w:szCs w:val="16"/>
          <w:color w:val="auto"/>
        </w:rPr>
        <w:t>A Double-blind, Placebo-controlled Phase 2b Study to Evaluate the Efficacy and Safety of ARO-ANG3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490855</wp:posOffset>
            </wp:positionV>
            <wp:extent cx="986155" cy="2057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E"/>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Adults With Mixed Dyslipidemia</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ClinicalTrials.gov Identifier: NCT04832971</w:t>
      </w:r>
    </w:p>
    <w:p>
      <w:pPr>
        <w:spacing w:after="0" w:line="221" w:lineRule="exact"/>
        <w:rPr>
          <w:sz w:val="20"/>
          <w:szCs w:val="20"/>
          <w:color w:val="auto"/>
        </w:rPr>
      </w:pPr>
    </w:p>
    <w:p>
      <w:pPr>
        <w:ind w:left="340" w:right="1280" w:hanging="251"/>
        <w:spacing w:after="0" w:line="336" w:lineRule="auto"/>
        <w:tabs>
          <w:tab w:leader="none" w:pos="329" w:val="left"/>
        </w:tabs>
        <w:numPr>
          <w:ilvl w:val="0"/>
          <w:numId w:val="28"/>
        </w:numPr>
        <w:rPr>
          <w:rFonts w:ascii="Arial" w:cs="Arial" w:eastAsia="Arial" w:hAnsi="Arial"/>
          <w:sz w:val="16"/>
          <w:szCs w:val="16"/>
          <w:color w:val="0071CE"/>
        </w:rPr>
      </w:pPr>
      <w:r>
        <w:rPr>
          <w:rFonts w:ascii="Arial" w:cs="Arial" w:eastAsia="Arial" w:hAnsi="Arial"/>
          <w:sz w:val="16"/>
          <w:szCs w:val="16"/>
          <w:b w:val="1"/>
          <w:bCs w:val="1"/>
          <w:color w:val="auto"/>
        </w:rPr>
        <w:t xml:space="preserve">Study Name: Study of ARO-ANG3 in Participants With Homozygous Familial Hypercholesterolemia (HoFH) (GATEWAY) </w:t>
      </w:r>
      <w:r>
        <w:rPr>
          <w:rFonts w:ascii="Arial" w:cs="Arial" w:eastAsia="Arial" w:hAnsi="Arial"/>
          <w:sz w:val="16"/>
          <w:szCs w:val="16"/>
          <w:color w:val="auto"/>
        </w:rPr>
        <w:t>Phase 2 Study to Evaluate the Safety and Efficacy of ARO-ANG3 in Subjects with Homozygous Familial Hypercholesterolemia (HoFH) ClinicalTrials.gov Identifier: NCT05217667</w:t>
      </w:r>
    </w:p>
    <w:p>
      <w:pPr>
        <w:spacing w:after="0" w:line="118" w:lineRule="exact"/>
        <w:rPr>
          <w:sz w:val="20"/>
          <w:szCs w:val="20"/>
          <w:color w:val="auto"/>
        </w:rPr>
      </w:pPr>
    </w:p>
    <w:p>
      <w:pPr>
        <w:ind w:right="320"/>
        <w:spacing w:after="0" w:line="218" w:lineRule="auto"/>
        <w:rPr>
          <w:sz w:val="20"/>
          <w:szCs w:val="20"/>
          <w:color w:val="auto"/>
        </w:rPr>
      </w:pPr>
      <w:r>
        <w:rPr>
          <w:rFonts w:ascii="Arial" w:cs="Arial" w:eastAsia="Arial" w:hAnsi="Arial"/>
          <w:sz w:val="16"/>
          <w:szCs w:val="16"/>
          <w:b w:val="1"/>
          <w:bCs w:val="1"/>
          <w:color w:val="auto"/>
        </w:rPr>
        <w:t xml:space="preserve">ARO-INHBE </w:t>
      </w:r>
      <w:r>
        <w:rPr>
          <w:rFonts w:ascii="Arial" w:cs="Arial" w:eastAsia="Arial" w:hAnsi="Arial"/>
          <w:sz w:val="16"/>
          <w:szCs w:val="16"/>
          <w:color w:val="auto"/>
        </w:rPr>
        <w:t>is designed to reduce the hepatic expression of the INHBE gene and its secreted gene product, Activin E. INHBE is a promising genetically</w:t>
      </w:r>
      <w:r>
        <w:rPr>
          <w:rFonts w:ascii="Arial" w:cs="Arial" w:eastAsia="Arial" w:hAnsi="Arial"/>
          <w:sz w:val="16"/>
          <w:szCs w:val="16"/>
          <w:b w:val="1"/>
          <w:bCs w:val="1"/>
          <w:color w:val="auto"/>
        </w:rPr>
        <w:t xml:space="preserve"> </w:t>
      </w:r>
      <w:r>
        <w:rPr>
          <w:rFonts w:ascii="Arial" w:cs="Arial" w:eastAsia="Arial" w:hAnsi="Arial"/>
          <w:sz w:val="16"/>
          <w:szCs w:val="16"/>
          <w:color w:val="auto"/>
        </w:rPr>
        <w:t>validated target in which loss-of-function INHBE variants in humans are associated with lower risk of obesity and metabolic diseases, such as type 2 diabetes. The Company has filed for regulatory clearance to initiate a Phase 1/2a clinical trial of ARO-INHBE.</w:t>
      </w:r>
    </w:p>
    <w:p>
      <w:pPr>
        <w:ind w:left="320" w:hanging="231"/>
        <w:spacing w:after="0" w:line="212" w:lineRule="auto"/>
        <w:tabs>
          <w:tab w:leader="none" w:pos="320" w:val="left"/>
        </w:tabs>
        <w:numPr>
          <w:ilvl w:val="0"/>
          <w:numId w:val="29"/>
        </w:numPr>
        <w:rPr>
          <w:rFonts w:ascii="Arial" w:cs="Arial" w:eastAsia="Arial" w:hAnsi="Arial"/>
          <w:sz w:val="16"/>
          <w:szCs w:val="16"/>
          <w:color w:val="0071CE"/>
        </w:rPr>
      </w:pPr>
      <w:r>
        <w:rPr>
          <w:rFonts w:ascii="Arial" w:cs="Arial" w:eastAsia="Arial" w:hAnsi="Arial"/>
          <w:sz w:val="16"/>
          <w:szCs w:val="16"/>
          <w:b w:val="1"/>
          <w:bCs w:val="1"/>
          <w:color w:val="auto"/>
        </w:rPr>
        <w:t>Study Name: ARO-INHBE in Adults With Obesity With and Without Diabetes Mellitus</w:t>
      </w:r>
    </w:p>
    <w:p>
      <w:pPr>
        <w:ind w:left="340" w:right="20"/>
        <w:spacing w:after="0" w:line="235" w:lineRule="auto"/>
        <w:rPr>
          <w:rFonts w:ascii="Arial" w:cs="Arial" w:eastAsia="Arial" w:hAnsi="Arial"/>
          <w:sz w:val="16"/>
          <w:szCs w:val="16"/>
          <w:color w:val="0071CE"/>
        </w:rPr>
      </w:pPr>
      <w:r>
        <w:rPr>
          <w:rFonts w:ascii="Arial" w:cs="Arial" w:eastAsia="Arial" w:hAnsi="Arial"/>
          <w:sz w:val="16"/>
          <w:szCs w:val="16"/>
          <w:color w:val="auto"/>
        </w:rPr>
        <w:t>Phase 2 Study to Evaluate the Safety, Tolerability, Pharmacokinetics, and Pharmacodynamics of ARO-INHBE in Adult Volunteers With Obesity With and Without Diabetes Mellitus</w:t>
      </w:r>
    </w:p>
    <w:p>
      <w:pPr>
        <w:spacing w:after="0" w:line="109" w:lineRule="exact"/>
        <w:rPr>
          <w:rFonts w:ascii="Arial" w:cs="Arial" w:eastAsia="Arial" w:hAnsi="Arial"/>
          <w:sz w:val="16"/>
          <w:szCs w:val="16"/>
          <w:color w:val="0071CE"/>
        </w:rPr>
      </w:pPr>
    </w:p>
    <w:p>
      <w:pPr>
        <w:ind w:left="340"/>
        <w:spacing w:after="0"/>
        <w:rPr>
          <w:rFonts w:ascii="Arial" w:cs="Arial" w:eastAsia="Arial" w:hAnsi="Arial"/>
          <w:sz w:val="16"/>
          <w:szCs w:val="16"/>
          <w:color w:val="0071CE"/>
        </w:rPr>
      </w:pPr>
      <w:r>
        <w:rPr>
          <w:rFonts w:ascii="Arial" w:cs="Arial" w:eastAsia="Arial" w:hAnsi="Arial"/>
          <w:sz w:val="16"/>
          <w:szCs w:val="16"/>
          <w:color w:val="auto"/>
        </w:rPr>
        <w:t>ClinicalTrials.gov Identifier: NCT06700538</w:t>
      </w:r>
    </w:p>
    <w:p>
      <w:pPr>
        <w:spacing w:after="0" w:line="221" w:lineRule="exact"/>
        <w:rPr>
          <w:sz w:val="20"/>
          <w:szCs w:val="20"/>
          <w:color w:val="auto"/>
        </w:rPr>
      </w:pPr>
    </w:p>
    <w:p>
      <w:pPr>
        <w:ind w:right="60"/>
        <w:spacing w:after="0" w:line="228" w:lineRule="auto"/>
        <w:rPr>
          <w:sz w:val="20"/>
          <w:szCs w:val="20"/>
          <w:color w:val="auto"/>
        </w:rPr>
      </w:pPr>
      <w:r>
        <w:rPr>
          <w:rFonts w:ascii="Arial" w:cs="Arial" w:eastAsia="Arial" w:hAnsi="Arial"/>
          <w:sz w:val="16"/>
          <w:szCs w:val="16"/>
          <w:b w:val="1"/>
          <w:bCs w:val="1"/>
          <w:color w:val="auto"/>
        </w:rPr>
        <w:t xml:space="preserve">ARO-ALK7 </w:t>
      </w:r>
      <w:r>
        <w:rPr>
          <w:rFonts w:ascii="Arial" w:cs="Arial" w:eastAsia="Arial" w:hAnsi="Arial"/>
          <w:sz w:val="16"/>
          <w:szCs w:val="16"/>
          <w:color w:val="auto"/>
        </w:rPr>
        <w:t>is designed to silence adipocyte expression of the ACVR1C gene to reduce production of Activin receptor-like kinase 7 (ALK7), which acts as a</w:t>
      </w:r>
      <w:r>
        <w:rPr>
          <w:rFonts w:ascii="Arial" w:cs="Arial" w:eastAsia="Arial" w:hAnsi="Arial"/>
          <w:sz w:val="16"/>
          <w:szCs w:val="16"/>
          <w:b w:val="1"/>
          <w:bCs w:val="1"/>
          <w:color w:val="auto"/>
        </w:rPr>
        <w:t xml:space="preserve"> </w:t>
      </w:r>
      <w:r>
        <w:rPr>
          <w:rFonts w:ascii="Arial" w:cs="Arial" w:eastAsia="Arial" w:hAnsi="Arial"/>
          <w:sz w:val="16"/>
          <w:szCs w:val="16"/>
          <w:color w:val="auto"/>
        </w:rPr>
        <w:t>receptor in a pathway that regulates energy homeostasis in adipose tissue. In large genetic datasets, reduced ACVR1C expression has been associated with healthier adipose distribution and reduced risk of obesity-related metabolic complications. Treatment with investigational ARO-ALK7 has the potential to reduce visceral adiposity and improve lipid and glycemic parameters.</w:t>
      </w:r>
    </w:p>
    <w:p>
      <w:pPr>
        <w:spacing w:after="0" w:line="200" w:lineRule="exact"/>
        <w:rPr>
          <w:sz w:val="20"/>
          <w:szCs w:val="20"/>
          <w:color w:val="auto"/>
        </w:rPr>
      </w:pPr>
    </w:p>
    <w:p>
      <w:pPr>
        <w:spacing w:after="0" w:line="23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b w:val="1"/>
          <w:bCs w:val="1"/>
          <w:color w:val="auto"/>
        </w:rPr>
        <w:t xml:space="preserve">ARO-C3 </w:t>
      </w:r>
      <w:r>
        <w:rPr>
          <w:rFonts w:ascii="Arial" w:cs="Arial" w:eastAsia="Arial" w:hAnsi="Arial"/>
          <w:sz w:val="16"/>
          <w:szCs w:val="16"/>
          <w:color w:val="auto"/>
        </w:rPr>
        <w:t>is designed to reduce production of complement component 3 (“</w:t>
      </w:r>
      <w:r>
        <w:rPr>
          <w:rFonts w:ascii="Arial" w:cs="Arial" w:eastAsia="Arial" w:hAnsi="Arial"/>
          <w:sz w:val="16"/>
          <w:szCs w:val="16"/>
          <w:b w:val="1"/>
          <w:bCs w:val="1"/>
          <w:color w:val="auto"/>
        </w:rPr>
        <w:t>C3</w:t>
      </w:r>
      <w:r>
        <w:rPr>
          <w:rFonts w:ascii="Arial" w:cs="Arial" w:eastAsia="Arial" w:hAnsi="Arial"/>
          <w:sz w:val="16"/>
          <w:szCs w:val="16"/>
          <w:color w:val="auto"/>
        </w:rPr>
        <w:t>”) as a potential therapy for patients with various complement mediated or</w:t>
      </w:r>
      <w:r>
        <w:rPr>
          <w:rFonts w:ascii="Arial" w:cs="Arial" w:eastAsia="Arial" w:hAnsi="Arial"/>
          <w:sz w:val="16"/>
          <w:szCs w:val="16"/>
          <w:b w:val="1"/>
          <w:bCs w:val="1"/>
          <w:color w:val="auto"/>
        </w:rPr>
        <w:t xml:space="preserve"> </w:t>
      </w:r>
      <w:r>
        <w:rPr>
          <w:rFonts w:ascii="Arial" w:cs="Arial" w:eastAsia="Arial" w:hAnsi="Arial"/>
          <w:sz w:val="16"/>
          <w:szCs w:val="16"/>
          <w:color w:val="auto"/>
        </w:rPr>
        <w:t>complement associated renal. Arrowhead is currently investigating ARO-C3 in a Phase 1/2a clinical trial.</w:t>
      </w:r>
    </w:p>
    <w:p>
      <w:pPr>
        <w:spacing w:after="0" w:line="182" w:lineRule="exact"/>
        <w:rPr>
          <w:sz w:val="20"/>
          <w:szCs w:val="20"/>
          <w:color w:val="auto"/>
        </w:rPr>
      </w:pPr>
    </w:p>
    <w:p>
      <w:pPr>
        <w:ind w:left="340" w:right="40" w:hanging="251"/>
        <w:spacing w:after="0" w:line="228" w:lineRule="auto"/>
        <w:tabs>
          <w:tab w:leader="none" w:pos="329" w:val="left"/>
        </w:tabs>
        <w:numPr>
          <w:ilvl w:val="0"/>
          <w:numId w:val="30"/>
        </w:numPr>
        <w:rPr>
          <w:rFonts w:ascii="Arial" w:cs="Arial" w:eastAsia="Arial" w:hAnsi="Arial"/>
          <w:sz w:val="16"/>
          <w:szCs w:val="16"/>
          <w:color w:val="0071CE"/>
        </w:rPr>
      </w:pPr>
      <w:r>
        <w:rPr>
          <w:rFonts w:ascii="Arial" w:cs="Arial" w:eastAsia="Arial" w:hAnsi="Arial"/>
          <w:sz w:val="16"/>
          <w:szCs w:val="16"/>
          <w:b w:val="1"/>
          <w:bCs w:val="1"/>
          <w:color w:val="auto"/>
        </w:rPr>
        <w:t xml:space="preserve">Complement-Mediated Renal Disease: </w:t>
      </w:r>
      <w:r>
        <w:rPr>
          <w:rFonts w:ascii="Arial" w:cs="Arial" w:eastAsia="Arial" w:hAnsi="Arial"/>
          <w:sz w:val="16"/>
          <w:szCs w:val="16"/>
          <w:color w:val="auto"/>
        </w:rPr>
        <w:t>A number of rare renal diseases result from uncontrolled activation of the alternative pathway of complement,</w:t>
      </w:r>
      <w:r>
        <w:rPr>
          <w:rFonts w:ascii="Arial" w:cs="Arial" w:eastAsia="Arial" w:hAnsi="Arial"/>
          <w:sz w:val="16"/>
          <w:szCs w:val="16"/>
          <w:b w:val="1"/>
          <w:bCs w:val="1"/>
          <w:color w:val="auto"/>
        </w:rPr>
        <w:t xml:space="preserve"> </w:t>
      </w:r>
      <w:r>
        <w:rPr>
          <w:rFonts w:ascii="Arial" w:cs="Arial" w:eastAsia="Arial" w:hAnsi="Arial"/>
          <w:sz w:val="16"/>
          <w:szCs w:val="16"/>
          <w:color w:val="auto"/>
        </w:rPr>
        <w:t>leading to progressive glomerular damage, proteinuria, hematuria, and impaired kidney function, and often resulting in end-stage renal disease (ESRD). In addition, dysregulation of the alternative complement pathway has been shown to play a role in the pathogenesis and progression of disease in some of the more common glomerulopathies. Silencing C3 may be a therapeutic approach for treatment of these conditions.</w:t>
      </w:r>
    </w:p>
    <w:p>
      <w:pPr>
        <w:spacing w:after="0" w:line="185" w:lineRule="exact"/>
        <w:rPr>
          <w:rFonts w:ascii="Arial" w:cs="Arial" w:eastAsia="Arial" w:hAnsi="Arial"/>
          <w:sz w:val="16"/>
          <w:szCs w:val="16"/>
          <w:color w:val="0071CE"/>
        </w:rPr>
      </w:pPr>
    </w:p>
    <w:p>
      <w:pPr>
        <w:ind w:left="320" w:hanging="231"/>
        <w:spacing w:after="0"/>
        <w:tabs>
          <w:tab w:leader="none" w:pos="320" w:val="left"/>
        </w:tabs>
        <w:numPr>
          <w:ilvl w:val="0"/>
          <w:numId w:val="30"/>
        </w:numPr>
        <w:rPr>
          <w:rFonts w:ascii="Arial" w:cs="Arial" w:eastAsia="Arial" w:hAnsi="Arial"/>
          <w:sz w:val="16"/>
          <w:szCs w:val="16"/>
          <w:color w:val="0071CE"/>
        </w:rPr>
      </w:pPr>
      <w:r>
        <w:rPr>
          <w:rFonts w:ascii="Arial" w:cs="Arial" w:eastAsia="Arial" w:hAnsi="Arial"/>
          <w:sz w:val="16"/>
          <w:szCs w:val="16"/>
          <w:b w:val="1"/>
          <w:bCs w:val="1"/>
          <w:color w:val="auto"/>
        </w:rPr>
        <w:t>Study Name: Study of ARO-C3 in Adult Healthy Volunteers and Patients With Complement-Mediated Renal Disease</w:t>
      </w:r>
    </w:p>
    <w:p>
      <w:pPr>
        <w:ind w:left="340" w:right="380"/>
        <w:spacing w:after="0" w:line="235" w:lineRule="auto"/>
        <w:rPr>
          <w:rFonts w:ascii="Arial" w:cs="Arial" w:eastAsia="Arial" w:hAnsi="Arial"/>
          <w:sz w:val="16"/>
          <w:szCs w:val="16"/>
          <w:color w:val="0071CE"/>
        </w:rPr>
      </w:pPr>
      <w:r>
        <w:rPr>
          <w:rFonts w:ascii="Arial" w:cs="Arial" w:eastAsia="Arial" w:hAnsi="Arial"/>
          <w:sz w:val="16"/>
          <w:szCs w:val="16"/>
          <w:color w:val="auto"/>
        </w:rPr>
        <w:t>A Phase 1/2a Dose-Escalating Study to Evaluate the Safety, Tolerability, Pharmacokinetics, and/or Pharmacodynamics of ARO-C3 in Adult Healthy Volunteers and in Adult Patients With Complement-Mediated Renal Disease</w:t>
      </w:r>
    </w:p>
    <w:p>
      <w:pPr>
        <w:spacing w:after="0" w:line="109" w:lineRule="exact"/>
        <w:rPr>
          <w:rFonts w:ascii="Arial" w:cs="Arial" w:eastAsia="Arial" w:hAnsi="Arial"/>
          <w:sz w:val="16"/>
          <w:szCs w:val="16"/>
          <w:color w:val="0071CE"/>
        </w:rPr>
      </w:pPr>
    </w:p>
    <w:p>
      <w:pPr>
        <w:ind w:left="340"/>
        <w:spacing w:after="0"/>
        <w:rPr>
          <w:rFonts w:ascii="Arial" w:cs="Arial" w:eastAsia="Arial" w:hAnsi="Arial"/>
          <w:sz w:val="16"/>
          <w:szCs w:val="16"/>
          <w:color w:val="0071CE"/>
        </w:rPr>
      </w:pPr>
      <w:r>
        <w:rPr>
          <w:rFonts w:ascii="Arial" w:cs="Arial" w:eastAsia="Arial" w:hAnsi="Arial"/>
          <w:sz w:val="16"/>
          <w:szCs w:val="16"/>
          <w:color w:val="auto"/>
        </w:rPr>
        <w:t>ClinicalTrials.gov Identifier: NCT05083364</w:t>
      </w:r>
    </w:p>
    <w:p>
      <w:pPr>
        <w:spacing w:after="0" w:line="23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ARO-CFB </w:t>
      </w:r>
      <w:r>
        <w:rPr>
          <w:rFonts w:ascii="Arial" w:cs="Arial" w:eastAsia="Arial" w:hAnsi="Arial"/>
          <w:sz w:val="16"/>
          <w:szCs w:val="16"/>
          <w:color w:val="auto"/>
        </w:rPr>
        <w:t>is designed to reduce hepatic expression of complement factor B (CFB), which plays an important regulatory role in amplifying complement</w:t>
      </w:r>
      <w:r>
        <w:rPr>
          <w:rFonts w:ascii="Arial" w:cs="Arial" w:eastAsia="Arial" w:hAnsi="Arial"/>
          <w:sz w:val="16"/>
          <w:szCs w:val="16"/>
          <w:b w:val="1"/>
          <w:bCs w:val="1"/>
          <w:color w:val="auto"/>
        </w:rPr>
        <w:t xml:space="preserve"> </w:t>
      </w:r>
      <w:r>
        <w:rPr>
          <w:rFonts w:ascii="Arial" w:cs="Arial" w:eastAsia="Arial" w:hAnsi="Arial"/>
          <w:sz w:val="16"/>
          <w:szCs w:val="16"/>
          <w:color w:val="auto"/>
        </w:rPr>
        <w:t>alternative pathway activation and has been identified as a promising therapeutic target. ARO-CFB is being developed as a potential treatment for complement mediated kidney diseases such as immunoglobulin A nephropathy (IgAN), which is the most common glomerular disease worldwide and carries a high lifetime risk of progression to end-stage renal disease. Additionally, ARO-CFB may have clinical applications in non-renal diseases involving complement activation. The Company is currently investigating ARO-CFB in a Phase 1/2a clinical trial.</w:t>
      </w:r>
    </w:p>
    <w:p>
      <w:pPr>
        <w:spacing w:after="0" w:line="213" w:lineRule="exact"/>
        <w:rPr>
          <w:sz w:val="20"/>
          <w:szCs w:val="20"/>
          <w:color w:val="auto"/>
        </w:rPr>
      </w:pPr>
    </w:p>
    <w:p>
      <w:pPr>
        <w:ind w:left="340" w:right="40" w:hanging="251"/>
        <w:spacing w:after="0" w:line="265" w:lineRule="auto"/>
        <w:tabs>
          <w:tab w:leader="none" w:pos="329" w:val="left"/>
        </w:tabs>
        <w:numPr>
          <w:ilvl w:val="0"/>
          <w:numId w:val="31"/>
        </w:numPr>
        <w:rPr>
          <w:rFonts w:ascii="Arial" w:cs="Arial" w:eastAsia="Arial" w:hAnsi="Arial"/>
          <w:sz w:val="16"/>
          <w:szCs w:val="16"/>
          <w:color w:val="0071CE"/>
        </w:rPr>
      </w:pPr>
      <w:r>
        <w:rPr>
          <w:rFonts w:ascii="Arial" w:cs="Arial" w:eastAsia="Arial" w:hAnsi="Arial"/>
          <w:sz w:val="16"/>
          <w:szCs w:val="16"/>
          <w:b w:val="1"/>
          <w:bCs w:val="1"/>
          <w:color w:val="auto"/>
        </w:rPr>
        <w:t xml:space="preserve">Complement-Mediated Disease: </w:t>
      </w:r>
      <w:r>
        <w:rPr>
          <w:rFonts w:ascii="Arial" w:cs="Arial" w:eastAsia="Arial" w:hAnsi="Arial"/>
          <w:sz w:val="16"/>
          <w:szCs w:val="16"/>
          <w:color w:val="auto"/>
        </w:rPr>
        <w:t>A number of rare renal diseases result from uncontrolled activation of the alternative pathway of complement, leading</w:t>
      </w:r>
      <w:r>
        <w:rPr>
          <w:rFonts w:ascii="Arial" w:cs="Arial" w:eastAsia="Arial" w:hAnsi="Arial"/>
          <w:sz w:val="16"/>
          <w:szCs w:val="16"/>
          <w:b w:val="1"/>
          <w:bCs w:val="1"/>
          <w:color w:val="auto"/>
        </w:rPr>
        <w:t xml:space="preserve"> </w:t>
      </w:r>
      <w:r>
        <w:rPr>
          <w:rFonts w:ascii="Arial" w:cs="Arial" w:eastAsia="Arial" w:hAnsi="Arial"/>
          <w:sz w:val="16"/>
          <w:szCs w:val="16"/>
          <w:color w:val="auto"/>
        </w:rPr>
        <w:t>to progressive glomerular damage, proteinuria, hematuria, and impaired kidney function, and often resulting in end-stage renal disease (ESRD). In addition, dysregulation of the alternative complement pathway has been shown to play a role in the pathogenesis and progression of disease in some of the more common glomerulopathies. Silencing CFB may be a therapeutic approach for treatment of these conditions.</w:t>
      </w:r>
    </w:p>
    <w:p>
      <w:pPr>
        <w:spacing w:after="0" w:line="199" w:lineRule="exact"/>
        <w:rPr>
          <w:rFonts w:ascii="Arial" w:cs="Arial" w:eastAsia="Arial" w:hAnsi="Arial"/>
          <w:sz w:val="16"/>
          <w:szCs w:val="16"/>
          <w:color w:val="0071CE"/>
        </w:rPr>
      </w:pPr>
    </w:p>
    <w:p>
      <w:pPr>
        <w:ind w:left="320" w:hanging="231"/>
        <w:spacing w:after="0"/>
        <w:tabs>
          <w:tab w:leader="none" w:pos="320" w:val="left"/>
        </w:tabs>
        <w:numPr>
          <w:ilvl w:val="0"/>
          <w:numId w:val="31"/>
        </w:numPr>
        <w:rPr>
          <w:rFonts w:ascii="Arial" w:cs="Arial" w:eastAsia="Arial" w:hAnsi="Arial"/>
          <w:sz w:val="16"/>
          <w:szCs w:val="16"/>
          <w:color w:val="0071CE"/>
        </w:rPr>
      </w:pPr>
      <w:r>
        <w:rPr>
          <w:rFonts w:ascii="Arial" w:cs="Arial" w:eastAsia="Arial" w:hAnsi="Arial"/>
          <w:sz w:val="16"/>
          <w:szCs w:val="16"/>
          <w:b w:val="1"/>
          <w:bCs w:val="1"/>
          <w:color w:val="auto"/>
        </w:rPr>
        <w:t>Study Name: Study of ARO-C3 in Adult Healthy Volunteers and Patients With Complement-Mediated Kidney Disease</w:t>
      </w:r>
    </w:p>
    <w:p>
      <w:pPr>
        <w:spacing w:after="0" w:line="34" w:lineRule="exact"/>
        <w:rPr>
          <w:rFonts w:ascii="Arial" w:cs="Arial" w:eastAsia="Arial" w:hAnsi="Arial"/>
          <w:sz w:val="16"/>
          <w:szCs w:val="16"/>
          <w:color w:val="0071CE"/>
        </w:rPr>
      </w:pPr>
    </w:p>
    <w:p>
      <w:pPr>
        <w:ind w:left="340" w:right="320"/>
        <w:spacing w:after="0" w:line="265" w:lineRule="auto"/>
        <w:rPr>
          <w:rFonts w:ascii="Arial" w:cs="Arial" w:eastAsia="Arial" w:hAnsi="Arial"/>
          <w:sz w:val="16"/>
          <w:szCs w:val="16"/>
          <w:color w:val="0071CE"/>
        </w:rPr>
      </w:pPr>
      <w:r>
        <w:rPr>
          <w:rFonts w:ascii="Arial" w:cs="Arial" w:eastAsia="Arial" w:hAnsi="Arial"/>
          <w:sz w:val="16"/>
          <w:szCs w:val="16"/>
          <w:color w:val="auto"/>
        </w:rPr>
        <w:t>A Phase 1/2a Dose-Escalating Study to Evaluate the Safety, Tolerability, Pharmacokinetics, and Pharmacodynamics of Single and Multiple Doses of ARO-CFB in Adult Healthy Volunteers and Adult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486410</wp:posOffset>
            </wp:positionV>
            <wp:extent cx="986155" cy="2057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Patients With Complement-Mediated Kidney Disease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ClinicalTrials.gov Identifier: NCT06209177</w:t>
      </w:r>
    </w:p>
    <w:p>
      <w:pPr>
        <w:spacing w:after="0" w:line="235"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ARO-RAGE </w:t>
      </w:r>
      <w:r>
        <w:rPr>
          <w:rFonts w:ascii="Arial" w:cs="Arial" w:eastAsia="Arial" w:hAnsi="Arial"/>
          <w:sz w:val="16"/>
          <w:szCs w:val="16"/>
          <w:color w:val="auto"/>
        </w:rPr>
        <w:t>is designed to reduce production of the Receptor for Advanced Glycation End products (“</w:t>
      </w:r>
      <w:r>
        <w:rPr>
          <w:rFonts w:ascii="Arial" w:cs="Arial" w:eastAsia="Arial" w:hAnsi="Arial"/>
          <w:sz w:val="16"/>
          <w:szCs w:val="16"/>
          <w:b w:val="1"/>
          <w:bCs w:val="1"/>
          <w:color w:val="auto"/>
        </w:rPr>
        <w:t>RAGE</w:t>
      </w:r>
      <w:r>
        <w:rPr>
          <w:rFonts w:ascii="Arial" w:cs="Arial" w:eastAsia="Arial" w:hAnsi="Arial"/>
          <w:sz w:val="16"/>
          <w:szCs w:val="16"/>
          <w:color w:val="auto"/>
        </w:rPr>
        <w:t>”) as a potential treatment for various</w:t>
      </w:r>
      <w:r>
        <w:rPr>
          <w:rFonts w:ascii="Arial" w:cs="Arial" w:eastAsia="Arial" w:hAnsi="Arial"/>
          <w:sz w:val="16"/>
          <w:szCs w:val="16"/>
          <w:b w:val="1"/>
          <w:bCs w:val="1"/>
          <w:color w:val="auto"/>
        </w:rPr>
        <w:t xml:space="preserve"> </w:t>
      </w:r>
      <w:r>
        <w:rPr>
          <w:rFonts w:ascii="Arial" w:cs="Arial" w:eastAsia="Arial" w:hAnsi="Arial"/>
          <w:sz w:val="16"/>
          <w:szCs w:val="16"/>
          <w:color w:val="auto"/>
        </w:rPr>
        <w:t>inflammatory pulmonary diseases. Arrowhead is currently investigating ARO-RAGE in a Phase 1/2a clinical trial.</w:t>
      </w:r>
    </w:p>
    <w:p>
      <w:pPr>
        <w:spacing w:after="0" w:line="75" w:lineRule="exact"/>
        <w:rPr>
          <w:sz w:val="20"/>
          <w:szCs w:val="20"/>
          <w:color w:val="auto"/>
        </w:rPr>
      </w:pPr>
    </w:p>
    <w:p>
      <w:pPr>
        <w:ind w:left="320" w:hanging="231"/>
        <w:spacing w:after="0"/>
        <w:tabs>
          <w:tab w:leader="none" w:pos="320" w:val="left"/>
        </w:tabs>
        <w:numPr>
          <w:ilvl w:val="0"/>
          <w:numId w:val="32"/>
        </w:numPr>
        <w:rPr>
          <w:rFonts w:ascii="Arial" w:cs="Arial" w:eastAsia="Arial" w:hAnsi="Arial"/>
          <w:sz w:val="16"/>
          <w:szCs w:val="16"/>
          <w:color w:val="0071CE"/>
        </w:rPr>
      </w:pPr>
      <w:r>
        <w:rPr>
          <w:rFonts w:ascii="Arial" w:cs="Arial" w:eastAsia="Arial" w:hAnsi="Arial"/>
          <w:sz w:val="16"/>
          <w:szCs w:val="16"/>
          <w:b w:val="1"/>
          <w:bCs w:val="1"/>
          <w:color w:val="auto"/>
        </w:rPr>
        <w:t>Study Name: Study of ARO-RAGE in Healthy Subjects and Patients With Inflammatory Lung Disease</w:t>
      </w:r>
    </w:p>
    <w:p>
      <w:pPr>
        <w:spacing w:after="0" w:line="21" w:lineRule="exact"/>
        <w:rPr>
          <w:rFonts w:ascii="Arial" w:cs="Arial" w:eastAsia="Arial" w:hAnsi="Arial"/>
          <w:sz w:val="16"/>
          <w:szCs w:val="16"/>
          <w:color w:val="0071CE"/>
        </w:rPr>
      </w:pPr>
    </w:p>
    <w:p>
      <w:pPr>
        <w:ind w:left="340" w:right="2020"/>
        <w:spacing w:after="0" w:line="526" w:lineRule="auto"/>
        <w:rPr>
          <w:rFonts w:ascii="Arial" w:cs="Arial" w:eastAsia="Arial" w:hAnsi="Arial"/>
          <w:sz w:val="16"/>
          <w:szCs w:val="16"/>
          <w:color w:val="0071CE"/>
        </w:rPr>
      </w:pPr>
      <w:r>
        <w:rPr>
          <w:rFonts w:ascii="Arial" w:cs="Arial" w:eastAsia="Arial" w:hAnsi="Arial"/>
          <w:sz w:val="16"/>
          <w:szCs w:val="16"/>
          <w:color w:val="auto"/>
        </w:rPr>
        <w:t>A Phase 1/2a Study Evaluating the Effects of ARO-RAGE in Healthy Subjects and Patients With Inflammatory Lung Disease ClinicalTrials.gov Identifier: NCT05276570</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ARO-PNPLA3 (formerly JNJ-75220795) </w:t>
      </w:r>
      <w:r>
        <w:rPr>
          <w:rFonts w:ascii="Arial" w:cs="Arial" w:eastAsia="Arial" w:hAnsi="Arial"/>
          <w:sz w:val="16"/>
          <w:szCs w:val="16"/>
          <w:color w:val="auto"/>
        </w:rPr>
        <w:t>is an investigational RNAi therapeutic designed to reduce liver expression of patatin-like phospholipase domain</w:t>
      </w:r>
      <w:r>
        <w:rPr>
          <w:rFonts w:ascii="Arial" w:cs="Arial" w:eastAsia="Arial" w:hAnsi="Arial"/>
          <w:sz w:val="16"/>
          <w:szCs w:val="16"/>
          <w:b w:val="1"/>
          <w:bCs w:val="1"/>
          <w:color w:val="auto"/>
        </w:rPr>
        <w:t xml:space="preserve"> </w:t>
      </w:r>
      <w:r>
        <w:rPr>
          <w:rFonts w:ascii="Arial" w:cs="Arial" w:eastAsia="Arial" w:hAnsi="Arial"/>
          <w:sz w:val="16"/>
          <w:szCs w:val="16"/>
          <w:color w:val="auto"/>
        </w:rPr>
        <w:t>containing 3 (PNPLA3) as a potential treatment for patients with metabolic-dysfunction associated steatohepatitis (MASH). PNPLA3 has strong genetic and preclinical validation as a driver of fat accumulation and damage in the livers of patients who carry the common I148M mutation. Former licensee Janssen Pharmaceuticals, Inc. investigated ARO-PNPLA3 in two Phase 1 clinical trials.</w:t>
      </w:r>
    </w:p>
    <w:p>
      <w:pPr>
        <w:spacing w:after="0" w:line="1" w:lineRule="exact"/>
        <w:rPr>
          <w:sz w:val="20"/>
          <w:szCs w:val="20"/>
          <w:color w:val="auto"/>
        </w:rPr>
      </w:pPr>
    </w:p>
    <w:p>
      <w:pPr>
        <w:ind w:left="340" w:right="100" w:hanging="251"/>
        <w:spacing w:after="0" w:line="260" w:lineRule="auto"/>
        <w:tabs>
          <w:tab w:leader="none" w:pos="329" w:val="left"/>
        </w:tabs>
        <w:numPr>
          <w:ilvl w:val="0"/>
          <w:numId w:val="33"/>
        </w:numPr>
        <w:rPr>
          <w:rFonts w:ascii="Arial" w:cs="Arial" w:eastAsia="Arial" w:hAnsi="Arial"/>
          <w:sz w:val="16"/>
          <w:szCs w:val="16"/>
          <w:color w:val="0071CE"/>
        </w:rPr>
      </w:pPr>
      <w:r>
        <w:rPr>
          <w:rFonts w:ascii="Arial" w:cs="Arial" w:eastAsia="Arial" w:hAnsi="Arial"/>
          <w:sz w:val="16"/>
          <w:szCs w:val="16"/>
          <w:b w:val="1"/>
          <w:bCs w:val="1"/>
          <w:color w:val="auto"/>
        </w:rPr>
        <w:t>MASH</w:t>
      </w:r>
      <w:r>
        <w:rPr>
          <w:rFonts w:ascii="Arial" w:cs="Arial" w:eastAsia="Arial" w:hAnsi="Arial"/>
          <w:sz w:val="16"/>
          <w:szCs w:val="16"/>
          <w:color w:val="auto"/>
        </w:rPr>
        <w:t>: MASH is a subgroup of steatotic liver disease (MASLD) in which hepatic cell injury and inflammation has developed over background steatosis.</w:t>
      </w:r>
      <w:r>
        <w:rPr>
          <w:rFonts w:ascii="Arial" w:cs="Arial" w:eastAsia="Arial" w:hAnsi="Arial"/>
          <w:sz w:val="16"/>
          <w:szCs w:val="16"/>
          <w:b w:val="1"/>
          <w:bCs w:val="1"/>
          <w:color w:val="auto"/>
        </w:rPr>
        <w:t xml:space="preserve"> </w:t>
      </w:r>
      <w:r>
        <w:rPr>
          <w:rFonts w:ascii="Arial" w:cs="Arial" w:eastAsia="Arial" w:hAnsi="Arial"/>
          <w:sz w:val="16"/>
          <w:szCs w:val="16"/>
          <w:color w:val="auto"/>
        </w:rPr>
        <w:t>The I148M genetic variant in the PNPLA3 gene is involved with the underlying pathophysiology and is a known risk factor for hepatic steatosis, steatohepatitis, elevated plasma liver enzyme levels, hepatic fibrosis and cirrhosis. The rising prevalence of MASH presents a significant health burden in many developed countries.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Partnered Programs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Sarepta Therapeutics, Inc.</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6"/>
          <w:szCs w:val="16"/>
          <w:b w:val="1"/>
          <w:bCs w:val="1"/>
          <w:color w:val="auto"/>
        </w:rPr>
        <w:t xml:space="preserve">ARO-DUX4 </w:t>
      </w:r>
      <w:r>
        <w:rPr>
          <w:rFonts w:ascii="Arial" w:cs="Arial" w:eastAsia="Arial" w:hAnsi="Arial"/>
          <w:sz w:val="16"/>
          <w:szCs w:val="16"/>
          <w:color w:val="auto"/>
        </w:rPr>
        <w:t>is designed to target the gene that encodes human double homeobox 4 (DUX4) protein as a potential treatment for patients with</w:t>
      </w:r>
      <w:r>
        <w:rPr>
          <w:rFonts w:ascii="Arial" w:cs="Arial" w:eastAsia="Arial" w:hAnsi="Arial"/>
          <w:sz w:val="16"/>
          <w:szCs w:val="16"/>
          <w:b w:val="1"/>
          <w:bCs w:val="1"/>
          <w:color w:val="auto"/>
        </w:rPr>
        <w:t xml:space="preserve"> </w:t>
      </w:r>
      <w:r>
        <w:rPr>
          <w:rFonts w:ascii="Arial" w:cs="Arial" w:eastAsia="Arial" w:hAnsi="Arial"/>
          <w:sz w:val="16"/>
          <w:szCs w:val="16"/>
          <w:color w:val="auto"/>
        </w:rPr>
        <w:t>facioscapulohumeral muscular dystrophy.</w:t>
      </w:r>
    </w:p>
    <w:p>
      <w:pPr>
        <w:spacing w:after="0" w:line="1" w:lineRule="exact"/>
        <w:rPr>
          <w:sz w:val="20"/>
          <w:szCs w:val="20"/>
          <w:color w:val="auto"/>
        </w:rPr>
      </w:pPr>
    </w:p>
    <w:p>
      <w:pPr>
        <w:ind w:right="360"/>
        <w:spacing w:after="0" w:line="211" w:lineRule="auto"/>
        <w:rPr>
          <w:sz w:val="20"/>
          <w:szCs w:val="20"/>
          <w:color w:val="auto"/>
        </w:rPr>
      </w:pPr>
      <w:r>
        <w:rPr>
          <w:rFonts w:ascii="Arial" w:cs="Arial" w:eastAsia="Arial" w:hAnsi="Arial"/>
          <w:sz w:val="16"/>
          <w:szCs w:val="16"/>
          <w:b w:val="1"/>
          <w:bCs w:val="1"/>
          <w:color w:val="auto"/>
        </w:rPr>
        <w:t xml:space="preserve">Facioscapulohumeral Muscular Dystrophy: </w:t>
      </w:r>
      <w:r>
        <w:rPr>
          <w:rFonts w:ascii="Arial" w:cs="Arial" w:eastAsia="Arial" w:hAnsi="Arial"/>
          <w:sz w:val="16"/>
          <w:szCs w:val="16"/>
          <w:color w:val="auto"/>
        </w:rPr>
        <w:t>Facioscapulohumeral muscular dystrophy (FSHD) is an autosomal dominant disease associated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failure to maintain complete epigenetic suppression of DUX4 expression in differentiated skeletal muscle, leading to overexpression of DUX4, which is myotoxic and can lead to muscle degeneration. As DUX4 expression is recognized as the cause of muscle pathology in FSHD patients, the Company believes that the selective targeting and knockdown of DUX4 using RNAi may prevent or reverse downstream myotoxicity and lead to muscle repair and improvement in muscle function in patients. There are currently no effective treatments specifically for FSHD.</w:t>
      </w:r>
    </w:p>
    <w:p>
      <w:pPr>
        <w:ind w:left="320" w:hanging="231"/>
        <w:spacing w:after="0" w:line="212" w:lineRule="auto"/>
        <w:tabs>
          <w:tab w:leader="none" w:pos="320" w:val="left"/>
        </w:tabs>
        <w:numPr>
          <w:ilvl w:val="0"/>
          <w:numId w:val="34"/>
        </w:numPr>
        <w:rPr>
          <w:rFonts w:ascii="Arial" w:cs="Arial" w:eastAsia="Arial" w:hAnsi="Arial"/>
          <w:sz w:val="16"/>
          <w:szCs w:val="16"/>
          <w:color w:val="0071CE"/>
        </w:rPr>
      </w:pPr>
      <w:r>
        <w:rPr>
          <w:rFonts w:ascii="Arial" w:cs="Arial" w:eastAsia="Arial" w:hAnsi="Arial"/>
          <w:sz w:val="16"/>
          <w:szCs w:val="16"/>
          <w:b w:val="1"/>
          <w:bCs w:val="1"/>
          <w:color w:val="auto"/>
        </w:rPr>
        <w:t>Study Name: Study of ARO-DUX4 in Adult Patients With Facioscapulohumeral Muscular Dystrophy Type 1</w:t>
      </w:r>
    </w:p>
    <w:p>
      <w:pPr>
        <w:ind w:left="340" w:right="360"/>
        <w:spacing w:after="0" w:line="235" w:lineRule="auto"/>
        <w:rPr>
          <w:rFonts w:ascii="Arial" w:cs="Arial" w:eastAsia="Arial" w:hAnsi="Arial"/>
          <w:sz w:val="16"/>
          <w:szCs w:val="16"/>
          <w:color w:val="0071CE"/>
        </w:rPr>
      </w:pPr>
      <w:r>
        <w:rPr>
          <w:rFonts w:ascii="Arial" w:cs="Arial" w:eastAsia="Arial" w:hAnsi="Arial"/>
          <w:sz w:val="16"/>
          <w:szCs w:val="16"/>
          <w:color w:val="auto"/>
        </w:rPr>
        <w:t>A Phase1/2a Dose-Escalating Study to Evaluate the Safety, Tolerability, Pharmacokinetics, and Pharmacodynamics of ARO-DUX4 in Adult Patients With Facioscapulohumeral Muscular Dystrophy Type 1.</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ClinicalTrials.gov Identifier: NCT06131983</w:t>
      </w:r>
    </w:p>
    <w:p>
      <w:pPr>
        <w:spacing w:after="0" w:line="211" w:lineRule="auto"/>
        <w:rPr>
          <w:sz w:val="20"/>
          <w:szCs w:val="20"/>
          <w:color w:val="auto"/>
        </w:rPr>
      </w:pPr>
      <w:r>
        <w:rPr>
          <w:rFonts w:ascii="Arial" w:cs="Arial" w:eastAsia="Arial" w:hAnsi="Arial"/>
          <w:sz w:val="16"/>
          <w:szCs w:val="16"/>
          <w:b w:val="1"/>
          <w:bCs w:val="1"/>
          <w:color w:val="auto"/>
        </w:rPr>
        <w:t xml:space="preserve">ARO-DM1 </w:t>
      </w:r>
      <w:r>
        <w:rPr>
          <w:rFonts w:ascii="Arial" w:cs="Arial" w:eastAsia="Arial" w:hAnsi="Arial"/>
          <w:sz w:val="16"/>
          <w:szCs w:val="16"/>
          <w:color w:val="auto"/>
        </w:rPr>
        <w:t>is designed to reduce expression of the dystrophia myotonica protein kinase (DMPK) gene. There is currently no approved disease-modifying</w:t>
      </w:r>
    </w:p>
    <w:p>
      <w:pPr>
        <w:spacing w:after="0" w:line="211" w:lineRule="auto"/>
        <w:rPr>
          <w:sz w:val="20"/>
          <w:szCs w:val="20"/>
          <w:color w:val="auto"/>
        </w:rPr>
      </w:pPr>
      <w:r>
        <w:rPr>
          <w:rFonts w:ascii="Arial" w:cs="Arial" w:eastAsia="Arial" w:hAnsi="Arial"/>
          <w:sz w:val="16"/>
          <w:szCs w:val="16"/>
          <w:color w:val="auto"/>
        </w:rPr>
        <w:t>therapy for type 1 myotonic dystrophy (DM1). Treatments have focused on symptomatic management, including physical therapy, exercise, ankle-foot</w:t>
      </w:r>
    </w:p>
    <w:p>
      <w:pPr>
        <w:spacing w:after="0" w:line="211" w:lineRule="auto"/>
        <w:rPr>
          <w:sz w:val="20"/>
          <w:szCs w:val="20"/>
          <w:color w:val="auto"/>
        </w:rPr>
      </w:pPr>
      <w:r>
        <w:rPr>
          <w:rFonts w:ascii="Arial" w:cs="Arial" w:eastAsia="Arial" w:hAnsi="Arial"/>
          <w:sz w:val="16"/>
          <w:szCs w:val="16"/>
          <w:color w:val="auto"/>
        </w:rPr>
        <w:t>orthoses, wheelchairs, and other assistive devices. The Company is currently investigating ARO-DM1 in a Phase 1/2a clinical trial.</w:t>
      </w:r>
    </w:p>
    <w:p>
      <w:pPr>
        <w:spacing w:after="0" w:line="1" w:lineRule="exact"/>
        <w:rPr>
          <w:sz w:val="20"/>
          <w:szCs w:val="20"/>
          <w:color w:val="auto"/>
        </w:rPr>
      </w:pPr>
    </w:p>
    <w:p>
      <w:pPr>
        <w:ind w:right="20"/>
        <w:spacing w:after="0" w:line="211" w:lineRule="auto"/>
        <w:rPr>
          <w:sz w:val="20"/>
          <w:szCs w:val="20"/>
          <w:color w:val="auto"/>
        </w:rPr>
      </w:pPr>
      <w:r>
        <w:rPr>
          <w:rFonts w:ascii="Arial" w:cs="Arial" w:eastAsia="Arial" w:hAnsi="Arial"/>
          <w:sz w:val="16"/>
          <w:szCs w:val="16"/>
          <w:color w:val="auto"/>
        </w:rPr>
        <w:t>Type 1 Myotonic Dystrophy: Type 1 myotonic dystrophy is an autosomal dominant, debilitating, chronic progressive multisystem disorder characterized by an expansion of a highly unstable CUGexp in the DMPK gene. Patients with DM1 have muscle weakness and wasting, myotonia, cataracts, and often have cardiac conduction abnormalities, and may become physically disabled and have a shortened life span.</w:t>
      </w:r>
    </w:p>
    <w:p>
      <w:pPr>
        <w:ind w:left="320" w:hanging="231"/>
        <w:spacing w:after="0" w:line="212" w:lineRule="auto"/>
        <w:tabs>
          <w:tab w:leader="none" w:pos="320" w:val="left"/>
        </w:tabs>
        <w:numPr>
          <w:ilvl w:val="0"/>
          <w:numId w:val="35"/>
        </w:numPr>
        <w:rPr>
          <w:rFonts w:ascii="Arial" w:cs="Arial" w:eastAsia="Arial" w:hAnsi="Arial"/>
          <w:sz w:val="16"/>
          <w:szCs w:val="16"/>
          <w:color w:val="0071CE"/>
        </w:rPr>
      </w:pPr>
      <w:r>
        <w:rPr>
          <w:rFonts w:ascii="Arial" w:cs="Arial" w:eastAsia="Arial" w:hAnsi="Arial"/>
          <w:sz w:val="16"/>
          <w:szCs w:val="16"/>
          <w:b w:val="1"/>
          <w:bCs w:val="1"/>
          <w:color w:val="auto"/>
        </w:rPr>
        <w:t>Study Name: Study of ARO-DM1 in Subjects With Type 1 Myotonic Dystrophy</w:t>
      </w:r>
    </w:p>
    <w:p>
      <w:pPr>
        <w:ind w:left="340" w:right="20"/>
        <w:spacing w:after="0" w:line="235" w:lineRule="auto"/>
        <w:rPr>
          <w:rFonts w:ascii="Arial" w:cs="Arial" w:eastAsia="Arial" w:hAnsi="Arial"/>
          <w:sz w:val="16"/>
          <w:szCs w:val="16"/>
          <w:color w:val="0071CE"/>
        </w:rPr>
      </w:pPr>
      <w:r>
        <w:rPr>
          <w:rFonts w:ascii="Arial" w:cs="Arial" w:eastAsia="Arial" w:hAnsi="Arial"/>
          <w:sz w:val="16"/>
          <w:szCs w:val="16"/>
          <w:color w:val="auto"/>
        </w:rPr>
        <w:t>A Phase 1/2a Dose-Escalating Study to Evaluate the Safety, Tolerability, Pharmacokinetics, and Pharmacodynamics of ARO-DM1 in Subjects With Type 1 Myotonic Dystrophy Who Are ≥18 to ≤ 65 Years</w:t>
      </w:r>
    </w:p>
    <w:p>
      <w:pPr>
        <w:spacing w:after="0" w:line="109" w:lineRule="exact"/>
        <w:rPr>
          <w:rFonts w:ascii="Arial" w:cs="Arial" w:eastAsia="Arial" w:hAnsi="Arial"/>
          <w:sz w:val="16"/>
          <w:szCs w:val="16"/>
          <w:color w:val="0071CE"/>
        </w:rPr>
      </w:pPr>
    </w:p>
    <w:p>
      <w:pPr>
        <w:ind w:left="340"/>
        <w:spacing w:after="0"/>
        <w:rPr>
          <w:rFonts w:ascii="Arial" w:cs="Arial" w:eastAsia="Arial" w:hAnsi="Arial"/>
          <w:sz w:val="16"/>
          <w:szCs w:val="16"/>
          <w:color w:val="0071CE"/>
        </w:rPr>
      </w:pPr>
      <w:r>
        <w:rPr>
          <w:rFonts w:ascii="Arial" w:cs="Arial" w:eastAsia="Arial" w:hAnsi="Arial"/>
          <w:sz w:val="16"/>
          <w:szCs w:val="16"/>
          <w:color w:val="auto"/>
        </w:rPr>
        <w:t>ClinicalTrials.gov Identifier: NCT06138743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501015</wp:posOffset>
            </wp:positionV>
            <wp:extent cx="986155" cy="2057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E"/>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b w:val="1"/>
          <w:bCs w:val="1"/>
          <w:color w:val="auto"/>
        </w:rPr>
        <w:t xml:space="preserve">ARO-MMP7 </w:t>
      </w:r>
      <w:r>
        <w:rPr>
          <w:rFonts w:ascii="Arial" w:cs="Arial" w:eastAsia="Arial" w:hAnsi="Arial"/>
          <w:sz w:val="16"/>
          <w:szCs w:val="16"/>
          <w:color w:val="auto"/>
        </w:rPr>
        <w:t>is designed to reduce expression of matrix metalloproteinase 7 (MMP7) as a potential treatment for idiopathic Pulmonary Fibrosis (IPF).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is currently investigating ARO-MMP7 in a Phase 1/2a clinical trial.</w:t>
      </w:r>
    </w:p>
    <w:p>
      <w:pPr>
        <w:spacing w:after="0" w:line="55" w:lineRule="exact"/>
        <w:rPr>
          <w:sz w:val="20"/>
          <w:szCs w:val="20"/>
          <w:color w:val="auto"/>
        </w:rPr>
      </w:pPr>
    </w:p>
    <w:p>
      <w:pPr>
        <w:ind w:left="320" w:hanging="231"/>
        <w:spacing w:after="0"/>
        <w:tabs>
          <w:tab w:leader="none" w:pos="320" w:val="left"/>
        </w:tabs>
        <w:numPr>
          <w:ilvl w:val="0"/>
          <w:numId w:val="36"/>
        </w:numPr>
        <w:rPr>
          <w:rFonts w:ascii="Arial" w:cs="Arial" w:eastAsia="Arial" w:hAnsi="Arial"/>
          <w:sz w:val="16"/>
          <w:szCs w:val="16"/>
          <w:color w:val="0071CE"/>
        </w:rPr>
      </w:pPr>
      <w:r>
        <w:rPr>
          <w:rFonts w:ascii="Arial" w:cs="Arial" w:eastAsia="Arial" w:hAnsi="Arial"/>
          <w:sz w:val="16"/>
          <w:szCs w:val="16"/>
          <w:b w:val="1"/>
          <w:bCs w:val="1"/>
          <w:color w:val="auto"/>
        </w:rPr>
        <w:t>Study Name: Study of ARO-MMP7 Inhalation Solution in Healthy Subjects and Patients With Idiopathic Pulmonary Fibrosis</w:t>
      </w:r>
    </w:p>
    <w:p>
      <w:pPr>
        <w:ind w:left="340" w:right="480"/>
        <w:spacing w:after="0" w:line="441" w:lineRule="auto"/>
        <w:rPr>
          <w:rFonts w:ascii="Arial" w:cs="Arial" w:eastAsia="Arial" w:hAnsi="Arial"/>
          <w:sz w:val="16"/>
          <w:szCs w:val="16"/>
          <w:color w:val="0071CE"/>
        </w:rPr>
      </w:pPr>
      <w:r>
        <w:rPr>
          <w:rFonts w:ascii="Arial" w:cs="Arial" w:eastAsia="Arial" w:hAnsi="Arial"/>
          <w:sz w:val="16"/>
          <w:szCs w:val="16"/>
          <w:color w:val="auto"/>
        </w:rPr>
        <w:t>A Phase 1/2a Study Evaluating the Effects of ARO-MMP7 Inhalation Solution in Healthy Subjects and Patients With Idiopathic Pulmonary Fibrosis ClinicalTrials.gov Identifier: NCT05537025</w:t>
      </w:r>
    </w:p>
    <w:p>
      <w:pPr>
        <w:spacing w:after="0" w:line="50" w:lineRule="exact"/>
        <w:rPr>
          <w:sz w:val="20"/>
          <w:szCs w:val="20"/>
          <w:color w:val="auto"/>
        </w:rPr>
      </w:pPr>
    </w:p>
    <w:p>
      <w:pPr>
        <w:jc w:val="both"/>
        <w:ind w:right="200"/>
        <w:spacing w:after="0" w:line="218" w:lineRule="auto"/>
        <w:rPr>
          <w:sz w:val="20"/>
          <w:szCs w:val="20"/>
          <w:color w:val="auto"/>
        </w:rPr>
      </w:pPr>
      <w:r>
        <w:rPr>
          <w:rFonts w:ascii="Arial" w:cs="Arial" w:eastAsia="Arial" w:hAnsi="Arial"/>
          <w:sz w:val="16"/>
          <w:szCs w:val="16"/>
          <w:b w:val="1"/>
          <w:bCs w:val="1"/>
          <w:color w:val="auto"/>
        </w:rPr>
        <w:t xml:space="preserve">ARO-ATXN2 </w:t>
      </w:r>
      <w:r>
        <w:rPr>
          <w:rFonts w:ascii="Arial" w:cs="Arial" w:eastAsia="Arial" w:hAnsi="Arial"/>
          <w:sz w:val="16"/>
          <w:szCs w:val="16"/>
          <w:color w:val="auto"/>
        </w:rPr>
        <w:t>is designed to reduce the expression of the ATXN2 gene as a potential treatment for spinocerebellar ataxia 2 (SCA2). SCA2 is a progressive</w:t>
      </w:r>
      <w:r>
        <w:rPr>
          <w:rFonts w:ascii="Arial" w:cs="Arial" w:eastAsia="Arial" w:hAnsi="Arial"/>
          <w:sz w:val="16"/>
          <w:szCs w:val="16"/>
          <w:b w:val="1"/>
          <w:bCs w:val="1"/>
          <w:color w:val="auto"/>
        </w:rPr>
        <w:t xml:space="preserve"> </w:t>
      </w:r>
      <w:r>
        <w:rPr>
          <w:rFonts w:ascii="Arial" w:cs="Arial" w:eastAsia="Arial" w:hAnsi="Arial"/>
          <w:sz w:val="16"/>
          <w:szCs w:val="16"/>
          <w:color w:val="auto"/>
        </w:rPr>
        <w:t>cerebellar ataxia with instability of stance, speech and swallow disorder, pain, spasticity, and ocular signs, caused by gain of function of mutant expanded polyQ ATXN2 protein. The Company is currently investigating ARO-ATXN2 in a Phase 1 clinical trial.</w:t>
      </w:r>
    </w:p>
    <w:p>
      <w:pPr>
        <w:ind w:left="320" w:hanging="231"/>
        <w:spacing w:after="0" w:line="212" w:lineRule="auto"/>
        <w:tabs>
          <w:tab w:leader="none" w:pos="32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Study Name: Study of ARO-ATXN2 Injection in Adults With Spinocerebellar Ataxia Type 2</w:t>
      </w:r>
    </w:p>
    <w:p>
      <w:pPr>
        <w:ind w:left="660" w:right="2900"/>
        <w:spacing w:after="0" w:line="211" w:lineRule="auto"/>
        <w:rPr>
          <w:sz w:val="20"/>
          <w:szCs w:val="20"/>
          <w:color w:val="auto"/>
        </w:rPr>
      </w:pPr>
      <w:r>
        <w:rPr>
          <w:rFonts w:ascii="Arial" w:cs="Arial" w:eastAsia="Arial" w:hAnsi="Arial"/>
          <w:sz w:val="16"/>
          <w:szCs w:val="16"/>
          <w:color w:val="auto"/>
        </w:rPr>
        <w:t>A Phase 1 Placebo-Controlled Dose Escalating Study to Evaluate the Safety, Tolerability,Pharmacokinetics, and Pharmacodynamics of ARO-ATXN2 in Adult Subjects With Spinocerebellar AtaxiaType 2</w:t>
      </w:r>
    </w:p>
    <w:p>
      <w:pPr>
        <w:spacing w:after="0"/>
        <w:rPr>
          <w:sz w:val="20"/>
          <w:szCs w:val="20"/>
          <w:color w:val="auto"/>
        </w:rPr>
      </w:pPr>
      <w:r>
        <w:rPr>
          <w:rFonts w:ascii="Arial" w:cs="Arial" w:eastAsia="Arial" w:hAnsi="Arial"/>
          <w:sz w:val="16"/>
          <w:szCs w:val="16"/>
          <w:color w:val="auto"/>
        </w:rPr>
        <w:t>ClinicalTrials.gov Identifier: NCT06672445</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ARO-HTT </w:t>
      </w:r>
      <w:r>
        <w:rPr>
          <w:rFonts w:ascii="Arial" w:cs="Arial" w:eastAsia="Arial" w:hAnsi="Arial"/>
          <w:sz w:val="16"/>
          <w:szCs w:val="16"/>
          <w:color w:val="auto"/>
        </w:rPr>
        <w:t>is designed to reduce the expression of the Huntingtin gene as a potential treatment for Huntington’s disease.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ARO-ATXN1 </w:t>
      </w:r>
      <w:r>
        <w:rPr>
          <w:rFonts w:ascii="Arial" w:cs="Arial" w:eastAsia="Arial" w:hAnsi="Arial"/>
          <w:sz w:val="16"/>
          <w:szCs w:val="16"/>
          <w:color w:val="auto"/>
        </w:rPr>
        <w:t>is designed to reduce the expression of the ATXN1 gene as a potential treatment for spinocerebellar ataxia 1 (SCA1).</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ARO-ATXN3 </w:t>
      </w:r>
      <w:r>
        <w:rPr>
          <w:rFonts w:ascii="Arial" w:cs="Arial" w:eastAsia="Arial" w:hAnsi="Arial"/>
          <w:sz w:val="16"/>
          <w:szCs w:val="16"/>
          <w:color w:val="auto"/>
        </w:rPr>
        <w:t>is designed to reduce the expression of the ATXN3 gene as a potential treatment for spinocerebellar ataxia 3 (SCA3).</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Takeda Pharmaceuticals U.S.A., Inc.</w:t>
      </w:r>
    </w:p>
    <w:p>
      <w:pPr>
        <w:spacing w:after="0"/>
        <w:rPr>
          <w:sz w:val="20"/>
          <w:szCs w:val="20"/>
          <w:color w:val="auto"/>
        </w:rPr>
      </w:pPr>
      <w:r>
        <w:rPr>
          <w:rFonts w:ascii="Arial" w:cs="Arial" w:eastAsia="Arial" w:hAnsi="Arial"/>
          <w:sz w:val="16"/>
          <w:szCs w:val="16"/>
          <w:b w:val="1"/>
          <w:bCs w:val="1"/>
          <w:color w:val="auto"/>
        </w:rPr>
        <w:t xml:space="preserve">Fazirsiran </w:t>
      </w:r>
      <w:r>
        <w:rPr>
          <w:rFonts w:ascii="Arial" w:cs="Arial" w:eastAsia="Arial" w:hAnsi="Arial"/>
          <w:sz w:val="16"/>
          <w:szCs w:val="16"/>
          <w:color w:val="auto"/>
        </w:rPr>
        <w:t>(formerly ARO-AAT) is a clinical-stage RNAi therapeutic candidate for the treatment of liver disease associated with alpha-1 antitrypsin deficiency.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ARO-AAT is designed to knock down the Alpha-1 antitrypsin (“</w:t>
      </w:r>
      <w:r>
        <w:rPr>
          <w:rFonts w:ascii="Arial" w:cs="Arial" w:eastAsia="Arial" w:hAnsi="Arial"/>
          <w:sz w:val="16"/>
          <w:szCs w:val="16"/>
          <w:b w:val="1"/>
          <w:bCs w:val="1"/>
          <w:color w:val="auto"/>
        </w:rPr>
        <w:t>AAT</w:t>
      </w:r>
      <w:r>
        <w:rPr>
          <w:rFonts w:ascii="Arial" w:cs="Arial" w:eastAsia="Arial" w:hAnsi="Arial"/>
          <w:sz w:val="16"/>
          <w:szCs w:val="16"/>
          <w:color w:val="auto"/>
        </w:rPr>
        <w:t>”) gene transcript and reduce the hepatic production of the mutant AAT protein.</w:t>
      </w:r>
    </w:p>
    <w:p>
      <w:pPr>
        <w:spacing w:after="0" w:line="111" w:lineRule="exact"/>
        <w:rPr>
          <w:sz w:val="20"/>
          <w:szCs w:val="20"/>
          <w:color w:val="auto"/>
        </w:rPr>
      </w:pPr>
    </w:p>
    <w:p>
      <w:pPr>
        <w:ind w:left="340" w:right="120" w:hanging="251"/>
        <w:spacing w:after="0" w:line="221" w:lineRule="auto"/>
        <w:tabs>
          <w:tab w:leader="none" w:pos="329" w:val="left"/>
        </w:tabs>
        <w:numPr>
          <w:ilvl w:val="0"/>
          <w:numId w:val="38"/>
        </w:numPr>
        <w:rPr>
          <w:rFonts w:ascii="Arial" w:cs="Arial" w:eastAsia="Arial" w:hAnsi="Arial"/>
          <w:sz w:val="16"/>
          <w:szCs w:val="16"/>
          <w:color w:val="0071CE"/>
        </w:rPr>
      </w:pPr>
      <w:r>
        <w:rPr>
          <w:rFonts w:ascii="Arial" w:cs="Arial" w:eastAsia="Arial" w:hAnsi="Arial"/>
          <w:sz w:val="16"/>
          <w:szCs w:val="16"/>
          <w:b w:val="1"/>
          <w:bCs w:val="1"/>
          <w:color w:val="auto"/>
        </w:rPr>
        <w:t>Study Name: Study to Check the Safety of Fazirsiran and Learn if Fazirsiran Can Help People With Liver Disease and Scarring (Fibrosis) Due to an Abnormal Version of Alpha-1 Antitrypsin Protein</w:t>
      </w:r>
    </w:p>
    <w:p>
      <w:pPr>
        <w:spacing w:after="0" w:line="1" w:lineRule="exact"/>
        <w:rPr>
          <w:rFonts w:ascii="Arial" w:cs="Arial" w:eastAsia="Arial" w:hAnsi="Arial"/>
          <w:sz w:val="16"/>
          <w:szCs w:val="16"/>
          <w:color w:val="0071CE"/>
        </w:rPr>
      </w:pPr>
    </w:p>
    <w:p>
      <w:pPr>
        <w:ind w:left="340" w:right="740"/>
        <w:spacing w:after="0" w:line="235" w:lineRule="auto"/>
        <w:rPr>
          <w:rFonts w:ascii="Arial" w:cs="Arial" w:eastAsia="Arial" w:hAnsi="Arial"/>
          <w:sz w:val="16"/>
          <w:szCs w:val="16"/>
          <w:color w:val="0071CE"/>
        </w:rPr>
      </w:pPr>
      <w:r>
        <w:rPr>
          <w:rFonts w:ascii="Arial" w:cs="Arial" w:eastAsia="Arial" w:hAnsi="Arial"/>
          <w:sz w:val="16"/>
          <w:szCs w:val="16"/>
          <w:color w:val="auto"/>
        </w:rPr>
        <w:t>A Randomized, Double-blind, Placebo-Controlled, Phase 3 Study to Evaluate the Efficacy and Safety of Fazirsiran in the Treatment of Alpha-1 Antitrypsin Deficiency-Associated Liver Disease With METAVIR Stage F2 to F4 Fibrosis</w:t>
      </w:r>
    </w:p>
    <w:p>
      <w:pPr>
        <w:spacing w:after="0" w:line="103" w:lineRule="exact"/>
        <w:rPr>
          <w:rFonts w:ascii="Arial" w:cs="Arial" w:eastAsia="Arial" w:hAnsi="Arial"/>
          <w:sz w:val="16"/>
          <w:szCs w:val="16"/>
          <w:color w:val="0071CE"/>
        </w:rPr>
      </w:pPr>
    </w:p>
    <w:p>
      <w:pPr>
        <w:ind w:left="340"/>
        <w:spacing w:after="0"/>
        <w:rPr>
          <w:rFonts w:ascii="Arial" w:cs="Arial" w:eastAsia="Arial" w:hAnsi="Arial"/>
          <w:sz w:val="16"/>
          <w:szCs w:val="16"/>
          <w:color w:val="0071CE"/>
        </w:rPr>
      </w:pPr>
      <w:r>
        <w:rPr>
          <w:rFonts w:ascii="Arial" w:cs="Arial" w:eastAsia="Arial" w:hAnsi="Arial"/>
          <w:sz w:val="16"/>
          <w:szCs w:val="16"/>
          <w:color w:val="auto"/>
        </w:rPr>
        <w:t>ClinicalTrials.gov Identifier: NCT05677971</w:t>
      </w:r>
    </w:p>
    <w:p>
      <w:pPr>
        <w:ind w:left="340" w:right="800" w:hanging="251"/>
        <w:spacing w:after="0" w:line="211" w:lineRule="auto"/>
        <w:tabs>
          <w:tab w:leader="none" w:pos="329" w:val="left"/>
        </w:tabs>
        <w:numPr>
          <w:ilvl w:val="0"/>
          <w:numId w:val="38"/>
        </w:numPr>
        <w:rPr>
          <w:rFonts w:ascii="Arial" w:cs="Arial" w:eastAsia="Arial" w:hAnsi="Arial"/>
          <w:sz w:val="16"/>
          <w:szCs w:val="16"/>
          <w:color w:val="0071CE"/>
        </w:rPr>
      </w:pPr>
      <w:r>
        <w:rPr>
          <w:rFonts w:ascii="Arial" w:cs="Arial" w:eastAsia="Arial" w:hAnsi="Arial"/>
          <w:sz w:val="16"/>
          <w:szCs w:val="16"/>
          <w:b w:val="1"/>
          <w:bCs w:val="1"/>
          <w:color w:val="auto"/>
        </w:rPr>
        <w:t>Study Name: An Extension Study to Learn About the Long-Term Safety of Fazirsiran and if Fazirsiran Can Help People With Alpha-1 Antitrypsin Liver Disease</w:t>
      </w:r>
    </w:p>
    <w:p>
      <w:pPr>
        <w:ind w:left="340" w:right="60"/>
        <w:spacing w:after="0" w:line="211" w:lineRule="auto"/>
        <w:rPr>
          <w:rFonts w:ascii="Arial" w:cs="Arial" w:eastAsia="Arial" w:hAnsi="Arial"/>
          <w:sz w:val="16"/>
          <w:szCs w:val="16"/>
          <w:color w:val="0071CE"/>
        </w:rPr>
      </w:pPr>
      <w:r>
        <w:rPr>
          <w:rFonts w:ascii="Arial" w:cs="Arial" w:eastAsia="Arial" w:hAnsi="Arial"/>
          <w:sz w:val="16"/>
          <w:szCs w:val="16"/>
          <w:color w:val="auto"/>
        </w:rPr>
        <w:t>A Phase 3, Open-Label Extension Study to Evaluate the Long-Term Safety and Efficacy of fazirsiran in Participants With Alpha-1 Antitrypsin Deficiency-Associated Liver Disease</w:t>
      </w:r>
    </w:p>
    <w:p>
      <w:pPr>
        <w:ind w:left="340"/>
        <w:spacing w:after="0"/>
        <w:rPr>
          <w:rFonts w:ascii="Arial" w:cs="Arial" w:eastAsia="Arial" w:hAnsi="Arial"/>
          <w:sz w:val="16"/>
          <w:szCs w:val="16"/>
          <w:color w:val="0071CE"/>
        </w:rPr>
      </w:pPr>
      <w:r>
        <w:rPr>
          <w:rFonts w:ascii="Arial" w:cs="Arial" w:eastAsia="Arial" w:hAnsi="Arial"/>
          <w:sz w:val="16"/>
          <w:szCs w:val="16"/>
          <w:color w:val="auto"/>
        </w:rPr>
        <w:t>ClinicalTrials.gov Identifier: NCT05899673</w:t>
      </w:r>
    </w:p>
    <w:p>
      <w:pPr>
        <w:spacing w:after="0" w:line="218" w:lineRule="exact"/>
        <w:rPr>
          <w:rFonts w:ascii="Arial" w:cs="Arial" w:eastAsia="Arial" w:hAnsi="Arial"/>
          <w:sz w:val="16"/>
          <w:szCs w:val="16"/>
          <w:color w:val="0071CE"/>
        </w:rPr>
      </w:pPr>
    </w:p>
    <w:p>
      <w:pPr>
        <w:ind w:left="340" w:right="240" w:hanging="251"/>
        <w:spacing w:after="0" w:line="221" w:lineRule="auto"/>
        <w:tabs>
          <w:tab w:leader="none" w:pos="329" w:val="left"/>
        </w:tabs>
        <w:numPr>
          <w:ilvl w:val="0"/>
          <w:numId w:val="38"/>
        </w:numPr>
        <w:rPr>
          <w:rFonts w:ascii="Arial" w:cs="Arial" w:eastAsia="Arial" w:hAnsi="Arial"/>
          <w:sz w:val="16"/>
          <w:szCs w:val="16"/>
          <w:color w:val="0071CE"/>
        </w:rPr>
      </w:pPr>
      <w:r>
        <w:rPr>
          <w:rFonts w:ascii="Arial" w:cs="Arial" w:eastAsia="Arial" w:hAnsi="Arial"/>
          <w:sz w:val="16"/>
          <w:szCs w:val="16"/>
          <w:b w:val="1"/>
          <w:bCs w:val="1"/>
          <w:color w:val="auto"/>
        </w:rPr>
        <w:t>Study Name: Study to Learn About the Safety of Fazirsiran and if it Can Help People With Alpha-1 Antitrypsin Liver Disease With Mild Liver Scarring (Fibrosis)</w:t>
      </w:r>
    </w:p>
    <w:p>
      <w:pPr>
        <w:spacing w:after="0" w:line="1" w:lineRule="exact"/>
        <w:rPr>
          <w:rFonts w:ascii="Arial" w:cs="Arial" w:eastAsia="Arial" w:hAnsi="Arial"/>
          <w:sz w:val="16"/>
          <w:szCs w:val="16"/>
          <w:color w:val="0071CE"/>
        </w:rPr>
      </w:pPr>
    </w:p>
    <w:p>
      <w:pPr>
        <w:ind w:left="340" w:right="720"/>
        <w:spacing w:after="0" w:line="235" w:lineRule="auto"/>
        <w:rPr>
          <w:rFonts w:ascii="Arial" w:cs="Arial" w:eastAsia="Arial" w:hAnsi="Arial"/>
          <w:sz w:val="16"/>
          <w:szCs w:val="16"/>
          <w:color w:val="0071CE"/>
        </w:rPr>
      </w:pPr>
      <w:r>
        <w:rPr>
          <w:rFonts w:ascii="Arial" w:cs="Arial" w:eastAsia="Arial" w:hAnsi="Arial"/>
          <w:sz w:val="16"/>
          <w:szCs w:val="16"/>
          <w:color w:val="auto"/>
        </w:rPr>
        <w:t>A Randomized, Double-Blind, Placebo-Controlled, Phase 3 Study to Evaluate the Safety and Efficacy of Fazirsiran in the Treatment of Alpha-1 Antitrypsin Deficiency-Associated Liver Disease With METAVIR Stage F1 Fibrosis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ClinicalTrials.gov Identifier: NCT06165341</w:t>
      </w:r>
    </w:p>
    <w:p>
      <w:pPr>
        <w:spacing w:after="0"/>
        <w:rPr>
          <w:sz w:val="20"/>
          <w:szCs w:val="20"/>
          <w:color w:val="auto"/>
        </w:rPr>
      </w:pPr>
      <w:r>
        <w:rPr>
          <w:rFonts w:ascii="Arial" w:cs="Arial" w:eastAsia="Arial" w:hAnsi="Arial"/>
          <w:sz w:val="18"/>
          <w:szCs w:val="18"/>
          <w:i w:val="1"/>
          <w:iCs w:val="1"/>
          <w:color w:val="auto"/>
        </w:rPr>
        <w:t>Amgen Inc.</w:t>
      </w:r>
    </w:p>
    <w:p>
      <w:pPr>
        <w:spacing w:after="0" w:line="198" w:lineRule="exact"/>
        <w:rPr>
          <w:sz w:val="20"/>
          <w:szCs w:val="20"/>
          <w:color w:val="auto"/>
        </w:rPr>
      </w:pPr>
    </w:p>
    <w:p>
      <w:pPr>
        <w:ind w:right="460"/>
        <w:spacing w:after="0" w:line="251" w:lineRule="auto"/>
        <w:rPr>
          <w:sz w:val="20"/>
          <w:szCs w:val="20"/>
          <w:color w:val="auto"/>
        </w:rPr>
      </w:pPr>
      <w:r>
        <w:rPr>
          <w:rFonts w:ascii="Arial" w:cs="Arial" w:eastAsia="Arial" w:hAnsi="Arial"/>
          <w:sz w:val="16"/>
          <w:szCs w:val="16"/>
          <w:b w:val="1"/>
          <w:bCs w:val="1"/>
          <w:color w:val="auto"/>
        </w:rPr>
        <w:t xml:space="preserve">Olpasiran </w:t>
      </w:r>
      <w:r>
        <w:rPr>
          <w:rFonts w:ascii="Arial" w:cs="Arial" w:eastAsia="Arial" w:hAnsi="Arial"/>
          <w:sz w:val="16"/>
          <w:szCs w:val="16"/>
          <w:color w:val="auto"/>
        </w:rPr>
        <w:t>(formerly AMG 890 and ARO-LPA) is designed to reduce production of apolipoprotein A, a key component of lipoprotein(a), which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genetically linked with increased risk of cardiovascular diseases, independent of cholesterol and LDL levels.</w:t>
      </w:r>
    </w:p>
    <w:p>
      <w:pPr>
        <w:spacing w:after="0" w:line="182" w:lineRule="exact"/>
        <w:rPr>
          <w:sz w:val="20"/>
          <w:szCs w:val="20"/>
          <w:color w:val="auto"/>
        </w:rPr>
      </w:pPr>
    </w:p>
    <w:p>
      <w:pPr>
        <w:ind w:left="320" w:hanging="231"/>
        <w:spacing w:after="0"/>
        <w:tabs>
          <w:tab w:leader="none" w:pos="320" w:val="left"/>
        </w:tabs>
        <w:numPr>
          <w:ilvl w:val="0"/>
          <w:numId w:val="39"/>
        </w:numPr>
        <w:rPr>
          <w:rFonts w:ascii="Arial" w:cs="Arial" w:eastAsia="Arial" w:hAnsi="Arial"/>
          <w:sz w:val="16"/>
          <w:szCs w:val="16"/>
          <w:color w:val="0071CE"/>
        </w:rPr>
      </w:pPr>
      <w:r>
        <w:rPr>
          <w:rFonts w:ascii="Arial" w:cs="Arial" w:eastAsia="Arial" w:hAnsi="Arial"/>
          <w:sz w:val="16"/>
          <w:szCs w:val="16"/>
          <w:b w:val="1"/>
          <w:bCs w:val="1"/>
          <w:color w:val="auto"/>
        </w:rPr>
        <w:t>Study Name: Olpasiran Trials of Cardiovascular Events and Lipoprotein(a) Reduction (OCEAN(a)) - Outcomes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509270</wp:posOffset>
            </wp:positionV>
            <wp:extent cx="986155" cy="2057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0" w:right="160"/>
        <w:spacing w:after="0" w:line="251" w:lineRule="auto"/>
        <w:rPr>
          <w:sz w:val="20"/>
          <w:szCs w:val="20"/>
          <w:color w:val="auto"/>
        </w:rPr>
      </w:pPr>
      <w:r>
        <w:rPr>
          <w:rFonts w:ascii="Arial" w:cs="Arial" w:eastAsia="Arial" w:hAnsi="Arial"/>
          <w:sz w:val="16"/>
          <w:szCs w:val="16"/>
          <w:color w:val="auto"/>
        </w:rPr>
        <w:t>A Double-blind, Randomized, Placebo-controlled, Multicenter Study Assessing the Impact of Olpasiran on Major Cardiovascular Events in Participants With Atherosclerotic Cardiovascular Disease and Elevated Lipoprotein(a)</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ClinicalTrials.gov Identifier: NCT05581303</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GlaxoSmithKline Intellectual Property (No. 3) Limited (“GSK”)</w:t>
      </w:r>
    </w:p>
    <w:p>
      <w:pPr>
        <w:spacing w:after="0" w:line="14" w:lineRule="exact"/>
        <w:rPr>
          <w:sz w:val="20"/>
          <w:szCs w:val="20"/>
          <w:color w:val="auto"/>
        </w:rPr>
      </w:pPr>
    </w:p>
    <w:p>
      <w:pPr>
        <w:jc w:val="both"/>
        <w:ind w:right="20"/>
        <w:spacing w:after="0" w:line="227" w:lineRule="auto"/>
        <w:rPr>
          <w:sz w:val="20"/>
          <w:szCs w:val="20"/>
          <w:color w:val="auto"/>
        </w:rPr>
      </w:pPr>
      <w:r>
        <w:rPr>
          <w:rFonts w:ascii="Arial" w:cs="Arial" w:eastAsia="Arial" w:hAnsi="Arial"/>
          <w:sz w:val="16"/>
          <w:szCs w:val="16"/>
          <w:b w:val="1"/>
          <w:bCs w:val="1"/>
          <w:color w:val="auto"/>
        </w:rPr>
        <w:t xml:space="preserve">GSK-4532990 </w:t>
      </w:r>
      <w:r>
        <w:rPr>
          <w:rFonts w:ascii="Arial" w:cs="Arial" w:eastAsia="Arial" w:hAnsi="Arial"/>
          <w:sz w:val="16"/>
          <w:szCs w:val="16"/>
          <w:color w:val="auto"/>
        </w:rPr>
        <w:t>(</w:t>
      </w:r>
      <w:r>
        <w:rPr>
          <w:rFonts w:ascii="Arial" w:cs="Arial" w:eastAsia="Arial" w:hAnsi="Arial"/>
          <w:sz w:val="16"/>
          <w:szCs w:val="16"/>
          <w:b w:val="1"/>
          <w:bCs w:val="1"/>
          <w:color w:val="auto"/>
        </w:rPr>
        <w:t>formerly ARO-HSD</w:t>
      </w:r>
      <w:r>
        <w:rPr>
          <w:rFonts w:ascii="Arial" w:cs="Arial" w:eastAsia="Arial" w:hAnsi="Arial"/>
          <w:sz w:val="16"/>
          <w:szCs w:val="16"/>
          <w:color w:val="auto"/>
        </w:rPr>
        <w:t>) is designed to reduce production of HSDPublished human genetic data indicate that a loss of function mutation in</w:t>
      </w:r>
      <w:r>
        <w:rPr>
          <w:rFonts w:ascii="Arial" w:cs="Arial" w:eastAsia="Arial" w:hAnsi="Arial"/>
          <w:sz w:val="16"/>
          <w:szCs w:val="16"/>
          <w:b w:val="1"/>
          <w:bCs w:val="1"/>
          <w:color w:val="auto"/>
        </w:rPr>
        <w:t xml:space="preserve"> </w:t>
      </w:r>
      <w:r>
        <w:rPr>
          <w:rFonts w:ascii="Arial" w:cs="Arial" w:eastAsia="Arial" w:hAnsi="Arial"/>
          <w:sz w:val="16"/>
          <w:szCs w:val="16"/>
          <w:color w:val="auto"/>
        </w:rPr>
        <w:t>HSD17B13 provides strong protection against metabolic-dysfunction associated steatohepatitis (MASH) cirrhosis and alcoholic hepatitis and cirrhosis. GSK is conducting Phase 2b clinical trials in patients with MASH and alcohol-related liver disease (ALD).</w:t>
      </w:r>
    </w:p>
    <w:p>
      <w:pPr>
        <w:spacing w:after="0" w:line="96" w:lineRule="exact"/>
        <w:rPr>
          <w:sz w:val="20"/>
          <w:szCs w:val="20"/>
          <w:color w:val="auto"/>
        </w:rPr>
      </w:pPr>
    </w:p>
    <w:p>
      <w:pPr>
        <w:jc w:val="both"/>
        <w:ind w:left="340"/>
        <w:spacing w:after="0" w:line="265" w:lineRule="auto"/>
        <w:rPr>
          <w:sz w:val="20"/>
          <w:szCs w:val="20"/>
          <w:color w:val="auto"/>
        </w:rPr>
      </w:pPr>
      <w:r>
        <w:rPr>
          <w:rFonts w:ascii="Arial" w:cs="Arial" w:eastAsia="Arial" w:hAnsi="Arial"/>
          <w:sz w:val="16"/>
          <w:szCs w:val="16"/>
          <w:b w:val="1"/>
          <w:bCs w:val="1"/>
          <w:color w:val="auto"/>
        </w:rPr>
        <w:t>Metabolic-Dysfunction Associated Steatohepatitis</w:t>
      </w:r>
      <w:r>
        <w:rPr>
          <w:rFonts w:ascii="Arial" w:cs="Arial" w:eastAsia="Arial" w:hAnsi="Arial"/>
          <w:sz w:val="16"/>
          <w:szCs w:val="16"/>
          <w:color w:val="auto"/>
        </w:rPr>
        <w:t>: MASH is liver inflammation and damage caused by a buildup of fat in the liver. This can cause</w:t>
      </w:r>
      <w:r>
        <w:rPr>
          <w:rFonts w:ascii="Arial" w:cs="Arial" w:eastAsia="Arial" w:hAnsi="Arial"/>
          <w:sz w:val="16"/>
          <w:szCs w:val="16"/>
          <w:b w:val="1"/>
          <w:bCs w:val="1"/>
          <w:color w:val="auto"/>
        </w:rPr>
        <w:t xml:space="preserve"> </w:t>
      </w:r>
      <w:r>
        <w:rPr>
          <w:rFonts w:ascii="Arial" w:cs="Arial" w:eastAsia="Arial" w:hAnsi="Arial"/>
          <w:sz w:val="16"/>
          <w:szCs w:val="16"/>
          <w:color w:val="auto"/>
        </w:rPr>
        <w:t>scarring of the liver and in advanced cases can lead to cirrhosis. Alcochol-related liver disease (ALD) represents a spectrum of liver injury resulting from alcohol use, ranging from hepatic steatosis to more advances forms including alcoholic hepatitis (AH), alcohol-associated cirrhosis (AC), and acute AH presenting as acute-on-chronic liver failure.</w:t>
      </w:r>
    </w:p>
    <w:p>
      <w:pPr>
        <w:spacing w:after="0" w:line="45" w:lineRule="exact"/>
        <w:rPr>
          <w:sz w:val="20"/>
          <w:szCs w:val="20"/>
          <w:color w:val="auto"/>
        </w:rPr>
      </w:pPr>
    </w:p>
    <w:p>
      <w:pPr>
        <w:ind w:left="320" w:hanging="231"/>
        <w:spacing w:after="0"/>
        <w:tabs>
          <w:tab w:leader="none" w:pos="320" w:val="left"/>
        </w:tabs>
        <w:numPr>
          <w:ilvl w:val="0"/>
          <w:numId w:val="40"/>
        </w:numPr>
        <w:rPr>
          <w:rFonts w:ascii="Arial" w:cs="Arial" w:eastAsia="Arial" w:hAnsi="Arial"/>
          <w:sz w:val="16"/>
          <w:szCs w:val="16"/>
          <w:color w:val="0071CE"/>
        </w:rPr>
      </w:pPr>
      <w:r>
        <w:rPr>
          <w:rFonts w:ascii="Arial" w:cs="Arial" w:eastAsia="Arial" w:hAnsi="Arial"/>
          <w:sz w:val="16"/>
          <w:szCs w:val="16"/>
          <w:b w:val="1"/>
          <w:bCs w:val="1"/>
          <w:color w:val="auto"/>
        </w:rPr>
        <w:t>Study Name: Phase 2b Study of GSK4532990 in Adults With MASH (HORIZON)</w:t>
      </w:r>
    </w:p>
    <w:p>
      <w:pPr>
        <w:ind w:left="340" w:right="460"/>
        <w:spacing w:after="0" w:line="326" w:lineRule="auto"/>
        <w:rPr>
          <w:rFonts w:ascii="Arial" w:cs="Arial" w:eastAsia="Arial" w:hAnsi="Arial"/>
          <w:sz w:val="16"/>
          <w:szCs w:val="16"/>
          <w:color w:val="0071CE"/>
        </w:rPr>
      </w:pPr>
      <w:r>
        <w:rPr>
          <w:rFonts w:ascii="Arial" w:cs="Arial" w:eastAsia="Arial" w:hAnsi="Arial"/>
          <w:sz w:val="16"/>
          <w:szCs w:val="16"/>
          <w:color w:val="auto"/>
        </w:rPr>
        <w:t>17 β-Hydroxysteroid Dehydrogenase Type 13 Minimization for the Treatment of MASH (HORIZON): A Double-Blind, Placebo-Controlled Phase 2b Study to Evaluate the Efficacy and Safety of GSK4532990 in Adults With Pre-Cirrhotic Metabolic-Dysfunction Associated Steatohepatitis ClinicalTrials.gov Identifier: NCT05583344</w:t>
      </w:r>
    </w:p>
    <w:p>
      <w:pPr>
        <w:spacing w:after="0" w:line="125" w:lineRule="exact"/>
        <w:rPr>
          <w:sz w:val="20"/>
          <w:szCs w:val="20"/>
          <w:color w:val="auto"/>
        </w:rPr>
      </w:pPr>
    </w:p>
    <w:p>
      <w:pPr>
        <w:spacing w:after="0" w:line="221" w:lineRule="auto"/>
        <w:rPr>
          <w:sz w:val="20"/>
          <w:szCs w:val="20"/>
          <w:color w:val="auto"/>
        </w:rPr>
      </w:pPr>
      <w:r>
        <w:rPr>
          <w:rFonts w:ascii="Arial" w:cs="Arial" w:eastAsia="Arial" w:hAnsi="Arial"/>
          <w:sz w:val="16"/>
          <w:szCs w:val="16"/>
          <w:b w:val="1"/>
          <w:bCs w:val="1"/>
          <w:color w:val="auto"/>
        </w:rPr>
        <w:t>GSK5637608 (formerly JNJ-3989 and ARO-HBV</w:t>
      </w:r>
      <w:r>
        <w:rPr>
          <w:rFonts w:ascii="Arial" w:cs="Arial" w:eastAsia="Arial" w:hAnsi="Arial"/>
          <w:sz w:val="16"/>
          <w:szCs w:val="16"/>
          <w:color w:val="auto"/>
        </w:rPr>
        <w:t>) is designed to silence all HBV gene products and intervenes upstream of the reverse transcription</w:t>
      </w:r>
      <w:r>
        <w:rPr>
          <w:rFonts w:ascii="Arial" w:cs="Arial" w:eastAsia="Arial" w:hAnsi="Arial"/>
          <w:sz w:val="16"/>
          <w:szCs w:val="16"/>
          <w:b w:val="1"/>
          <w:bCs w:val="1"/>
          <w:color w:val="auto"/>
        </w:rPr>
        <w:t xml:space="preserve"> </w:t>
      </w:r>
      <w:r>
        <w:rPr>
          <w:rFonts w:ascii="Arial" w:cs="Arial" w:eastAsia="Arial" w:hAnsi="Arial"/>
          <w:sz w:val="16"/>
          <w:szCs w:val="16"/>
          <w:color w:val="auto"/>
        </w:rPr>
        <w:t>process where current standard-of-care nucleotide and nucleoside analogues act.</w:t>
      </w:r>
    </w:p>
    <w:p>
      <w:pPr>
        <w:spacing w:after="0" w:line="1" w:lineRule="exact"/>
        <w:rPr>
          <w:sz w:val="20"/>
          <w:szCs w:val="20"/>
          <w:color w:val="auto"/>
        </w:rPr>
      </w:pPr>
    </w:p>
    <w:p>
      <w:pPr>
        <w:ind w:left="340" w:hanging="251"/>
        <w:spacing w:after="0" w:line="211" w:lineRule="auto"/>
        <w:tabs>
          <w:tab w:leader="none" w:pos="329" w:val="left"/>
        </w:tabs>
        <w:numPr>
          <w:ilvl w:val="0"/>
          <w:numId w:val="41"/>
        </w:numPr>
        <w:rPr>
          <w:rFonts w:ascii="Arial" w:cs="Arial" w:eastAsia="Arial" w:hAnsi="Arial"/>
          <w:sz w:val="16"/>
          <w:szCs w:val="16"/>
          <w:color w:val="0071CE"/>
        </w:rPr>
      </w:pPr>
      <w:r>
        <w:rPr>
          <w:rFonts w:ascii="Arial" w:cs="Arial" w:eastAsia="Arial" w:hAnsi="Arial"/>
          <w:sz w:val="16"/>
          <w:szCs w:val="16"/>
          <w:b w:val="1"/>
          <w:bCs w:val="1"/>
          <w:color w:val="auto"/>
        </w:rPr>
        <w:t>Study Name: A Study of Sequential Therapy With Daplusiran/Tomligisiran (DAP/TOM) Followed by Bepirovirsen in Participants Living With Chronic Hepatitis B (CHB) (B-UNITED)</w:t>
      </w:r>
    </w:p>
    <w:p>
      <w:pPr>
        <w:jc w:val="both"/>
        <w:ind w:left="340"/>
        <w:spacing w:after="0" w:line="227" w:lineRule="auto"/>
        <w:rPr>
          <w:rFonts w:ascii="Arial" w:cs="Arial" w:eastAsia="Arial" w:hAnsi="Arial"/>
          <w:sz w:val="16"/>
          <w:szCs w:val="16"/>
          <w:color w:val="0071CE"/>
        </w:rPr>
      </w:pPr>
      <w:r>
        <w:rPr>
          <w:rFonts w:ascii="Arial" w:cs="Arial" w:eastAsia="Arial" w:hAnsi="Arial"/>
          <w:sz w:val="16"/>
          <w:szCs w:val="16"/>
          <w:color w:val="auto"/>
        </w:rPr>
        <w:t>A Phase 2b, Multi-centre, Randomized, Partially Placebo-controlled, Double-blind Study to Investigate the Safety and Efficacy of Sequential Therapy With Daplusiran/Tomligisiran Followed by Bepirovirsen in Participants With Chronic Hepatitis B Virus on Background Nucleos(t)Ide Analogue Therapy (B-United)</w:t>
      </w:r>
    </w:p>
    <w:p>
      <w:pPr>
        <w:spacing w:after="0" w:line="109" w:lineRule="exact"/>
        <w:rPr>
          <w:rFonts w:ascii="Arial" w:cs="Arial" w:eastAsia="Arial" w:hAnsi="Arial"/>
          <w:sz w:val="16"/>
          <w:szCs w:val="16"/>
          <w:color w:val="0071CE"/>
        </w:rPr>
      </w:pPr>
    </w:p>
    <w:p>
      <w:pPr>
        <w:ind w:left="340"/>
        <w:spacing w:after="0"/>
        <w:rPr>
          <w:rFonts w:ascii="Arial" w:cs="Arial" w:eastAsia="Arial" w:hAnsi="Arial"/>
          <w:sz w:val="16"/>
          <w:szCs w:val="16"/>
          <w:color w:val="0071CE"/>
        </w:rPr>
      </w:pPr>
      <w:r>
        <w:rPr>
          <w:rFonts w:ascii="Arial" w:cs="Arial" w:eastAsia="Arial" w:hAnsi="Arial"/>
          <w:sz w:val="16"/>
          <w:szCs w:val="16"/>
          <w:color w:val="auto"/>
        </w:rPr>
        <w:t>ClinicalTrials.gov Identifier: NCT05583344</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162" w:lineRule="exact"/>
        <w:rPr>
          <w:sz w:val="20"/>
          <w:szCs w:val="20"/>
          <w:color w:val="auto"/>
        </w:rPr>
      </w:pPr>
    </w:p>
    <w:p>
      <w:pPr>
        <w:ind w:left="320" w:hanging="231"/>
        <w:spacing w:after="0"/>
        <w:tabs>
          <w:tab w:leader="none" w:pos="320" w:val="left"/>
        </w:tabs>
        <w:numPr>
          <w:ilvl w:val="0"/>
          <w:numId w:val="42"/>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 Generated revenue of $3.6 million, compared to revenues of $240.7 million in fiscal 2023 and $243.2 million in fiscal 2022;</w:t>
      </w:r>
    </w:p>
    <w:p>
      <w:pPr>
        <w:spacing w:after="0" w:line="38" w:lineRule="exact"/>
        <w:rPr>
          <w:rFonts w:ascii="Arial" w:cs="Arial" w:eastAsia="Arial" w:hAnsi="Arial"/>
          <w:sz w:val="16"/>
          <w:szCs w:val="16"/>
          <w:color w:val="0071CE"/>
        </w:rPr>
      </w:pPr>
    </w:p>
    <w:p>
      <w:pPr>
        <w:ind w:left="340" w:right="20" w:hanging="251"/>
        <w:spacing w:after="0" w:line="242" w:lineRule="auto"/>
        <w:tabs>
          <w:tab w:leader="none" w:pos="329" w:val="left"/>
        </w:tabs>
        <w:numPr>
          <w:ilvl w:val="0"/>
          <w:numId w:val="42"/>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Net Loss attributable to Arrowhead Pharmaceuticals, Inc. </w:t>
      </w:r>
      <w:r>
        <w:rPr>
          <w:rFonts w:ascii="Arial" w:cs="Arial" w:eastAsia="Arial" w:hAnsi="Arial"/>
          <w:sz w:val="16"/>
          <w:szCs w:val="16"/>
          <w:color w:val="auto"/>
        </w:rPr>
        <w:t>— Recorded net loss of $599.5 million, compared to net losses of $205.3 million in fiscal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and $176.1 million in fiscal 2022;</w:t>
      </w:r>
    </w:p>
    <w:p>
      <w:pPr>
        <w:spacing w:after="0" w:line="13" w:lineRule="exact"/>
        <w:rPr>
          <w:rFonts w:ascii="Arial" w:cs="Arial" w:eastAsia="Arial" w:hAnsi="Arial"/>
          <w:sz w:val="16"/>
          <w:szCs w:val="16"/>
          <w:color w:val="0071CE"/>
        </w:rPr>
      </w:pPr>
    </w:p>
    <w:p>
      <w:pPr>
        <w:ind w:left="340" w:right="20" w:hanging="251"/>
        <w:spacing w:after="0" w:line="246" w:lineRule="auto"/>
        <w:tabs>
          <w:tab w:leader="none" w:pos="329" w:val="left"/>
        </w:tabs>
        <w:numPr>
          <w:ilvl w:val="0"/>
          <w:numId w:val="42"/>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Net Loss Per Share attributable to Arrowhead Pharmaceuticals, Inc. </w:t>
      </w:r>
      <w:r>
        <w:rPr>
          <w:rFonts w:ascii="Arial" w:cs="Arial" w:eastAsia="Arial" w:hAnsi="Arial"/>
          <w:sz w:val="16"/>
          <w:szCs w:val="16"/>
          <w:color w:val="auto"/>
        </w:rPr>
        <w:t>— Recorded net loss per share (diluted) of ($5.00), compared to net loss per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 (diluted) of ($1.92) in fiscal 2023 and ($1.67) in fiscal 2022;</w:t>
      </w:r>
    </w:p>
    <w:p>
      <w:pPr>
        <w:ind w:left="320" w:hanging="231"/>
        <w:spacing w:after="0"/>
        <w:tabs>
          <w:tab w:leader="none" w:pos="320" w:val="left"/>
        </w:tabs>
        <w:numPr>
          <w:ilvl w:val="0"/>
          <w:numId w:val="42"/>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Cash at end of fiscal 2024 </w:t>
      </w:r>
      <w:r>
        <w:rPr>
          <w:rFonts w:ascii="Arial" w:cs="Arial" w:eastAsia="Arial" w:hAnsi="Arial"/>
          <w:sz w:val="16"/>
          <w:szCs w:val="16"/>
          <w:color w:val="auto"/>
        </w:rPr>
        <w:t>— Cash and investments of cash totaled $681.0 million at September 30, 2024; and</w:t>
      </w:r>
    </w:p>
    <w:p>
      <w:pPr>
        <w:spacing w:after="0" w:line="38" w:lineRule="exact"/>
        <w:rPr>
          <w:rFonts w:ascii="Arial" w:cs="Arial" w:eastAsia="Arial" w:hAnsi="Arial"/>
          <w:sz w:val="16"/>
          <w:szCs w:val="16"/>
          <w:color w:val="0071CE"/>
        </w:rPr>
      </w:pPr>
    </w:p>
    <w:p>
      <w:pPr>
        <w:ind w:left="340" w:right="40" w:hanging="251"/>
        <w:spacing w:after="0" w:line="242" w:lineRule="auto"/>
        <w:tabs>
          <w:tab w:leader="none" w:pos="329" w:val="left"/>
        </w:tabs>
        <w:numPr>
          <w:ilvl w:val="0"/>
          <w:numId w:val="42"/>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Total Stockholder Return </w:t>
      </w:r>
      <w:r>
        <w:rPr>
          <w:rFonts w:ascii="Arial" w:cs="Arial" w:eastAsia="Arial" w:hAnsi="Arial"/>
          <w:sz w:val="16"/>
          <w:szCs w:val="16"/>
          <w:color w:val="auto"/>
        </w:rPr>
        <w:t>— Achieved a three-year total stockholder return (“</w:t>
      </w:r>
      <w:r>
        <w:rPr>
          <w:rFonts w:ascii="Arial" w:cs="Arial" w:eastAsia="Arial" w:hAnsi="Arial"/>
          <w:sz w:val="16"/>
          <w:szCs w:val="16"/>
          <w:b w:val="1"/>
          <w:bCs w:val="1"/>
          <w:color w:val="auto"/>
        </w:rPr>
        <w:t>TSR</w:t>
      </w:r>
      <w:r>
        <w:rPr>
          <w:rFonts w:ascii="Arial" w:cs="Arial" w:eastAsia="Arial" w:hAnsi="Arial"/>
          <w:sz w:val="16"/>
          <w:szCs w:val="16"/>
          <w:color w:val="auto"/>
        </w:rPr>
        <w:t>”) at the 28th percentile of our peer group as measured in September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480695</wp:posOffset>
            </wp:positionV>
            <wp:extent cx="986155" cy="2057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E"/>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623570</wp:posOffset>
            </wp:positionV>
            <wp:extent cx="5254625" cy="32575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8280"/>
        <w:spacing w:after="0"/>
        <w:rPr>
          <w:sz w:val="20"/>
          <w:szCs w:val="20"/>
          <w:color w:val="auto"/>
        </w:rPr>
      </w:pPr>
      <w:r>
        <w:rPr>
          <w:rFonts w:ascii="Arial" w:cs="Arial" w:eastAsia="Arial" w:hAnsi="Arial"/>
          <w:sz w:val="16"/>
          <w:szCs w:val="16"/>
          <w:i w:val="1"/>
          <w:iCs w:val="1"/>
          <w:color w:val="auto"/>
        </w:rPr>
        <w:t>The comparisons in the above graph are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based on historical data and are not intended to forecast the possible future performance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Compensation Highlights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Say-on-Pay Vote and Ongoing Response to Stockholder Feedback</w:t>
      </w:r>
    </w:p>
    <w:p>
      <w:pPr>
        <w:spacing w:after="0" w:line="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At our 2024 Annual Meeting of Stockholders, 94% of the stockholder votes cast on our non-binding, advisory proposal (the “</w:t>
      </w:r>
      <w:r>
        <w:rPr>
          <w:rFonts w:ascii="Arial" w:cs="Arial" w:eastAsia="Arial" w:hAnsi="Arial"/>
          <w:sz w:val="16"/>
          <w:szCs w:val="16"/>
          <w:b w:val="1"/>
          <w:bCs w:val="1"/>
          <w:color w:val="auto"/>
        </w:rPr>
        <w:t>Say-on-Pay</w:t>
      </w:r>
      <w:r>
        <w:rPr>
          <w:rFonts w:ascii="Arial" w:cs="Arial" w:eastAsia="Arial" w:hAnsi="Arial"/>
          <w:sz w:val="16"/>
          <w:szCs w:val="16"/>
          <w:color w:val="auto"/>
        </w:rPr>
        <w:t>” vote) on the executive compensation program were in favor of the program. Our Board of Directors was pleased with this result.</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value the opinions of our stockholders and will continue to consider the outcome of future Say-on-Pay votes, as well as feedback received throughout the year, when making compensation decisions for our executive officers. The Compensation Committee is committed to being responsive to stockholder feedback regarding our executive compensation program, policies, and practices, including concerns expressed through the Say-on-Pay vote.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Stockholder Engagement</w:t>
      </w:r>
    </w:p>
    <w:p>
      <w:pPr>
        <w:spacing w:after="0" w:line="246" w:lineRule="exact"/>
        <w:rPr>
          <w:sz w:val="20"/>
          <w:szCs w:val="20"/>
          <w:color w:val="auto"/>
        </w:rPr>
      </w:pPr>
    </w:p>
    <w:p>
      <w:pPr>
        <w:ind w:right="260"/>
        <w:spacing w:after="0" w:line="257" w:lineRule="auto"/>
        <w:rPr>
          <w:sz w:val="20"/>
          <w:szCs w:val="20"/>
          <w:color w:val="auto"/>
        </w:rPr>
      </w:pPr>
      <w:r>
        <w:rPr>
          <w:rFonts w:ascii="Arial" w:cs="Arial" w:eastAsia="Arial" w:hAnsi="Arial"/>
          <w:sz w:val="16"/>
          <w:szCs w:val="16"/>
          <w:color w:val="auto"/>
        </w:rPr>
        <w:t>During the summer and fall of 2023, our Corporate Secretary and Mr. Waddill, the Compensation Committee Chair, requested meetings with our top 10 stockholders to discuss our executive compensation program. On the basis of that feedback, and the stockholder vote during our 2024 Annual Meeting of Stockholders, we believe stockholders are pleased with our current compensation approach.</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Aggressive Performance Fueled by Incentives</w:t>
      </w:r>
    </w:p>
    <w:p>
      <w:pPr>
        <w:spacing w:after="0" w:line="22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Compensation Committee expects and has observed aggressive performance from the entire executive management team. Our philosophy has been to foster this expectation with reasonably aggressive incentive compensation. Based on our overall operating environment, feedback from our stockholders, and stockholder return results, the Compensation Committee took the following key actions and maintained key policies with respect to the compensation of all of our NEOs for fiscal 2024:</w:t>
      </w:r>
    </w:p>
    <w:p>
      <w:pPr>
        <w:spacing w:after="0" w:line="90" w:lineRule="exact"/>
        <w:rPr>
          <w:sz w:val="20"/>
          <w:szCs w:val="20"/>
          <w:color w:val="auto"/>
        </w:rPr>
      </w:pPr>
    </w:p>
    <w:p>
      <w:pPr>
        <w:ind w:left="320" w:hanging="231"/>
        <w:spacing w:after="0"/>
        <w:tabs>
          <w:tab w:leader="none" w:pos="320" w:val="left"/>
        </w:tabs>
        <w:numPr>
          <w:ilvl w:val="0"/>
          <w:numId w:val="43"/>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Base Salary — </w:t>
      </w:r>
      <w:r>
        <w:rPr>
          <w:rFonts w:ascii="Arial" w:cs="Arial" w:eastAsia="Arial" w:hAnsi="Arial"/>
          <w:sz w:val="16"/>
          <w:szCs w:val="16"/>
          <w:color w:val="auto"/>
        </w:rPr>
        <w:t>Approved base salary increases for our current NEOs based on performance and market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518160</wp:posOffset>
            </wp:positionV>
            <wp:extent cx="986155" cy="2057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left="340" w:hanging="251"/>
        <w:spacing w:after="0" w:line="275" w:lineRule="auto"/>
        <w:tabs>
          <w:tab w:leader="none" w:pos="329" w:val="left"/>
        </w:tabs>
        <w:numPr>
          <w:ilvl w:val="0"/>
          <w:numId w:val="44"/>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Annual Incentive Compensation </w:t>
      </w:r>
      <w:r>
        <w:rPr>
          <w:rFonts w:ascii="Arial" w:cs="Arial" w:eastAsia="Arial" w:hAnsi="Arial"/>
          <w:sz w:val="16"/>
          <w:szCs w:val="16"/>
          <w:color w:val="auto"/>
        </w:rPr>
        <w:t>— Certified performance and Approved annual cash bonuses for our NEOs for fiscal 2024 in amounts of up to 140%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their target annual cash incentive compensation opportunities, including an annual cash bonus for our CEO in the amount of $1,152,000, equal to 120% of his target annual cash incentive compensation opportunity.</w:t>
      </w:r>
    </w:p>
    <w:p>
      <w:pPr>
        <w:spacing w:after="0" w:line="42" w:lineRule="exact"/>
        <w:rPr>
          <w:rFonts w:ascii="Arial" w:cs="Arial" w:eastAsia="Arial" w:hAnsi="Arial"/>
          <w:sz w:val="16"/>
          <w:szCs w:val="16"/>
          <w:color w:val="0071CE"/>
        </w:rPr>
      </w:pPr>
    </w:p>
    <w:p>
      <w:pPr>
        <w:jc w:val="both"/>
        <w:ind w:left="340" w:hanging="251"/>
        <w:spacing w:after="0" w:line="242" w:lineRule="auto"/>
        <w:tabs>
          <w:tab w:leader="none" w:pos="329" w:val="left"/>
        </w:tabs>
        <w:numPr>
          <w:ilvl w:val="0"/>
          <w:numId w:val="44"/>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Equity Compensation </w:t>
      </w:r>
      <w:r>
        <w:rPr>
          <w:rFonts w:ascii="Arial" w:cs="Arial" w:eastAsia="Arial" w:hAnsi="Arial"/>
          <w:sz w:val="16"/>
          <w:szCs w:val="16"/>
          <w:color w:val="auto"/>
        </w:rPr>
        <w:t>— The Compensation Committee granted our our CEO entirely performance-based restricted stock unit awards (“PRSUs”) due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and granted our other NEOs long-term incentive compensation opportunities in the form of time-based RSU awards that may be settled for shares of our common stock with grant date values described below in the Compensation Tables section of this Proxy. The awards vest in four equal annual installments beginning in 2025.</w:t>
      </w:r>
    </w:p>
    <w:p>
      <w:pPr>
        <w:spacing w:after="0" w:line="2" w:lineRule="exact"/>
        <w:rPr>
          <w:rFonts w:ascii="Arial" w:cs="Arial" w:eastAsia="Arial" w:hAnsi="Arial"/>
          <w:sz w:val="16"/>
          <w:szCs w:val="16"/>
          <w:color w:val="0071CE"/>
        </w:rPr>
      </w:pPr>
    </w:p>
    <w:p>
      <w:pPr>
        <w:ind w:left="340" w:hanging="251"/>
        <w:spacing w:after="0" w:line="248" w:lineRule="auto"/>
        <w:tabs>
          <w:tab w:leader="none" w:pos="329" w:val="left"/>
        </w:tabs>
        <w:numPr>
          <w:ilvl w:val="0"/>
          <w:numId w:val="44"/>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Clawback Policy </w:t>
      </w:r>
      <w:r>
        <w:rPr>
          <w:rFonts w:ascii="Arial" w:cs="Arial" w:eastAsia="Arial" w:hAnsi="Arial"/>
          <w:sz w:val="16"/>
          <w:szCs w:val="16"/>
          <w:color w:val="auto"/>
        </w:rPr>
        <w:t>— Maintained our clawback policy which allows Arrowhead to recover incentive compensation from our executive officers, on a non-fault basis, in the event a financial restatement is required to correct any accounting errors made by any such executive officer.</w:t>
      </w:r>
    </w:p>
    <w:p>
      <w:pPr>
        <w:spacing w:after="0" w:line="211" w:lineRule="exact"/>
        <w:rPr>
          <w:rFonts w:ascii="Arial" w:cs="Arial" w:eastAsia="Arial" w:hAnsi="Arial"/>
          <w:sz w:val="16"/>
          <w:szCs w:val="16"/>
          <w:color w:val="0071CE"/>
        </w:rPr>
      </w:pPr>
    </w:p>
    <w:p>
      <w:pPr>
        <w:ind w:left="340" w:right="220" w:hanging="251"/>
        <w:spacing w:after="0" w:line="268" w:lineRule="auto"/>
        <w:tabs>
          <w:tab w:leader="none" w:pos="329" w:val="left"/>
        </w:tabs>
        <w:numPr>
          <w:ilvl w:val="0"/>
          <w:numId w:val="44"/>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Stock Ownership Guidelines </w:t>
      </w:r>
      <w:r>
        <w:rPr>
          <w:rFonts w:ascii="Arial" w:cs="Arial" w:eastAsia="Arial" w:hAnsi="Arial"/>
          <w:sz w:val="16"/>
          <w:szCs w:val="16"/>
          <w:color w:val="auto"/>
        </w:rPr>
        <w:t>— Maintained guidelines mandating ownership of Arrowhead stock in amounts equal to, for our CEO, six times annual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base salary and, for our CFO, two times annual base salary.</w:t>
      </w:r>
    </w:p>
    <w:p>
      <w:pPr>
        <w:spacing w:after="0" w:line="196" w:lineRule="exact"/>
        <w:rPr>
          <w:rFonts w:ascii="Arial" w:cs="Arial" w:eastAsia="Arial" w:hAnsi="Arial"/>
          <w:sz w:val="16"/>
          <w:szCs w:val="16"/>
          <w:color w:val="0071CE"/>
        </w:rPr>
      </w:pPr>
    </w:p>
    <w:p>
      <w:pPr>
        <w:jc w:val="both"/>
        <w:ind w:left="340" w:hanging="251"/>
        <w:spacing w:after="0" w:line="275" w:lineRule="auto"/>
        <w:tabs>
          <w:tab w:leader="none" w:pos="329" w:val="left"/>
        </w:tabs>
        <w:numPr>
          <w:ilvl w:val="0"/>
          <w:numId w:val="44"/>
        </w:numPr>
        <w:rPr>
          <w:rFonts w:ascii="Arial" w:cs="Arial" w:eastAsia="Arial" w:hAnsi="Arial"/>
          <w:sz w:val="16"/>
          <w:szCs w:val="16"/>
          <w:color w:val="0071CE"/>
        </w:rPr>
      </w:pPr>
      <w:r>
        <w:rPr>
          <w:rFonts w:ascii="Arial" w:cs="Arial" w:eastAsia="Arial" w:hAnsi="Arial"/>
          <w:sz w:val="16"/>
          <w:szCs w:val="16"/>
          <w:b w:val="1"/>
          <w:bCs w:val="1"/>
          <w:i w:val="1"/>
          <w:iCs w:val="1"/>
          <w:color w:val="auto"/>
        </w:rPr>
        <w:t xml:space="preserve">“Double Trigger” Feature for Acceleration of Equity Awards </w:t>
      </w:r>
      <w:r>
        <w:rPr>
          <w:rFonts w:ascii="Arial" w:cs="Arial" w:eastAsia="Arial" w:hAnsi="Arial"/>
          <w:sz w:val="16"/>
          <w:szCs w:val="16"/>
          <w:color w:val="auto"/>
        </w:rPr>
        <w:t>— Maintained the agreements for outstanding equity awards granted to our CEO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our 2013 and 2021 Incentive Plans to provide that, upon a change in control of Arrowhead, the vesting of such awards will accelerate only in the event of a subsequent involuntary termination of employment (i.e., on a “double-trigger”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Pay-for-Performance Analysis</w:t>
      </w:r>
    </w:p>
    <w:p>
      <w:pPr>
        <w:spacing w:after="0" w:line="9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believe our executive compensation program is reasonable, competitive, and appropriately balances the goals of attracting, motivating, rewarding, and retaining our executive officers with the objective of aligning their interests with those of our stockholders. To ensure this alignment and to motivate and reward individual initiative and effort, a significant portion of our executive officers’ target total direct compensation opportunity is both performance-based and “at-risk.”</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emphasize performance-based compensation that appropriately rewards our executive officers, including our NEOs, through two separate compensation elements:</w:t>
      </w:r>
    </w:p>
    <w:p>
      <w:pPr>
        <w:spacing w:after="0" w:line="75" w:lineRule="exact"/>
        <w:rPr>
          <w:sz w:val="20"/>
          <w:szCs w:val="20"/>
          <w:color w:val="auto"/>
        </w:rPr>
      </w:pPr>
    </w:p>
    <w:p>
      <w:pPr>
        <w:ind w:left="340" w:right="20" w:hanging="251"/>
        <w:spacing w:after="0" w:line="286" w:lineRule="auto"/>
        <w:tabs>
          <w:tab w:leader="none" w:pos="329" w:val="left"/>
        </w:tabs>
        <w:numPr>
          <w:ilvl w:val="0"/>
          <w:numId w:val="45"/>
        </w:numPr>
        <w:rPr>
          <w:rFonts w:ascii="Arial" w:cs="Arial" w:eastAsia="Arial" w:hAnsi="Arial"/>
          <w:sz w:val="16"/>
          <w:szCs w:val="16"/>
          <w:color w:val="0071CE"/>
        </w:rPr>
      </w:pPr>
      <w:r>
        <w:rPr>
          <w:rFonts w:ascii="Arial" w:cs="Arial" w:eastAsia="Arial" w:hAnsi="Arial"/>
          <w:sz w:val="16"/>
          <w:szCs w:val="16"/>
          <w:color w:val="auto"/>
        </w:rPr>
        <w:t>First, we provide the opportunity to participate in our annual incentive compensation plan which provides cash payments if executive officers produce short-term financial, operational, and strategic results that meet or exceed the objectives set forth each year in our annual operating plan.</w:t>
      </w:r>
    </w:p>
    <w:p>
      <w:pPr>
        <w:spacing w:after="0" w:line="61" w:lineRule="exact"/>
        <w:rPr>
          <w:rFonts w:ascii="Arial" w:cs="Arial" w:eastAsia="Arial" w:hAnsi="Arial"/>
          <w:sz w:val="16"/>
          <w:szCs w:val="16"/>
          <w:color w:val="0071CE"/>
        </w:rPr>
      </w:pPr>
    </w:p>
    <w:p>
      <w:pPr>
        <w:jc w:val="both"/>
        <w:ind w:left="340" w:hanging="251"/>
        <w:spacing w:after="0" w:line="265" w:lineRule="auto"/>
        <w:tabs>
          <w:tab w:leader="none" w:pos="329" w:val="left"/>
        </w:tabs>
        <w:numPr>
          <w:ilvl w:val="0"/>
          <w:numId w:val="45"/>
        </w:numPr>
        <w:rPr>
          <w:rFonts w:ascii="Arial" w:cs="Arial" w:eastAsia="Arial" w:hAnsi="Arial"/>
          <w:sz w:val="16"/>
          <w:szCs w:val="16"/>
          <w:color w:val="0071CE"/>
        </w:rPr>
      </w:pPr>
      <w:r>
        <w:rPr>
          <w:rFonts w:ascii="Arial" w:cs="Arial" w:eastAsia="Arial" w:hAnsi="Arial"/>
          <w:sz w:val="16"/>
          <w:szCs w:val="16"/>
          <w:color w:val="auto"/>
        </w:rPr>
        <w:t>In addition, we grant equity awards as long-term incentive compensation. These require substantial performance and are themselves substantial awards, designed to drive our financial and operational performance and long-term growth. In the case of our CEO, these awards are heavily performance weighted, and in the case of our other executive officers, are either dependent on the future appreciation in value of our common stock or are subject to the risk of fluctuations in the value of our common stock and, therefore, are “at risk.”</w:t>
      </w:r>
    </w:p>
    <w:p>
      <w:pPr>
        <w:spacing w:after="0" w:line="17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believe that, ultimately, the creation of sustainable long-term stockholder value will depend on our ability to successfully bring to market the products we develop or our success in partnering with strategic collaborators to bring them to market. Consequently, the Compensation Committee strives to incent our executive officers to create that value through the discovery and development of a robust and attractive pipeline of drug candidates. To achieve that end, our executive compensation program is designed to provide incentives that facilitate these efforts. Particularly for our CEO, the Compensation Committee has awarded 100% of his long term incentive compensation for fiscal 2024 as performance-based equity awards designed to produce stockholder value. The Compensation Committee closely tracks the progress against these objectives and, in conjunction with the independent members of our Board, ensures the objectives are met using sound, ethical business practices before certifying performance achievement of the awards.</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To ensure that we remain faithful to our compensation philosophy, the Compensation Committee regularly evaluates the relationship between the reported values of the equity awards granted to our executive officers, the amount of compensation realizable (and, ultimately, realized) from such awards in subsequent years, and our total stockholder return over this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481965</wp:posOffset>
            </wp:positionV>
            <wp:extent cx="986155" cy="2057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E"/>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Compensation Policies and Practices</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endeavor to maintain sound governance standards consistent with our executive compensation policies and practices. The Compensation Committee evaluates our executive compensation program on a regular basis to ensure that it is consistent with our short-term and long-term goals given the dynamic nature of our business and the market in which we compete for executive talent. The following summarizes our executive compensation and related policies</w:t>
      </w:r>
    </w:p>
    <w:p>
      <w:pPr>
        <w:sectPr>
          <w:pgSz w:w="11900" w:h="16838" w:orient="portrait"/>
          <w:cols w:equalWidth="0" w:num="1">
            <w:col w:w="11240"/>
          </w:cols>
          <w:pgMar w:left="320" w:top="212"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3471545" cy="1968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71545" cy="196850"/>
                    </a:xfrm>
                    <a:prstGeom prst="rect">
                      <a:avLst/>
                    </a:prstGeom>
                    <a:noFill/>
                  </pic:spPr>
                </pic:pic>
              </a:graphicData>
            </a:graphic>
          </wp:anchor>
        </w:drawing>
      </w:r>
    </w:p>
    <w:p>
      <w:pPr>
        <w:spacing w:after="0" w:line="54" w:lineRule="exact"/>
        <w:rPr>
          <w:sz w:val="20"/>
          <w:szCs w:val="20"/>
          <w:color w:val="auto"/>
        </w:rPr>
      </w:pPr>
    </w:p>
    <w:p>
      <w:pPr>
        <w:ind w:left="2200"/>
        <w:spacing w:after="0"/>
        <w:rPr>
          <w:sz w:val="20"/>
          <w:szCs w:val="20"/>
          <w:color w:val="auto"/>
        </w:rPr>
      </w:pPr>
      <w:r>
        <w:rPr>
          <w:rFonts w:ascii="Arial" w:cs="Arial" w:eastAsia="Arial" w:hAnsi="Arial"/>
          <w:sz w:val="16"/>
          <w:szCs w:val="16"/>
          <w:b w:val="1"/>
          <w:bCs w:val="1"/>
          <w:color w:val="FFFFFF"/>
        </w:rPr>
        <w:t>WHAT WE DO</w:t>
      </w:r>
    </w:p>
    <w:p>
      <w:pPr>
        <w:spacing w:after="0" w:line="222" w:lineRule="exact"/>
        <w:rPr>
          <w:sz w:val="20"/>
          <w:szCs w:val="20"/>
          <w:color w:val="auto"/>
        </w:rPr>
      </w:pPr>
    </w:p>
    <w:p>
      <w:pPr>
        <w:ind w:left="460" w:right="380" w:hanging="323"/>
        <w:spacing w:after="0" w:line="178" w:lineRule="exact"/>
        <w:rPr>
          <w:sz w:val="20"/>
          <w:szCs w:val="20"/>
          <w:color w:val="auto"/>
        </w:rPr>
      </w:pPr>
      <w:r>
        <w:rPr>
          <w:rFonts w:ascii="MS PGothic" w:cs="MS PGothic" w:eastAsia="MS PGothic" w:hAnsi="MS PGothic"/>
          <w:sz w:val="14"/>
          <w:szCs w:val="14"/>
          <w:color w:val="0071CE"/>
        </w:rPr>
        <w: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0071CE"/>
        </w:rPr>
        <w:t>Maintain an Independent Compensation Committee.</w:t>
      </w:r>
      <w:r>
        <w:rPr>
          <w:rFonts w:ascii="Arial" w:cs="Arial" w:eastAsia="Arial" w:hAnsi="Arial"/>
          <w:sz w:val="14"/>
          <w:szCs w:val="14"/>
          <w:color w:val="auto"/>
        </w:rPr>
        <w:t xml:space="preserve"> The Compensation Committee consists solely of independent directors.</w:t>
      </w:r>
    </w:p>
    <w:p>
      <w:pPr>
        <w:spacing w:after="0" w:line="76" w:lineRule="exact"/>
        <w:rPr>
          <w:sz w:val="20"/>
          <w:szCs w:val="20"/>
          <w:color w:val="auto"/>
        </w:rPr>
      </w:pPr>
    </w:p>
    <w:p>
      <w:pPr>
        <w:ind w:left="460" w:hanging="323"/>
        <w:spacing w:after="0" w:line="165" w:lineRule="exact"/>
        <w:rPr>
          <w:sz w:val="20"/>
          <w:szCs w:val="20"/>
          <w:color w:val="auto"/>
        </w:rPr>
      </w:pPr>
      <w:r>
        <w:rPr>
          <w:rFonts w:ascii="MS PGothic" w:cs="MS PGothic" w:eastAsia="MS PGothic" w:hAnsi="MS PGothic"/>
          <w:sz w:val="14"/>
          <w:szCs w:val="14"/>
          <w:color w:val="0071CE"/>
        </w:rPr>
        <w: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0071CE"/>
        </w:rPr>
        <w:t>Retain an Independent Compensation Advisor.</w:t>
      </w:r>
      <w:r>
        <w:rPr>
          <w:rFonts w:ascii="Arial" w:cs="Arial" w:eastAsia="Arial" w:hAnsi="Arial"/>
          <w:sz w:val="14"/>
          <w:szCs w:val="14"/>
          <w:color w:val="auto"/>
        </w:rPr>
        <w:t xml:space="preserve"> The Compensation Committee engaged its own compensation advisor to provide information and analysis</w:t>
      </w:r>
    </w:p>
    <w:p>
      <w:pPr>
        <w:ind w:left="460"/>
        <w:spacing w:after="0" w:line="221" w:lineRule="auto"/>
        <w:rPr>
          <w:sz w:val="20"/>
          <w:szCs w:val="20"/>
          <w:color w:val="auto"/>
        </w:rPr>
      </w:pPr>
      <w:r>
        <w:rPr>
          <w:rFonts w:ascii="Arial" w:cs="Arial" w:eastAsia="Arial" w:hAnsi="Arial"/>
          <w:sz w:val="14"/>
          <w:szCs w:val="14"/>
          <w:color w:val="auto"/>
        </w:rPr>
        <w:t>with its fiscal 2024 compensation review, and other advice on executive</w:t>
      </w:r>
    </w:p>
    <w:p>
      <w:pPr>
        <w:ind w:left="460" w:right="280"/>
        <w:spacing w:after="0" w:line="231" w:lineRule="auto"/>
        <w:rPr>
          <w:sz w:val="20"/>
          <w:szCs w:val="20"/>
          <w:color w:val="auto"/>
        </w:rPr>
      </w:pPr>
      <w:r>
        <w:rPr>
          <w:rFonts w:ascii="Arial" w:cs="Arial" w:eastAsia="Arial" w:hAnsi="Arial"/>
          <w:sz w:val="14"/>
          <w:szCs w:val="14"/>
          <w:color w:val="auto"/>
        </w:rPr>
        <w:t>compensation independent of management. This consultant performed no consulting or other services for us in fiscal 2024.</w:t>
      </w:r>
    </w:p>
    <w:p>
      <w:pPr>
        <w:spacing w:after="0" w:line="77" w:lineRule="exact"/>
        <w:rPr>
          <w:sz w:val="20"/>
          <w:szCs w:val="20"/>
          <w:color w:val="auto"/>
        </w:rPr>
      </w:pPr>
    </w:p>
    <w:p>
      <w:pPr>
        <w:ind w:left="460" w:right="380" w:hanging="323"/>
        <w:spacing w:after="0" w:line="165" w:lineRule="exact"/>
        <w:rPr>
          <w:sz w:val="20"/>
          <w:szCs w:val="20"/>
          <w:color w:val="auto"/>
        </w:rPr>
      </w:pPr>
      <w:r>
        <w:rPr>
          <w:rFonts w:ascii="MS PGothic" w:cs="MS PGothic" w:eastAsia="MS PGothic" w:hAnsi="MS PGothic"/>
          <w:sz w:val="14"/>
          <w:szCs w:val="14"/>
          <w:color w:val="0071CE"/>
        </w:rPr>
        <w: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0071CE"/>
        </w:rPr>
        <w:t>Annual Executive Compensation Review.</w:t>
      </w:r>
      <w:r>
        <w:rPr>
          <w:rFonts w:ascii="Arial" w:cs="Arial" w:eastAsia="Arial" w:hAnsi="Arial"/>
          <w:sz w:val="14"/>
          <w:szCs w:val="14"/>
          <w:color w:val="auto"/>
        </w:rPr>
        <w:t xml:space="preserve"> The Compensation Committee conducts an annual review and approval of our compensation strategy,</w:t>
      </w:r>
    </w:p>
    <w:p>
      <w:pPr>
        <w:ind w:left="460"/>
        <w:spacing w:after="0" w:line="221" w:lineRule="auto"/>
        <w:rPr>
          <w:sz w:val="20"/>
          <w:szCs w:val="20"/>
          <w:color w:val="auto"/>
        </w:rPr>
      </w:pPr>
      <w:r>
        <w:rPr>
          <w:rFonts w:ascii="Arial" w:cs="Arial" w:eastAsia="Arial" w:hAnsi="Arial"/>
          <w:sz w:val="14"/>
          <w:szCs w:val="14"/>
          <w:color w:val="auto"/>
        </w:rPr>
        <w:t>including a review and determination of our compensation peer group and a</w:t>
      </w:r>
    </w:p>
    <w:p>
      <w:pPr>
        <w:ind w:left="460" w:right="240"/>
        <w:spacing w:after="0" w:line="211" w:lineRule="auto"/>
        <w:rPr>
          <w:sz w:val="20"/>
          <w:szCs w:val="20"/>
          <w:color w:val="auto"/>
        </w:rPr>
      </w:pPr>
      <w:r>
        <w:rPr>
          <w:rFonts w:ascii="Arial" w:cs="Arial" w:eastAsia="Arial" w:hAnsi="Arial"/>
          <w:sz w:val="14"/>
          <w:szCs w:val="14"/>
          <w:color w:val="auto"/>
        </w:rPr>
        <w:t>review of our compensation-related risk profile to ensure that our compensation programs do not encourage excessive or inappropriate risk-</w:t>
      </w:r>
    </w:p>
    <w:p>
      <w:pPr>
        <w:ind w:left="460"/>
        <w:spacing w:after="0"/>
        <w:rPr>
          <w:sz w:val="20"/>
          <w:szCs w:val="20"/>
          <w:color w:val="auto"/>
        </w:rPr>
      </w:pPr>
      <w:r>
        <w:rPr>
          <w:rFonts w:ascii="Arial" w:cs="Arial" w:eastAsia="Arial" w:hAnsi="Arial"/>
          <w:sz w:val="14"/>
          <w:szCs w:val="14"/>
          <w:color w:val="auto"/>
        </w:rPr>
        <w:t>taking.</w:t>
      </w:r>
    </w:p>
    <w:p>
      <w:pPr>
        <w:spacing w:after="0" w:line="77" w:lineRule="exact"/>
        <w:rPr>
          <w:sz w:val="20"/>
          <w:szCs w:val="20"/>
          <w:color w:val="auto"/>
        </w:rPr>
      </w:pPr>
    </w:p>
    <w:p>
      <w:pPr>
        <w:ind w:left="460" w:right="200" w:hanging="323"/>
        <w:spacing w:after="0" w:line="172" w:lineRule="exact"/>
        <w:rPr>
          <w:sz w:val="20"/>
          <w:szCs w:val="20"/>
          <w:color w:val="auto"/>
        </w:rPr>
      </w:pPr>
      <w:r>
        <w:rPr>
          <w:rFonts w:ascii="MS PGothic" w:cs="MS PGothic" w:eastAsia="MS PGothic" w:hAnsi="MS PGothic"/>
          <w:sz w:val="14"/>
          <w:szCs w:val="14"/>
          <w:color w:val="0071CE"/>
        </w:rPr>
        <w: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0071CE"/>
        </w:rPr>
        <w:t>Compensation At-Risk.</w:t>
      </w:r>
      <w:r>
        <w:rPr>
          <w:rFonts w:ascii="Arial" w:cs="Arial" w:eastAsia="Arial" w:hAnsi="Arial"/>
          <w:sz w:val="14"/>
          <w:szCs w:val="14"/>
          <w:color w:val="auto"/>
        </w:rPr>
        <w:t xml:space="preserve"> Our executive compensation program is designed so that a significant portion of compensation is “at risk” based on our</w:t>
      </w:r>
    </w:p>
    <w:p>
      <w:pPr>
        <w:ind w:left="460" w:right="240"/>
        <w:spacing w:after="0" w:line="231" w:lineRule="auto"/>
        <w:rPr>
          <w:sz w:val="20"/>
          <w:szCs w:val="20"/>
          <w:color w:val="auto"/>
        </w:rPr>
      </w:pPr>
      <w:r>
        <w:rPr>
          <w:rFonts w:ascii="Arial" w:cs="Arial" w:eastAsia="Arial" w:hAnsi="Arial"/>
          <w:sz w:val="14"/>
          <w:szCs w:val="14"/>
          <w:color w:val="auto"/>
        </w:rPr>
        <w:t>performance, as well as short-term cash and long-term equity incentives to align the interests of our executive officers and stockholders.</w:t>
      </w:r>
    </w:p>
    <w:p>
      <w:pPr>
        <w:spacing w:after="0" w:line="77" w:lineRule="exact"/>
        <w:rPr>
          <w:sz w:val="20"/>
          <w:szCs w:val="20"/>
          <w:color w:val="auto"/>
        </w:rPr>
      </w:pPr>
    </w:p>
    <w:p>
      <w:pPr>
        <w:ind w:left="460" w:right="120" w:hanging="323"/>
        <w:spacing w:after="0" w:line="178" w:lineRule="exact"/>
        <w:rPr>
          <w:sz w:val="20"/>
          <w:szCs w:val="20"/>
          <w:color w:val="auto"/>
        </w:rPr>
      </w:pPr>
      <w:r>
        <w:rPr>
          <w:rFonts w:ascii="MS PGothic" w:cs="MS PGothic" w:eastAsia="MS PGothic" w:hAnsi="MS PGothic"/>
          <w:sz w:val="14"/>
          <w:szCs w:val="14"/>
          <w:color w:val="0071CE"/>
        </w:rPr>
        <w: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0071CE"/>
        </w:rPr>
        <w:t>CEO Annual Incentive Compensation Cap.</w:t>
      </w:r>
      <w:r>
        <w:rPr>
          <w:rFonts w:ascii="Arial" w:cs="Arial" w:eastAsia="Arial" w:hAnsi="Arial"/>
          <w:sz w:val="14"/>
          <w:szCs w:val="14"/>
          <w:color w:val="auto"/>
        </w:rPr>
        <w:t xml:space="preserve"> Our CEO’s annual cash incentive compensation opportunity is capped at 150% of his base salary.</w:t>
      </w:r>
    </w:p>
    <w:p>
      <w:pPr>
        <w:spacing w:after="0" w:line="76" w:lineRule="exact"/>
        <w:rPr>
          <w:sz w:val="20"/>
          <w:szCs w:val="20"/>
          <w:color w:val="auto"/>
        </w:rPr>
      </w:pPr>
    </w:p>
    <w:p>
      <w:pPr>
        <w:ind w:left="140"/>
        <w:spacing w:after="0" w:line="161" w:lineRule="exact"/>
        <w:rPr>
          <w:sz w:val="20"/>
          <w:szCs w:val="20"/>
          <w:color w:val="auto"/>
        </w:rPr>
      </w:pPr>
      <w:r>
        <w:rPr>
          <w:rFonts w:ascii="MS PGothic" w:cs="MS PGothic" w:eastAsia="MS PGothic" w:hAnsi="MS PGothic"/>
          <w:sz w:val="14"/>
          <w:szCs w:val="14"/>
          <w:color w:val="0071CE"/>
        </w:rPr>
        <w: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0071CE"/>
        </w:rPr>
        <w:t>Stock Ownership Policy.</w:t>
      </w:r>
      <w:r>
        <w:rPr>
          <w:rFonts w:ascii="Arial" w:cs="Arial" w:eastAsia="Arial" w:hAnsi="Arial"/>
          <w:sz w:val="14"/>
          <w:szCs w:val="14"/>
          <w:color w:val="auto"/>
        </w:rPr>
        <w:t xml:space="preserve"> We maintain a stock ownership policy that requires</w:t>
      </w:r>
    </w:p>
    <w:p>
      <w:pPr>
        <w:spacing w:after="0" w:line="33" w:lineRule="exact"/>
        <w:rPr>
          <w:sz w:val="20"/>
          <w:szCs w:val="20"/>
          <w:color w:val="auto"/>
        </w:rPr>
      </w:pPr>
    </w:p>
    <w:p>
      <w:pPr>
        <w:ind w:left="460" w:right="280"/>
        <w:spacing w:after="0" w:line="231" w:lineRule="auto"/>
        <w:rPr>
          <w:sz w:val="20"/>
          <w:szCs w:val="20"/>
          <w:color w:val="auto"/>
        </w:rPr>
      </w:pPr>
      <w:r>
        <w:rPr>
          <w:rFonts w:ascii="Arial" w:cs="Arial" w:eastAsia="Arial" w:hAnsi="Arial"/>
          <w:sz w:val="14"/>
          <w:szCs w:val="14"/>
          <w:color w:val="auto"/>
        </w:rPr>
        <w:t>our CEO and CFO to maintain a minimum ownership level of our common stock.</w:t>
      </w:r>
    </w:p>
    <w:p>
      <w:pPr>
        <w:spacing w:after="0" w:line="77" w:lineRule="exact"/>
        <w:rPr>
          <w:sz w:val="20"/>
          <w:szCs w:val="20"/>
          <w:color w:val="auto"/>
        </w:rPr>
      </w:pPr>
    </w:p>
    <w:p>
      <w:pPr>
        <w:ind w:left="460" w:right="60" w:hanging="323"/>
        <w:spacing w:after="0" w:line="165" w:lineRule="exact"/>
        <w:rPr>
          <w:sz w:val="20"/>
          <w:szCs w:val="20"/>
          <w:color w:val="auto"/>
        </w:rPr>
      </w:pPr>
      <w:r>
        <w:rPr>
          <w:rFonts w:ascii="MS PGothic" w:cs="MS PGothic" w:eastAsia="MS PGothic" w:hAnsi="MS PGothic"/>
          <w:sz w:val="14"/>
          <w:szCs w:val="14"/>
          <w:color w:val="0071CE"/>
        </w:rPr>
        <w: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0071CE"/>
        </w:rPr>
        <w:t>Compensation Recovery (“Clawback”) Policy.</w:t>
      </w:r>
      <w:r>
        <w:rPr>
          <w:rFonts w:ascii="Arial" w:cs="Arial" w:eastAsia="Arial" w:hAnsi="Arial"/>
          <w:sz w:val="14"/>
          <w:szCs w:val="14"/>
          <w:color w:val="auto"/>
        </w:rPr>
        <w:t xml:space="preserve"> We maintain a clawback policy to allow Arrowhead to recover incentive compensation from our executive</w:t>
      </w:r>
    </w:p>
    <w:p>
      <w:pPr>
        <w:ind w:left="460"/>
        <w:spacing w:after="0" w:line="244" w:lineRule="auto"/>
        <w:rPr>
          <w:sz w:val="20"/>
          <w:szCs w:val="20"/>
          <w:color w:val="auto"/>
        </w:rPr>
      </w:pPr>
      <w:r>
        <w:rPr>
          <w:rFonts w:ascii="Arial" w:cs="Arial" w:eastAsia="Arial" w:hAnsi="Arial"/>
          <w:sz w:val="14"/>
          <w:szCs w:val="14"/>
          <w:color w:val="auto"/>
        </w:rPr>
        <w:t>officers, on a non-fault basis, in the event a financial restatement is required to correct any accounting errors made by any such executive officer.</w:t>
      </w:r>
    </w:p>
    <w:p>
      <w:pPr>
        <w:spacing w:after="0" w:line="59" w:lineRule="exact"/>
        <w:rPr>
          <w:sz w:val="20"/>
          <w:szCs w:val="20"/>
          <w:color w:val="auto"/>
        </w:rPr>
      </w:pPr>
    </w:p>
    <w:p>
      <w:pPr>
        <w:ind w:left="140"/>
        <w:spacing w:after="0" w:line="161" w:lineRule="exact"/>
        <w:rPr>
          <w:sz w:val="20"/>
          <w:szCs w:val="20"/>
          <w:color w:val="auto"/>
        </w:rPr>
      </w:pPr>
      <w:r>
        <w:rPr>
          <w:rFonts w:ascii="MS PGothic" w:cs="MS PGothic" w:eastAsia="MS PGothic" w:hAnsi="MS PGothic"/>
          <w:sz w:val="14"/>
          <w:szCs w:val="14"/>
          <w:color w:val="0071CE"/>
        </w:rPr>
        <w: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0071CE"/>
        </w:rPr>
        <w:t>Conduct an Annual Stockholder Advisory Vote on NEO Compensation.</w:t>
      </w:r>
      <w:r>
        <w:rPr>
          <w:rFonts w:ascii="Arial" w:cs="Arial" w:eastAsia="Arial" w:hAnsi="Arial"/>
          <w:sz w:val="14"/>
          <w:szCs w:val="14"/>
          <w:color w:val="auto"/>
        </w:rPr>
        <w:t xml:space="preserve"> We</w:t>
      </w:r>
    </w:p>
    <w:p>
      <w:pPr>
        <w:spacing w:after="0" w:line="33" w:lineRule="exact"/>
        <w:rPr>
          <w:sz w:val="20"/>
          <w:szCs w:val="20"/>
          <w:color w:val="auto"/>
        </w:rPr>
      </w:pPr>
    </w:p>
    <w:p>
      <w:pPr>
        <w:ind w:left="460" w:right="360"/>
        <w:spacing w:after="0" w:line="231" w:lineRule="auto"/>
        <w:rPr>
          <w:sz w:val="20"/>
          <w:szCs w:val="20"/>
          <w:color w:val="auto"/>
        </w:rPr>
      </w:pPr>
      <w:r>
        <w:rPr>
          <w:rFonts w:ascii="Arial" w:cs="Arial" w:eastAsia="Arial" w:hAnsi="Arial"/>
          <w:sz w:val="14"/>
          <w:szCs w:val="14"/>
          <w:color w:val="auto"/>
        </w:rPr>
        <w:t>conduct an annual stockholder advisory vote on the compensation of our NEOs.</w:t>
      </w:r>
    </w:p>
    <w:p>
      <w:pPr>
        <w:spacing w:after="0" w:line="77" w:lineRule="exact"/>
        <w:rPr>
          <w:sz w:val="20"/>
          <w:szCs w:val="20"/>
          <w:color w:val="auto"/>
        </w:rPr>
      </w:pPr>
    </w:p>
    <w:p>
      <w:pPr>
        <w:ind w:left="460" w:right="100" w:hanging="323"/>
        <w:spacing w:after="0" w:line="165" w:lineRule="exact"/>
        <w:rPr>
          <w:sz w:val="20"/>
          <w:szCs w:val="20"/>
          <w:color w:val="auto"/>
        </w:rPr>
      </w:pPr>
      <w:r>
        <w:rPr>
          <w:rFonts w:ascii="MS PGothic" w:cs="MS PGothic" w:eastAsia="MS PGothic" w:hAnsi="MS PGothic"/>
          <w:sz w:val="14"/>
          <w:szCs w:val="14"/>
          <w:color w:val="0071CE"/>
        </w:rPr>
        <w: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0071CE"/>
        </w:rPr>
        <w:t>Use a Pay-for-Performance Philosophy.</w:t>
      </w:r>
      <w:r>
        <w:rPr>
          <w:rFonts w:ascii="Arial" w:cs="Arial" w:eastAsia="Arial" w:hAnsi="Arial"/>
          <w:sz w:val="14"/>
          <w:szCs w:val="14"/>
          <w:color w:val="auto"/>
        </w:rPr>
        <w:t xml:space="preserve"> The majority of our CEO’s compensation is directly linked to achievement of milestones to the benefit of</w:t>
      </w:r>
    </w:p>
    <w:p>
      <w:pPr>
        <w:ind w:left="460"/>
        <w:spacing w:after="0" w:line="221" w:lineRule="auto"/>
        <w:rPr>
          <w:sz w:val="20"/>
          <w:szCs w:val="20"/>
          <w:color w:val="auto"/>
        </w:rPr>
      </w:pPr>
      <w:r>
        <w:rPr>
          <w:rFonts w:ascii="Arial" w:cs="Arial" w:eastAsia="Arial" w:hAnsi="Arial"/>
          <w:sz w:val="14"/>
          <w:szCs w:val="14"/>
          <w:color w:val="auto"/>
        </w:rPr>
        <w:t>all stakeholders; we also structure target total direct compensation</w:t>
      </w:r>
    </w:p>
    <w:p>
      <w:pPr>
        <w:ind w:left="460" w:right="60"/>
        <w:spacing w:after="0" w:line="211" w:lineRule="auto"/>
        <w:rPr>
          <w:sz w:val="20"/>
          <w:szCs w:val="20"/>
          <w:color w:val="auto"/>
        </w:rPr>
      </w:pPr>
      <w:r>
        <w:rPr>
          <w:rFonts w:ascii="Arial" w:cs="Arial" w:eastAsia="Arial" w:hAnsi="Arial"/>
          <w:sz w:val="14"/>
          <w:szCs w:val="14"/>
          <w:color w:val="auto"/>
        </w:rPr>
        <w:t>opportunities with a significant long-term equity component, thereby making a substantial portion of our CEO’s and each additional executive officer’s target</w:t>
      </w:r>
    </w:p>
    <w:p>
      <w:pPr>
        <w:ind w:left="460" w:right="560"/>
        <w:spacing w:after="0" w:line="244" w:lineRule="auto"/>
        <w:rPr>
          <w:sz w:val="20"/>
          <w:szCs w:val="20"/>
          <w:color w:val="auto"/>
        </w:rPr>
      </w:pPr>
      <w:r>
        <w:rPr>
          <w:rFonts w:ascii="Arial" w:cs="Arial" w:eastAsia="Arial" w:hAnsi="Arial"/>
          <w:sz w:val="14"/>
          <w:szCs w:val="14"/>
          <w:color w:val="auto"/>
        </w:rPr>
        <w:t>total direct compensation dependent upon our stock price and/or total stockholder return.</w:t>
      </w:r>
    </w:p>
    <w:p>
      <w:pPr>
        <w:spacing w:after="0" w:line="59" w:lineRule="exact"/>
        <w:rPr>
          <w:sz w:val="20"/>
          <w:szCs w:val="20"/>
          <w:color w:val="auto"/>
        </w:rPr>
      </w:pPr>
    </w:p>
    <w:p>
      <w:pPr>
        <w:ind w:left="140"/>
        <w:spacing w:after="0" w:line="161" w:lineRule="exact"/>
        <w:rPr>
          <w:sz w:val="20"/>
          <w:szCs w:val="20"/>
          <w:color w:val="auto"/>
        </w:rPr>
      </w:pPr>
      <w:r>
        <w:rPr>
          <w:rFonts w:ascii="MS PGothic" w:cs="MS PGothic" w:eastAsia="MS PGothic" w:hAnsi="MS PGothic"/>
          <w:sz w:val="14"/>
          <w:szCs w:val="14"/>
          <w:color w:val="0071CE"/>
        </w:rPr>
        <w: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0071CE"/>
        </w:rPr>
        <w:t>“Double Trigger” Feature for Acceleration of CEO Equity Awards</w:t>
      </w:r>
      <w:r>
        <w:rPr>
          <w:rFonts w:ascii="Arial" w:cs="Arial" w:eastAsia="Arial" w:hAnsi="Arial"/>
          <w:sz w:val="14"/>
          <w:szCs w:val="14"/>
          <w:color w:val="auto"/>
        </w:rPr>
        <w:t xml:space="preserve"> — The</w:t>
      </w:r>
    </w:p>
    <w:p>
      <w:pPr>
        <w:spacing w:after="0" w:line="2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outstanding equity awards granted to our CEO pursuant to our 2013 Incentive</w:t>
      </w:r>
    </w:p>
    <w:p>
      <w:pPr>
        <w:ind w:left="460" w:right="260"/>
        <w:spacing w:after="0" w:line="211" w:lineRule="auto"/>
        <w:rPr>
          <w:sz w:val="20"/>
          <w:szCs w:val="20"/>
          <w:color w:val="auto"/>
        </w:rPr>
      </w:pPr>
      <w:r>
        <w:rPr>
          <w:rFonts w:ascii="Arial" w:cs="Arial" w:eastAsia="Arial" w:hAnsi="Arial"/>
          <w:sz w:val="14"/>
          <w:szCs w:val="14"/>
          <w:color w:val="auto"/>
        </w:rPr>
        <w:t>Plan and 2021 Incentive Plan provide that, upon a change in control of the Company, the vesting of such awards will accelerate only in the event of a</w:t>
      </w:r>
    </w:p>
    <w:p>
      <w:pPr>
        <w:ind w:left="460" w:right="580"/>
        <w:spacing w:after="0" w:line="231" w:lineRule="auto"/>
        <w:rPr>
          <w:sz w:val="20"/>
          <w:szCs w:val="20"/>
          <w:color w:val="auto"/>
        </w:rPr>
      </w:pPr>
      <w:r>
        <w:rPr>
          <w:rFonts w:ascii="Arial" w:cs="Arial" w:eastAsia="Arial" w:hAnsi="Arial"/>
          <w:sz w:val="14"/>
          <w:szCs w:val="14"/>
          <w:color w:val="auto"/>
        </w:rPr>
        <w:t>subsequent involuntary termination of employment (a “double-trigger”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725805</wp:posOffset>
            </wp:positionV>
            <wp:extent cx="986155" cy="2057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-141605</wp:posOffset>
            </wp:positionV>
            <wp:extent cx="3488690" cy="1968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88690" cy="196850"/>
                    </a:xfrm>
                    <a:prstGeom prst="rect">
                      <a:avLst/>
                    </a:prstGeom>
                    <a:noFill/>
                  </pic:spPr>
                </pic:pic>
              </a:graphicData>
            </a:graphic>
          </wp:anchor>
        </w:drawing>
      </w:r>
    </w:p>
    <w:p>
      <w:pPr>
        <w:spacing w:after="0" w:line="80" w:lineRule="exact"/>
        <w:rPr>
          <w:sz w:val="20"/>
          <w:szCs w:val="20"/>
          <w:color w:val="auto"/>
        </w:rPr>
      </w:pPr>
    </w:p>
    <w:p>
      <w:pPr>
        <w:jc w:val="center"/>
        <w:ind w:right="440"/>
        <w:spacing w:after="0" w:line="161" w:lineRule="exact"/>
        <w:rPr>
          <w:sz w:val="20"/>
          <w:szCs w:val="20"/>
          <w:color w:val="auto"/>
        </w:rPr>
      </w:pPr>
      <w:r>
        <w:rPr>
          <w:rFonts w:ascii="MS PGothic" w:cs="MS PGothic" w:eastAsia="MS PGothic" w:hAnsi="MS PGothic"/>
          <w:sz w:val="14"/>
          <w:szCs w:val="14"/>
          <w:color w:val="3FAE2A"/>
        </w:rPr>
        <w: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3FAE2A"/>
        </w:rPr>
        <w:t>No Executive Retirement Plans.</w:t>
      </w:r>
      <w:r>
        <w:rPr>
          <w:rFonts w:ascii="Arial" w:cs="Arial" w:eastAsia="Arial" w:hAnsi="Arial"/>
          <w:sz w:val="14"/>
          <w:szCs w:val="14"/>
          <w:color w:val="auto"/>
        </w:rPr>
        <w:t xml:space="preserve"> We do not offer pension arrangements or</w:t>
      </w:r>
    </w:p>
    <w:p>
      <w:pPr>
        <w:spacing w:after="0" w:line="33" w:lineRule="exact"/>
        <w:rPr>
          <w:sz w:val="20"/>
          <w:szCs w:val="20"/>
          <w:color w:val="auto"/>
        </w:rPr>
      </w:pPr>
    </w:p>
    <w:p>
      <w:pPr>
        <w:ind w:left="320" w:right="280"/>
        <w:spacing w:after="0" w:line="231" w:lineRule="auto"/>
        <w:rPr>
          <w:sz w:val="20"/>
          <w:szCs w:val="20"/>
          <w:color w:val="auto"/>
        </w:rPr>
      </w:pPr>
      <w:r>
        <w:rPr>
          <w:rFonts w:ascii="Arial" w:cs="Arial" w:eastAsia="Arial" w:hAnsi="Arial"/>
          <w:sz w:val="14"/>
          <w:szCs w:val="14"/>
          <w:color w:val="auto"/>
        </w:rPr>
        <w:t>retirement plans or arrangements to our executive officers that are different from or in addition to those offered to our other employees.</w:t>
      </w:r>
    </w:p>
    <w:p>
      <w:pPr>
        <w:spacing w:after="0" w:line="77" w:lineRule="exact"/>
        <w:rPr>
          <w:sz w:val="20"/>
          <w:szCs w:val="20"/>
          <w:color w:val="auto"/>
        </w:rPr>
      </w:pPr>
    </w:p>
    <w:p>
      <w:pPr>
        <w:ind w:left="320" w:right="180" w:hanging="323"/>
        <w:spacing w:after="0" w:line="178" w:lineRule="exact"/>
        <w:rPr>
          <w:sz w:val="20"/>
          <w:szCs w:val="20"/>
          <w:color w:val="auto"/>
        </w:rPr>
      </w:pPr>
      <w:r>
        <w:rPr>
          <w:rFonts w:ascii="MS PGothic" w:cs="MS PGothic" w:eastAsia="MS PGothic" w:hAnsi="MS PGothic"/>
          <w:sz w:val="14"/>
          <w:szCs w:val="14"/>
          <w:color w:val="3FAE2A"/>
        </w:rPr>
        <w: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3FAE2A"/>
        </w:rPr>
        <w:t>No Perquisites.</w:t>
      </w:r>
      <w:r>
        <w:rPr>
          <w:rFonts w:ascii="Arial" w:cs="Arial" w:eastAsia="Arial" w:hAnsi="Arial"/>
          <w:sz w:val="14"/>
          <w:szCs w:val="14"/>
          <w:color w:val="auto"/>
        </w:rPr>
        <w:t xml:space="preserve"> We do not provide perquisites or other personal benefits to our executive officers.</w:t>
      </w:r>
    </w:p>
    <w:p>
      <w:pPr>
        <w:spacing w:after="0" w:line="76" w:lineRule="exact"/>
        <w:rPr>
          <w:sz w:val="20"/>
          <w:szCs w:val="20"/>
          <w:color w:val="auto"/>
        </w:rPr>
      </w:pPr>
    </w:p>
    <w:p>
      <w:pPr>
        <w:ind w:left="320" w:right="360" w:hanging="323"/>
        <w:spacing w:after="0" w:line="165" w:lineRule="exact"/>
        <w:rPr>
          <w:sz w:val="20"/>
          <w:szCs w:val="20"/>
          <w:color w:val="auto"/>
        </w:rPr>
      </w:pPr>
      <w:r>
        <w:rPr>
          <w:rFonts w:ascii="MS PGothic" w:cs="MS PGothic" w:eastAsia="MS PGothic" w:hAnsi="MS PGothic"/>
          <w:sz w:val="14"/>
          <w:szCs w:val="14"/>
          <w:color w:val="3FAE2A"/>
        </w:rPr>
        <w: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3FAE2A"/>
        </w:rPr>
        <w:t>No Special Welfare or Health Benefits.</w:t>
      </w:r>
      <w:r>
        <w:rPr>
          <w:rFonts w:ascii="Arial" w:cs="Arial" w:eastAsia="Arial" w:hAnsi="Arial"/>
          <w:sz w:val="14"/>
          <w:szCs w:val="14"/>
          <w:color w:val="auto"/>
        </w:rPr>
        <w:t xml:space="preserve"> Our executive officers participate in broad-based Company-sponsored health and welfare benefits programs</w:t>
      </w:r>
    </w:p>
    <w:p>
      <w:pPr>
        <w:jc w:val="center"/>
        <w:ind w:right="240"/>
        <w:spacing w:after="0"/>
        <w:rPr>
          <w:sz w:val="20"/>
          <w:szCs w:val="20"/>
          <w:color w:val="auto"/>
        </w:rPr>
      </w:pPr>
      <w:r>
        <w:rPr>
          <w:rFonts w:ascii="Arial" w:cs="Arial" w:eastAsia="Arial" w:hAnsi="Arial"/>
          <w:sz w:val="14"/>
          <w:szCs w:val="14"/>
          <w:color w:val="auto"/>
        </w:rPr>
        <w:t>generally on the same basis as our other full-time, salaried employees.</w:t>
      </w:r>
    </w:p>
    <w:p>
      <w:pPr>
        <w:spacing w:after="0" w:line="77"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3FAE2A"/>
        </w:rPr>
        <w: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3FAE2A"/>
        </w:rPr>
        <w:t>No Post-Employment Tax Payment Reimbursement.</w:t>
      </w:r>
      <w:r>
        <w:rPr>
          <w:rFonts w:ascii="Arial" w:cs="Arial" w:eastAsia="Arial" w:hAnsi="Arial"/>
          <w:sz w:val="14"/>
          <w:szCs w:val="14"/>
          <w:color w:val="auto"/>
        </w:rPr>
        <w:t xml:space="preserve"> We do not provide any</w:t>
      </w:r>
    </w:p>
    <w:p>
      <w:pPr>
        <w:spacing w:after="0" w:line="33" w:lineRule="exact"/>
        <w:rPr>
          <w:sz w:val="20"/>
          <w:szCs w:val="20"/>
          <w:color w:val="auto"/>
        </w:rPr>
      </w:pPr>
    </w:p>
    <w:p>
      <w:pPr>
        <w:ind w:left="320" w:right="380"/>
        <w:spacing w:after="0" w:line="244" w:lineRule="auto"/>
        <w:rPr>
          <w:sz w:val="20"/>
          <w:szCs w:val="20"/>
          <w:color w:val="auto"/>
        </w:rPr>
      </w:pPr>
      <w:r>
        <w:rPr>
          <w:rFonts w:ascii="Arial" w:cs="Arial" w:eastAsia="Arial" w:hAnsi="Arial"/>
          <w:sz w:val="14"/>
          <w:szCs w:val="14"/>
          <w:color w:val="auto"/>
        </w:rPr>
        <w:t>tax reimbursement payments (including “gross-ups”) on any severance or change-in-control payments or benefits.</w:t>
      </w:r>
    </w:p>
    <w:p>
      <w:pPr>
        <w:spacing w:after="0" w:line="59"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3FAE2A"/>
        </w:rPr>
        <w: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3FAE2A"/>
        </w:rPr>
        <w:t>No Hedging and Limit on Pledging of Our Equity Securities.</w:t>
      </w:r>
      <w:r>
        <w:rPr>
          <w:rFonts w:ascii="Arial" w:cs="Arial" w:eastAsia="Arial" w:hAnsi="Arial"/>
          <w:sz w:val="14"/>
          <w:szCs w:val="14"/>
          <w:color w:val="auto"/>
        </w:rPr>
        <w:t xml:space="preserve"> We prohibit our</w:t>
      </w:r>
    </w:p>
    <w:p>
      <w:pPr>
        <w:spacing w:after="0" w:line="2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employees, executive officers and the non-employee members of our Board</w:t>
      </w:r>
    </w:p>
    <w:p>
      <w:pPr>
        <w:ind w:left="320" w:right="100"/>
        <w:spacing w:after="0" w:line="211" w:lineRule="auto"/>
        <w:rPr>
          <w:sz w:val="20"/>
          <w:szCs w:val="20"/>
          <w:color w:val="auto"/>
        </w:rPr>
      </w:pPr>
      <w:r>
        <w:rPr>
          <w:rFonts w:ascii="Arial" w:cs="Arial" w:eastAsia="Arial" w:hAnsi="Arial"/>
          <w:sz w:val="14"/>
          <w:szCs w:val="14"/>
          <w:color w:val="auto"/>
        </w:rPr>
        <w:t>from hedging our equity securities. Our board members and executive officers may pledge up to 75% of owned and vested shares with the approval of our</w:t>
      </w:r>
    </w:p>
    <w:p>
      <w:pPr>
        <w:ind w:left="320"/>
        <w:spacing w:after="0"/>
        <w:rPr>
          <w:sz w:val="20"/>
          <w:szCs w:val="20"/>
          <w:color w:val="auto"/>
        </w:rPr>
      </w:pPr>
      <w:r>
        <w:rPr>
          <w:rFonts w:ascii="Arial" w:cs="Arial" w:eastAsia="Arial" w:hAnsi="Arial"/>
          <w:sz w:val="14"/>
          <w:szCs w:val="14"/>
          <w:color w:val="auto"/>
        </w:rPr>
        <w:t>Board.</w:t>
      </w:r>
    </w:p>
    <w:p>
      <w:pPr>
        <w:spacing w:after="0" w:line="77" w:lineRule="exact"/>
        <w:rPr>
          <w:sz w:val="20"/>
          <w:szCs w:val="20"/>
          <w:color w:val="auto"/>
        </w:rPr>
      </w:pPr>
    </w:p>
    <w:p>
      <w:pPr>
        <w:ind w:left="320" w:right="200" w:hanging="323"/>
        <w:spacing w:after="0" w:line="172" w:lineRule="exact"/>
        <w:rPr>
          <w:sz w:val="20"/>
          <w:szCs w:val="20"/>
          <w:color w:val="auto"/>
        </w:rPr>
      </w:pPr>
      <w:r>
        <w:rPr>
          <w:rFonts w:ascii="MS PGothic" w:cs="MS PGothic" w:eastAsia="MS PGothic" w:hAnsi="MS PGothic"/>
          <w:sz w:val="14"/>
          <w:szCs w:val="14"/>
          <w:color w:val="3FAE2A"/>
        </w:rPr>
        <w: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3FAE2A"/>
        </w:rPr>
        <w:t>No Dividends or Dividend Equivalents Payable on Unvested Equity</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3FAE2A"/>
        </w:rPr>
        <w:t xml:space="preserve">Awards. </w:t>
      </w:r>
      <w:r>
        <w:rPr>
          <w:rFonts w:ascii="Arial" w:cs="Arial" w:eastAsia="Arial" w:hAnsi="Arial"/>
          <w:sz w:val="14"/>
          <w:szCs w:val="14"/>
          <w:color w:val="000000"/>
        </w:rPr>
        <w:t>We do not pay dividends or dividend equivalents on unvested RSU</w:t>
      </w:r>
    </w:p>
    <w:p>
      <w:pPr>
        <w:ind w:left="320"/>
        <w:spacing w:after="0"/>
        <w:rPr>
          <w:sz w:val="20"/>
          <w:szCs w:val="20"/>
          <w:color w:val="auto"/>
        </w:rPr>
      </w:pPr>
      <w:r>
        <w:rPr>
          <w:rFonts w:ascii="Arial" w:cs="Arial" w:eastAsia="Arial" w:hAnsi="Arial"/>
          <w:sz w:val="14"/>
          <w:szCs w:val="14"/>
          <w:color w:val="auto"/>
        </w:rPr>
        <w:t>awards or PRSU awards.</w:t>
      </w:r>
    </w:p>
    <w:p>
      <w:pPr>
        <w:spacing w:after="0" w:line="77"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3FAE2A"/>
        </w:rPr>
        <w:t>✘</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3FAE2A"/>
        </w:rPr>
        <w:t>No Stock Option Re-pricing.</w:t>
      </w:r>
      <w:r>
        <w:rPr>
          <w:rFonts w:ascii="Arial" w:cs="Arial" w:eastAsia="Arial" w:hAnsi="Arial"/>
          <w:sz w:val="14"/>
          <w:szCs w:val="14"/>
          <w:color w:val="auto"/>
        </w:rPr>
        <w:t xml:space="preserve"> Our employee stock plan does not permit options</w:t>
      </w:r>
    </w:p>
    <w:p>
      <w:pPr>
        <w:spacing w:after="0" w:line="33" w:lineRule="exact"/>
        <w:rPr>
          <w:sz w:val="20"/>
          <w:szCs w:val="20"/>
          <w:color w:val="auto"/>
        </w:rPr>
      </w:pPr>
    </w:p>
    <w:p>
      <w:pPr>
        <w:ind w:left="320" w:right="140"/>
        <w:spacing w:after="0" w:line="231" w:lineRule="auto"/>
        <w:rPr>
          <w:sz w:val="20"/>
          <w:szCs w:val="20"/>
          <w:color w:val="auto"/>
        </w:rPr>
      </w:pPr>
      <w:r>
        <w:rPr>
          <w:rFonts w:ascii="Arial" w:cs="Arial" w:eastAsia="Arial" w:hAnsi="Arial"/>
          <w:sz w:val="14"/>
          <w:szCs w:val="14"/>
          <w:color w:val="auto"/>
        </w:rPr>
        <w:t>to purchase shares of our common stock to be repriced to a lower exercise or strike price without the approval of our stockholders.</w:t>
      </w:r>
    </w:p>
    <w:p>
      <w:pPr>
        <w:spacing w:after="0" w:line="3628" w:lineRule="exact"/>
        <w:rPr>
          <w:sz w:val="20"/>
          <w:szCs w:val="20"/>
          <w:color w:val="auto"/>
        </w:rPr>
      </w:pPr>
    </w:p>
    <w:p>
      <w:pPr>
        <w:sectPr>
          <w:pgSz w:w="11900" w:h="16838" w:orient="portrait"/>
          <w:cols w:equalWidth="0" w:num="2">
            <w:col w:w="5440" w:space="420"/>
            <w:col w:w="5380"/>
          </w:cols>
          <w:pgMar w:left="320" w:top="21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1020"/>
        <w:spacing w:after="0"/>
        <w:rPr>
          <w:sz w:val="20"/>
          <w:szCs w:val="20"/>
          <w:color w:val="auto"/>
        </w:rPr>
      </w:pPr>
      <w:r>
        <w:rPr>
          <w:rFonts w:ascii="Arial" w:cs="Arial" w:eastAsia="Arial" w:hAnsi="Arial"/>
          <w:sz w:val="17"/>
          <w:szCs w:val="17"/>
          <w:b w:val="1"/>
          <w:bCs w:val="1"/>
          <w:color w:val="0071CE"/>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Executive Compensation Philosophy</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philosophy reflects our two fundamental objectives:</w:t>
      </w:r>
    </w:p>
    <w:p>
      <w:pPr>
        <w:spacing w:after="0" w:line="140" w:lineRule="exact"/>
        <w:rPr>
          <w:sz w:val="20"/>
          <w:szCs w:val="20"/>
          <w:color w:val="auto"/>
        </w:rPr>
      </w:pPr>
    </w:p>
    <w:p>
      <w:pPr>
        <w:ind w:left="400" w:hanging="311"/>
        <w:spacing w:after="0"/>
        <w:tabs>
          <w:tab w:leader="none" w:pos="400" w:val="left"/>
        </w:tabs>
        <w:numPr>
          <w:ilvl w:val="0"/>
          <w:numId w:val="46"/>
        </w:numPr>
        <w:rPr>
          <w:rFonts w:ascii="Arial" w:cs="Arial" w:eastAsia="Arial" w:hAnsi="Arial"/>
          <w:sz w:val="16"/>
          <w:szCs w:val="16"/>
          <w:color w:val="0071CE"/>
        </w:rPr>
      </w:pPr>
      <w:r>
        <w:rPr>
          <w:rFonts w:ascii="Arial" w:cs="Arial" w:eastAsia="Arial" w:hAnsi="Arial"/>
          <w:sz w:val="16"/>
          <w:szCs w:val="16"/>
          <w:color w:val="auto"/>
        </w:rPr>
        <w:t>to attract, motivate and retain a highly skilled team of executives; and</w:t>
      </w:r>
    </w:p>
    <w:p>
      <w:pPr>
        <w:spacing w:after="0" w:line="113" w:lineRule="exact"/>
        <w:rPr>
          <w:rFonts w:ascii="Arial" w:cs="Arial" w:eastAsia="Arial" w:hAnsi="Arial"/>
          <w:sz w:val="16"/>
          <w:szCs w:val="16"/>
          <w:color w:val="0071CE"/>
        </w:rPr>
      </w:pPr>
    </w:p>
    <w:p>
      <w:pPr>
        <w:ind w:left="420" w:right="20" w:hanging="331"/>
        <w:spacing w:after="0" w:line="286" w:lineRule="auto"/>
        <w:tabs>
          <w:tab w:leader="none" w:pos="409" w:val="left"/>
        </w:tabs>
        <w:numPr>
          <w:ilvl w:val="0"/>
          <w:numId w:val="46"/>
        </w:numPr>
        <w:rPr>
          <w:rFonts w:ascii="Arial" w:cs="Arial" w:eastAsia="Arial" w:hAnsi="Arial"/>
          <w:sz w:val="16"/>
          <w:szCs w:val="16"/>
          <w:color w:val="0071CE"/>
        </w:rPr>
      </w:pPr>
      <w:r>
        <w:rPr>
          <w:rFonts w:ascii="Arial" w:cs="Arial" w:eastAsia="Arial" w:hAnsi="Arial"/>
          <w:sz w:val="16"/>
          <w:szCs w:val="16"/>
          <w:color w:val="auto"/>
        </w:rPr>
        <w:t>to align our executive officers’ interests with those of our stockholders by rewarding short-term and long-term performance and aligning compensation to increases in stockholder value.</w:t>
      </w:r>
    </w:p>
    <w:p>
      <w:pPr>
        <w:spacing w:after="0" w:line="16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believe that the compensation of our executive officers should be directly linked to the achievement of specific objectives that are expected to increase stockholder value. In furtherance of this goal, the Compensation Committee has established the following guidelines as a foundation for compensation decisions:</w:t>
      </w:r>
    </w:p>
    <w:p>
      <w:pPr>
        <w:spacing w:after="0" w:line="83" w:lineRule="exact"/>
        <w:rPr>
          <w:sz w:val="20"/>
          <w:szCs w:val="20"/>
          <w:color w:val="auto"/>
        </w:rPr>
      </w:pPr>
    </w:p>
    <w:p>
      <w:pPr>
        <w:ind w:left="420" w:hanging="331"/>
        <w:spacing w:after="0" w:line="286" w:lineRule="auto"/>
        <w:tabs>
          <w:tab w:leader="none" w:pos="409" w:val="left"/>
        </w:tabs>
        <w:numPr>
          <w:ilvl w:val="0"/>
          <w:numId w:val="47"/>
        </w:numPr>
        <w:rPr>
          <w:rFonts w:ascii="Arial" w:cs="Arial" w:eastAsia="Arial" w:hAnsi="Arial"/>
          <w:sz w:val="16"/>
          <w:szCs w:val="16"/>
          <w:color w:val="0071CE"/>
        </w:rPr>
      </w:pPr>
      <w:r>
        <w:rPr>
          <w:rFonts w:ascii="Arial" w:cs="Arial" w:eastAsia="Arial" w:hAnsi="Arial"/>
          <w:sz w:val="16"/>
          <w:szCs w:val="16"/>
          <w:color w:val="auto"/>
        </w:rPr>
        <w:t>provide a competitive total compensation package that enables us to attract, retain and motivate highly-qualified executives with the skills and experience required for the achievement of business goals;</w:t>
      </w:r>
    </w:p>
    <w:p>
      <w:pPr>
        <w:spacing w:after="0" w:line="47" w:lineRule="exact"/>
        <w:rPr>
          <w:rFonts w:ascii="Arial" w:cs="Arial" w:eastAsia="Arial" w:hAnsi="Arial"/>
          <w:sz w:val="16"/>
          <w:szCs w:val="16"/>
          <w:color w:val="0071CE"/>
        </w:rPr>
      </w:pPr>
    </w:p>
    <w:p>
      <w:pPr>
        <w:ind w:left="420" w:hanging="331"/>
        <w:spacing w:after="0" w:line="304" w:lineRule="auto"/>
        <w:tabs>
          <w:tab w:leader="none" w:pos="409" w:val="left"/>
        </w:tabs>
        <w:numPr>
          <w:ilvl w:val="0"/>
          <w:numId w:val="47"/>
        </w:numPr>
        <w:rPr>
          <w:rFonts w:ascii="Arial" w:cs="Arial" w:eastAsia="Arial" w:hAnsi="Arial"/>
          <w:sz w:val="16"/>
          <w:szCs w:val="16"/>
          <w:color w:val="0071CE"/>
        </w:rPr>
      </w:pPr>
      <w:r>
        <w:rPr>
          <w:rFonts w:ascii="Arial" w:cs="Arial" w:eastAsia="Arial" w:hAnsi="Arial"/>
          <w:sz w:val="16"/>
          <w:szCs w:val="16"/>
          <w:color w:val="auto"/>
        </w:rPr>
        <w:t>promote the achievement of key strategic and financial performance measures by linking short-term and long-term compensation to the achievement of measurable goals;</w:t>
      </w:r>
    </w:p>
    <w:p>
      <w:pPr>
        <w:spacing w:after="0" w:line="33" w:lineRule="exact"/>
        <w:rPr>
          <w:rFonts w:ascii="Arial" w:cs="Arial" w:eastAsia="Arial" w:hAnsi="Arial"/>
          <w:sz w:val="16"/>
          <w:szCs w:val="16"/>
          <w:color w:val="0071CE"/>
        </w:rPr>
      </w:pPr>
    </w:p>
    <w:p>
      <w:pPr>
        <w:ind w:left="400" w:hanging="311"/>
        <w:spacing w:after="0"/>
        <w:tabs>
          <w:tab w:leader="none" w:pos="400" w:val="left"/>
        </w:tabs>
        <w:numPr>
          <w:ilvl w:val="0"/>
          <w:numId w:val="47"/>
        </w:numPr>
        <w:rPr>
          <w:rFonts w:ascii="Arial" w:cs="Arial" w:eastAsia="Arial" w:hAnsi="Arial"/>
          <w:sz w:val="16"/>
          <w:szCs w:val="16"/>
          <w:color w:val="0071CE"/>
        </w:rPr>
      </w:pPr>
      <w:r>
        <w:rPr>
          <w:rFonts w:ascii="Arial" w:cs="Arial" w:eastAsia="Arial" w:hAnsi="Arial"/>
          <w:sz w:val="16"/>
          <w:szCs w:val="16"/>
          <w:color w:val="auto"/>
        </w:rPr>
        <w:t>reward significant achievements outside of pre-established goals;</w:t>
      </w:r>
    </w:p>
    <w:p>
      <w:pPr>
        <w:spacing w:after="0" w:line="126" w:lineRule="exact"/>
        <w:rPr>
          <w:rFonts w:ascii="Arial" w:cs="Arial" w:eastAsia="Arial" w:hAnsi="Arial"/>
          <w:sz w:val="16"/>
          <w:szCs w:val="16"/>
          <w:color w:val="0071CE"/>
        </w:rPr>
      </w:pPr>
    </w:p>
    <w:p>
      <w:pPr>
        <w:ind w:left="420" w:hanging="331"/>
        <w:spacing w:after="0" w:line="286" w:lineRule="auto"/>
        <w:tabs>
          <w:tab w:leader="none" w:pos="409" w:val="left"/>
        </w:tabs>
        <w:numPr>
          <w:ilvl w:val="0"/>
          <w:numId w:val="47"/>
        </w:numPr>
        <w:rPr>
          <w:rFonts w:ascii="Arial" w:cs="Arial" w:eastAsia="Arial" w:hAnsi="Arial"/>
          <w:sz w:val="16"/>
          <w:szCs w:val="16"/>
          <w:color w:val="0071CE"/>
        </w:rPr>
      </w:pPr>
      <w:r>
        <w:rPr>
          <w:rFonts w:ascii="Arial" w:cs="Arial" w:eastAsia="Arial" w:hAnsi="Arial"/>
          <w:sz w:val="16"/>
          <w:szCs w:val="16"/>
          <w:color w:val="auto"/>
        </w:rPr>
        <w:t>recognize that pharmaceutical research, development and commercialization require sustained and focused effort over many years, and involve a high degree of risk and therefore balance incentives for short-term and long-term compensation;</w:t>
      </w:r>
    </w:p>
    <w:p>
      <w:pPr>
        <w:spacing w:after="0" w:line="47" w:lineRule="exact"/>
        <w:rPr>
          <w:rFonts w:ascii="Arial" w:cs="Arial" w:eastAsia="Arial" w:hAnsi="Arial"/>
          <w:sz w:val="16"/>
          <w:szCs w:val="16"/>
          <w:color w:val="0071CE"/>
        </w:rPr>
      </w:pPr>
    </w:p>
    <w:p>
      <w:pPr>
        <w:ind w:left="420" w:hanging="331"/>
        <w:spacing w:after="0" w:line="304" w:lineRule="auto"/>
        <w:tabs>
          <w:tab w:leader="none" w:pos="409" w:val="left"/>
        </w:tabs>
        <w:numPr>
          <w:ilvl w:val="0"/>
          <w:numId w:val="47"/>
        </w:numPr>
        <w:rPr>
          <w:rFonts w:ascii="Arial" w:cs="Arial" w:eastAsia="Arial" w:hAnsi="Arial"/>
          <w:sz w:val="16"/>
          <w:szCs w:val="16"/>
          <w:color w:val="0071CE"/>
        </w:rPr>
      </w:pPr>
      <w:r>
        <w:rPr>
          <w:rFonts w:ascii="Arial" w:cs="Arial" w:eastAsia="Arial" w:hAnsi="Arial"/>
          <w:sz w:val="16"/>
          <w:szCs w:val="16"/>
          <w:color w:val="auto"/>
        </w:rPr>
        <w:t>employ external compensation expertise and market data from industry peers to help assure that our compensation policies and practices are consistent with industry practice and meet our goals for our compensation program;</w:t>
      </w:r>
    </w:p>
    <w:p>
      <w:pPr>
        <w:spacing w:after="0" w:line="33" w:lineRule="exact"/>
        <w:rPr>
          <w:rFonts w:ascii="Arial" w:cs="Arial" w:eastAsia="Arial" w:hAnsi="Arial"/>
          <w:sz w:val="16"/>
          <w:szCs w:val="16"/>
          <w:color w:val="0071CE"/>
        </w:rPr>
      </w:pPr>
    </w:p>
    <w:p>
      <w:pPr>
        <w:ind w:left="400" w:hanging="311"/>
        <w:spacing w:after="0"/>
        <w:tabs>
          <w:tab w:leader="none" w:pos="400" w:val="left"/>
        </w:tabs>
        <w:numPr>
          <w:ilvl w:val="0"/>
          <w:numId w:val="47"/>
        </w:numPr>
        <w:rPr>
          <w:rFonts w:ascii="Arial" w:cs="Arial" w:eastAsia="Arial" w:hAnsi="Arial"/>
          <w:sz w:val="16"/>
          <w:szCs w:val="16"/>
          <w:color w:val="0071CE"/>
        </w:rPr>
      </w:pPr>
      <w:r>
        <w:rPr>
          <w:rFonts w:ascii="Arial" w:cs="Arial" w:eastAsia="Arial" w:hAnsi="Arial"/>
          <w:sz w:val="16"/>
          <w:szCs w:val="16"/>
          <w:color w:val="auto"/>
        </w:rPr>
        <w:t>consider our cash resources and cost of capital to balance cash and equity compensation; and</w:t>
      </w:r>
    </w:p>
    <w:p>
      <w:pPr>
        <w:spacing w:after="0" w:line="126" w:lineRule="exact"/>
        <w:rPr>
          <w:rFonts w:ascii="Arial" w:cs="Arial" w:eastAsia="Arial" w:hAnsi="Arial"/>
          <w:sz w:val="16"/>
          <w:szCs w:val="16"/>
          <w:color w:val="0071CE"/>
        </w:rPr>
      </w:pPr>
    </w:p>
    <w:p>
      <w:pPr>
        <w:ind w:left="400" w:hanging="311"/>
        <w:spacing w:after="0"/>
        <w:tabs>
          <w:tab w:leader="none" w:pos="400" w:val="left"/>
        </w:tabs>
        <w:numPr>
          <w:ilvl w:val="0"/>
          <w:numId w:val="47"/>
        </w:numPr>
        <w:rPr>
          <w:rFonts w:ascii="Arial" w:cs="Arial" w:eastAsia="Arial" w:hAnsi="Arial"/>
          <w:sz w:val="16"/>
          <w:szCs w:val="16"/>
          <w:color w:val="0071CE"/>
        </w:rPr>
      </w:pPr>
      <w:r>
        <w:rPr>
          <w:rFonts w:ascii="Arial" w:cs="Arial" w:eastAsia="Arial" w:hAnsi="Arial"/>
          <w:sz w:val="16"/>
          <w:szCs w:val="16"/>
          <w:color w:val="auto"/>
        </w:rPr>
        <w:t>align our executives’ incentives with the creation of stockholder value.</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Executive Compensation Program Design</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Our practice is to combine a mixture of compensation elements that balance achievement of our short-term goals with our longer-term performance.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Currently, our executive compensation program consists of three principal elements:</w:t>
      </w:r>
    </w:p>
    <w:p>
      <w:pPr>
        <w:spacing w:after="0" w:line="124" w:lineRule="exact"/>
        <w:rPr>
          <w:sz w:val="20"/>
          <w:szCs w:val="20"/>
          <w:color w:val="auto"/>
        </w:rPr>
      </w:pPr>
    </w:p>
    <w:p>
      <w:pPr>
        <w:ind w:left="400" w:hanging="311"/>
        <w:spacing w:after="0"/>
        <w:tabs>
          <w:tab w:leader="none" w:pos="400" w:val="left"/>
        </w:tabs>
        <w:numPr>
          <w:ilvl w:val="0"/>
          <w:numId w:val="48"/>
        </w:numPr>
        <w:rPr>
          <w:rFonts w:ascii="Arial" w:cs="Arial" w:eastAsia="Arial" w:hAnsi="Arial"/>
          <w:sz w:val="16"/>
          <w:szCs w:val="16"/>
          <w:color w:val="0071CE"/>
        </w:rPr>
      </w:pPr>
      <w:r>
        <w:rPr>
          <w:rFonts w:ascii="Arial" w:cs="Arial" w:eastAsia="Arial" w:hAnsi="Arial"/>
          <w:sz w:val="16"/>
          <w:szCs w:val="16"/>
          <w:color w:val="auto"/>
        </w:rPr>
        <w:t>base salary;</w:t>
      </w:r>
    </w:p>
    <w:p>
      <w:pPr>
        <w:spacing w:after="0" w:line="126" w:lineRule="exact"/>
        <w:rPr>
          <w:rFonts w:ascii="Arial" w:cs="Arial" w:eastAsia="Arial" w:hAnsi="Arial"/>
          <w:sz w:val="16"/>
          <w:szCs w:val="16"/>
          <w:color w:val="0071CE"/>
        </w:rPr>
      </w:pPr>
    </w:p>
    <w:p>
      <w:pPr>
        <w:ind w:left="400" w:hanging="311"/>
        <w:spacing w:after="0"/>
        <w:tabs>
          <w:tab w:leader="none" w:pos="400" w:val="left"/>
        </w:tabs>
        <w:numPr>
          <w:ilvl w:val="0"/>
          <w:numId w:val="48"/>
        </w:numPr>
        <w:rPr>
          <w:rFonts w:ascii="Arial" w:cs="Arial" w:eastAsia="Arial" w:hAnsi="Arial"/>
          <w:sz w:val="16"/>
          <w:szCs w:val="16"/>
          <w:color w:val="0071CE"/>
        </w:rPr>
      </w:pPr>
      <w:r>
        <w:rPr>
          <w:rFonts w:ascii="Arial" w:cs="Arial" w:eastAsia="Arial" w:hAnsi="Arial"/>
          <w:sz w:val="16"/>
          <w:szCs w:val="16"/>
          <w:color w:val="auto"/>
        </w:rPr>
        <w:t>an annual cash incentive compensation opportunity; and</w:t>
      </w:r>
    </w:p>
    <w:p>
      <w:pPr>
        <w:spacing w:after="0" w:line="113" w:lineRule="exact"/>
        <w:rPr>
          <w:rFonts w:ascii="Arial" w:cs="Arial" w:eastAsia="Arial" w:hAnsi="Arial"/>
          <w:sz w:val="16"/>
          <w:szCs w:val="16"/>
          <w:color w:val="0071CE"/>
        </w:rPr>
      </w:pPr>
    </w:p>
    <w:p>
      <w:pPr>
        <w:ind w:left="400" w:hanging="311"/>
        <w:spacing w:after="0"/>
        <w:tabs>
          <w:tab w:leader="none" w:pos="400" w:val="left"/>
        </w:tabs>
        <w:numPr>
          <w:ilvl w:val="0"/>
          <w:numId w:val="48"/>
        </w:numPr>
        <w:rPr>
          <w:rFonts w:ascii="Arial" w:cs="Arial" w:eastAsia="Arial" w:hAnsi="Arial"/>
          <w:sz w:val="16"/>
          <w:szCs w:val="16"/>
          <w:color w:val="0071CE"/>
        </w:rPr>
      </w:pPr>
      <w:r>
        <w:rPr>
          <w:rFonts w:ascii="Arial" w:cs="Arial" w:eastAsia="Arial" w:hAnsi="Arial"/>
          <w:sz w:val="16"/>
          <w:szCs w:val="16"/>
          <w:color w:val="auto"/>
        </w:rPr>
        <w:t>long-term incentive compensation in the form of equity awards.</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believe that cash compensation in the form of base salary and an annual incentive compensation opportunity provides our executive officers with short-term rewards for success in operations, and that long-term incentive compensation in the form of RSU and PRSU awards that may be settled for shares of our common stock, and options to purchase shares of our common stock, align the objectives of our executive officers with those of our stockholders with respect to long-term performance and success.</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Compensation Committee takes into consideration, among other things, our financial and working capital condition when approving performance objectives and making compensation decisions for our executive officers. Since we seek to invest our cash prudently and do not have marketed products, overall target total direct compensation opportunities are weighted more heavily toward long-term incentive compensation in the form of equity awards. Thus, a significant portion of each executive officer’s target total direct compensation opportunity is “at risk,” and dependent on the increase in the value of our common stock. The Compensation Committee periodically reassesses the appropriate weighting of cash and equity compensation.</w:t>
      </w:r>
    </w:p>
    <w:p>
      <w:pPr>
        <w:spacing w:after="0" w:line="17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case of long-term incentive compensation, typically the Compensation Committee designs these awards to vest, or be earned, over a multi-year period, meaning that long-term value creation, contrasted with short-term gain, presents the best opportunity for our executive officers to benefit from their awards.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We do not maintain a specific policy on the percentage allocation between short-term and long-term incentive compensation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518160</wp:posOffset>
            </wp:positionV>
            <wp:extent cx="986155" cy="2057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E"/>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Governance of Executive Compensation Program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Compensation Committee</w:t>
      </w:r>
    </w:p>
    <w:p>
      <w:pPr>
        <w:spacing w:after="0" w:line="12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Compensation Committee discharges many of the responsibilities of our Board relating to the compensation of our executive officers, including our NEOs, and the non-employee members of our Board. The Compensation Committee has overall responsibility for overseeing our compensation and benefits philosophy and policies generally, overseeing and evaluating the compensation plans, policies and practices applicable to our CEO and our other executive officers, and ensuring that the target total direct compensation opportunities of our executive officers, including our NEOs, are consistent with our compensation philosophy, policies and objectives.</w:t>
      </w:r>
    </w:p>
    <w:p>
      <w:pPr>
        <w:spacing w:after="0" w:line="178"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The members of the Compensation Committee are appointed by our Board, and each member is an independent director (as “independence” is currently defined in Rule 5605(a)(2) of Nasdaq listing standards). Currently, the members of the Compensation Committee are Michael Perry (Committee Chair), Hongbo Lu, and William Waddill .</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Compensation Committee reviews our executive compensation program annually on a calendar year basis, generally in December. The Compensation Committee draws on a number of resources to assist in the evaluation of the various elements of our executive compensation program including, but not limited to, feedback from our stockholders, input from our CEO, the advice of an external compensation consultant (as identified below) retained by the Compensation Committee, information provided in the public filings of industry peers and industry data compiled yearly by Radford in its Global Life Sciences Survey, which represents a nationally-based assessment of executive compensation widely used within the pharmaceutical and biotechnology industry sectors.</w:t>
      </w:r>
    </w:p>
    <w:p>
      <w:pPr>
        <w:spacing w:after="0" w:line="19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Compensation Committee relies upon the judgment of its members in making compensation decisions. In addition, the Compensation Committee incorporates its members' judgment in the assessment process to respond to and adjust for the evolving business environment. The members of the Compensation Committee have extensive experience in executive management, as well as compensation practices and policies.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Compensation-Setting Process</w:t>
      </w:r>
    </w:p>
    <w:p>
      <w:pPr>
        <w:spacing w:after="0" w:line="12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Compensation Committee develops recommendations for the target total direct compensation opportunities for our executive officers, including our NEOs. The Compensation Committee does not use a single method or measure in making its compensation decisions, nor does it ordinarily position compensation levels based upon a specific or target level relative to a compensation peer group or other companies. Nonetheless, the pay practices at other companies are an important factor that the Compensation Committee considers in assessing the reasonableness of compensation and ensuring that our compensation practices are competitive in the marketplace.</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Generally, the Compensation Committee evaluates the compensation of our executive officers relative to the median of the competitive market. However, as discussed hereafter, various other factors are taken into consideration in determining our executive officers’ compensation and the Compensation Committee does not target compensation at any specific level relative to the competitive market. When reviewing our current executive compensation arrangements and approving each compensation element and the target total direct compensation opportunity for our executive officers, the Compensation Committee considers the following factors:</w:t>
      </w:r>
    </w:p>
    <w:p>
      <w:pPr>
        <w:spacing w:after="0" w:line="91" w:lineRule="exact"/>
        <w:rPr>
          <w:sz w:val="20"/>
          <w:szCs w:val="20"/>
          <w:color w:val="auto"/>
        </w:rPr>
      </w:pPr>
    </w:p>
    <w:p>
      <w:pPr>
        <w:ind w:left="400" w:hanging="311"/>
        <w:spacing w:after="0"/>
        <w:tabs>
          <w:tab w:leader="none" w:pos="400" w:val="left"/>
        </w:tabs>
        <w:numPr>
          <w:ilvl w:val="0"/>
          <w:numId w:val="49"/>
        </w:numPr>
        <w:rPr>
          <w:rFonts w:ascii="Arial" w:cs="Arial" w:eastAsia="Arial" w:hAnsi="Arial"/>
          <w:sz w:val="16"/>
          <w:szCs w:val="16"/>
          <w:color w:val="0071CE"/>
        </w:rPr>
      </w:pPr>
      <w:r>
        <w:rPr>
          <w:rFonts w:ascii="Arial" w:cs="Arial" w:eastAsia="Arial" w:hAnsi="Arial"/>
          <w:sz w:val="16"/>
          <w:szCs w:val="16"/>
          <w:color w:val="auto"/>
        </w:rPr>
        <w:t>Our performance against the financial and operational objectives established by the Compensation Committee and our Board;</w:t>
      </w:r>
    </w:p>
    <w:p>
      <w:pPr>
        <w:spacing w:after="0" w:line="113" w:lineRule="exact"/>
        <w:rPr>
          <w:rFonts w:ascii="Arial" w:cs="Arial" w:eastAsia="Arial" w:hAnsi="Arial"/>
          <w:sz w:val="16"/>
          <w:szCs w:val="16"/>
          <w:color w:val="0071CE"/>
        </w:rPr>
      </w:pPr>
    </w:p>
    <w:p>
      <w:pPr>
        <w:ind w:left="420" w:right="20" w:hanging="331"/>
        <w:spacing w:after="0" w:line="304" w:lineRule="auto"/>
        <w:tabs>
          <w:tab w:leader="none" w:pos="409" w:val="left"/>
        </w:tabs>
        <w:numPr>
          <w:ilvl w:val="0"/>
          <w:numId w:val="49"/>
        </w:numPr>
        <w:rPr>
          <w:rFonts w:ascii="Arial" w:cs="Arial" w:eastAsia="Arial" w:hAnsi="Arial"/>
          <w:sz w:val="16"/>
          <w:szCs w:val="16"/>
          <w:color w:val="0071CE"/>
        </w:rPr>
      </w:pPr>
      <w:r>
        <w:rPr>
          <w:rFonts w:ascii="Arial" w:cs="Arial" w:eastAsia="Arial" w:hAnsi="Arial"/>
          <w:sz w:val="16"/>
          <w:szCs w:val="16"/>
          <w:color w:val="auto"/>
        </w:rPr>
        <w:t>Each individual executive officer’s skills, experience and qualifications relative to other similarly-situated executives at the companies in our compensation peer group and in selected broad-based compensation surveys;</w:t>
      </w:r>
    </w:p>
    <w:p>
      <w:pPr>
        <w:spacing w:after="0" w:line="33" w:lineRule="exact"/>
        <w:rPr>
          <w:rFonts w:ascii="Arial" w:cs="Arial" w:eastAsia="Arial" w:hAnsi="Arial"/>
          <w:sz w:val="16"/>
          <w:szCs w:val="16"/>
          <w:color w:val="0071CE"/>
        </w:rPr>
      </w:pPr>
    </w:p>
    <w:p>
      <w:pPr>
        <w:ind w:left="420" w:hanging="331"/>
        <w:spacing w:after="0" w:line="304" w:lineRule="auto"/>
        <w:tabs>
          <w:tab w:leader="none" w:pos="409" w:val="left"/>
        </w:tabs>
        <w:numPr>
          <w:ilvl w:val="0"/>
          <w:numId w:val="49"/>
        </w:numPr>
        <w:rPr>
          <w:rFonts w:ascii="Arial" w:cs="Arial" w:eastAsia="Arial" w:hAnsi="Arial"/>
          <w:sz w:val="16"/>
          <w:szCs w:val="16"/>
          <w:color w:val="0071CE"/>
        </w:rPr>
      </w:pPr>
      <w:r>
        <w:rPr>
          <w:rFonts w:ascii="Arial" w:cs="Arial" w:eastAsia="Arial" w:hAnsi="Arial"/>
          <w:sz w:val="16"/>
          <w:szCs w:val="16"/>
          <w:color w:val="auto"/>
        </w:rPr>
        <w:t>The scope of each executive officer’s role compared to other similarly-situated executives at the companies in our compensation peer group and in selected broad-based compensation surveys;</w:t>
      </w:r>
    </w:p>
    <w:p>
      <w:pPr>
        <w:spacing w:after="0" w:line="33" w:lineRule="exact"/>
        <w:rPr>
          <w:rFonts w:ascii="Arial" w:cs="Arial" w:eastAsia="Arial" w:hAnsi="Arial"/>
          <w:sz w:val="16"/>
          <w:szCs w:val="16"/>
          <w:color w:val="0071CE"/>
        </w:rPr>
      </w:pPr>
    </w:p>
    <w:p>
      <w:pPr>
        <w:ind w:left="420" w:right="20" w:hanging="331"/>
        <w:spacing w:after="0" w:line="286" w:lineRule="auto"/>
        <w:tabs>
          <w:tab w:leader="none" w:pos="409" w:val="left"/>
        </w:tabs>
        <w:numPr>
          <w:ilvl w:val="0"/>
          <w:numId w:val="49"/>
        </w:numPr>
        <w:rPr>
          <w:rFonts w:ascii="Arial" w:cs="Arial" w:eastAsia="Arial" w:hAnsi="Arial"/>
          <w:sz w:val="16"/>
          <w:szCs w:val="16"/>
          <w:color w:val="0071CE"/>
        </w:rPr>
      </w:pPr>
      <w:r>
        <w:rPr>
          <w:rFonts w:ascii="Arial" w:cs="Arial" w:eastAsia="Arial" w:hAnsi="Arial"/>
          <w:sz w:val="16"/>
          <w:szCs w:val="16"/>
          <w:color w:val="auto"/>
        </w:rPr>
        <w:t>The performance of each individual executive officer, based on a subjective assessment of his or her contributions to our overall performance, ability to lead his or her business unit or function and work as part of a team, all of which reflect our core values;</w:t>
      </w:r>
    </w:p>
    <w:p>
      <w:pPr>
        <w:spacing w:after="0" w:line="61" w:lineRule="exact"/>
        <w:rPr>
          <w:rFonts w:ascii="Arial" w:cs="Arial" w:eastAsia="Arial" w:hAnsi="Arial"/>
          <w:sz w:val="16"/>
          <w:szCs w:val="16"/>
          <w:color w:val="0071CE"/>
        </w:rPr>
      </w:pPr>
    </w:p>
    <w:p>
      <w:pPr>
        <w:ind w:left="420" w:hanging="331"/>
        <w:spacing w:after="0" w:line="286" w:lineRule="auto"/>
        <w:tabs>
          <w:tab w:leader="none" w:pos="409" w:val="left"/>
        </w:tabs>
        <w:numPr>
          <w:ilvl w:val="0"/>
          <w:numId w:val="49"/>
        </w:numPr>
        <w:rPr>
          <w:rFonts w:ascii="Arial" w:cs="Arial" w:eastAsia="Arial" w:hAnsi="Arial"/>
          <w:sz w:val="16"/>
          <w:szCs w:val="16"/>
          <w:color w:val="0071CE"/>
        </w:rPr>
      </w:pPr>
      <w:r>
        <w:rPr>
          <w:rFonts w:ascii="Arial" w:cs="Arial" w:eastAsia="Arial" w:hAnsi="Arial"/>
          <w:sz w:val="16"/>
          <w:szCs w:val="16"/>
          <w:color w:val="auto"/>
        </w:rPr>
        <w:t>The compensation practices of our compensation peer group and the companies in selected broad-based compensation surveys and the positioning of each executive officer’s compensation in a ranking of peer company compensation levels;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544830</wp:posOffset>
            </wp:positionV>
            <wp:extent cx="986155" cy="2057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00" w:hanging="311"/>
        <w:spacing w:after="0"/>
        <w:tabs>
          <w:tab w:leader="none" w:pos="400" w:val="left"/>
        </w:tabs>
        <w:numPr>
          <w:ilvl w:val="0"/>
          <w:numId w:val="50"/>
        </w:numPr>
        <w:rPr>
          <w:rFonts w:ascii="Arial" w:cs="Arial" w:eastAsia="Arial" w:hAnsi="Arial"/>
          <w:sz w:val="16"/>
          <w:szCs w:val="16"/>
          <w:color w:val="0071CE"/>
        </w:rPr>
      </w:pPr>
      <w:r>
        <w:rPr>
          <w:rFonts w:ascii="Arial" w:cs="Arial" w:eastAsia="Arial" w:hAnsi="Arial"/>
          <w:sz w:val="16"/>
          <w:szCs w:val="16"/>
          <w:color w:val="auto"/>
        </w:rPr>
        <w:t>The recommendations provided by our CEO with respect to the compensation of our other executive officers.</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These factors provide the framework for compensation decision-making and final decisions regarding the compensation opportunity for each executive officer. No single factor is determinative in setting pay levels, nor was the impact of any factor on the determination of pay levels quantifiable.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Chief Executive Officer</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discharging its responsibilities, the Compensation Committee works with members of our management, including our CEO. Our management assists the Compensation Committee by providing information on corporate and individual performance, market compensation data and management’s perspective on compensation matters. The Compensation Committee solicits and reviews our CEO’s recommendations with respect to the compensation levels for individual executive officers other than himself based on his performance evaluation of each executive officer.</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Compensation Committee reviews and discusses these recommendations and proposals with our CEO and considers them as one factor in determining the compensation for our executive officers, including our other NEOs. Our CEO recuses himself from all discussions and recommendations regarding his own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Compensation Consultant</w:t>
      </w:r>
    </w:p>
    <w:p>
      <w:pPr>
        <w:spacing w:after="0" w:line="228"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Compensation Committee engages an external compensation consultant to assist it by providing information, analysis and other advice relating to our executive compensation program and the decisions resulting from its annual executive compensation review. The Compensation Committee has the final authority to engage and terminate the engagement of any compensation consultant that it retains.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Since October 2018, the Compensation Committee has engaged Compensia as its external compensation consultant. Compensia assisted the Compensation Committee in its review of executive officer and non-employee director compensation practices for fiscal 2024, including the competitiveness of compensation levels, executive compensation design, comparisons with our industry peers, and other technical considerations. Such assistance included:</w:t>
      </w:r>
    </w:p>
    <w:p>
      <w:pPr>
        <w:spacing w:after="0" w:line="83" w:lineRule="exact"/>
        <w:rPr>
          <w:sz w:val="20"/>
          <w:szCs w:val="20"/>
          <w:color w:val="auto"/>
        </w:rPr>
      </w:pPr>
    </w:p>
    <w:p>
      <w:pPr>
        <w:ind w:left="400" w:hanging="311"/>
        <w:spacing w:after="0"/>
        <w:tabs>
          <w:tab w:leader="none" w:pos="400" w:val="left"/>
        </w:tabs>
        <w:numPr>
          <w:ilvl w:val="0"/>
          <w:numId w:val="51"/>
        </w:numPr>
        <w:rPr>
          <w:rFonts w:ascii="Arial" w:cs="Arial" w:eastAsia="Arial" w:hAnsi="Arial"/>
          <w:sz w:val="16"/>
          <w:szCs w:val="16"/>
          <w:color w:val="0071CE"/>
        </w:rPr>
      </w:pPr>
      <w:r>
        <w:rPr>
          <w:rFonts w:ascii="Arial" w:cs="Arial" w:eastAsia="Arial" w:hAnsi="Arial"/>
          <w:sz w:val="16"/>
          <w:szCs w:val="16"/>
          <w:color w:val="auto"/>
        </w:rPr>
        <w:t>Reviewing and updating our compensation peer group;</w:t>
      </w:r>
    </w:p>
    <w:p>
      <w:pPr>
        <w:spacing w:after="0" w:line="113" w:lineRule="exact"/>
        <w:rPr>
          <w:rFonts w:ascii="Arial" w:cs="Arial" w:eastAsia="Arial" w:hAnsi="Arial"/>
          <w:sz w:val="16"/>
          <w:szCs w:val="16"/>
          <w:color w:val="0071CE"/>
        </w:rPr>
      </w:pPr>
    </w:p>
    <w:p>
      <w:pPr>
        <w:ind w:left="400" w:hanging="311"/>
        <w:spacing w:after="0"/>
        <w:tabs>
          <w:tab w:leader="none" w:pos="400" w:val="left"/>
        </w:tabs>
        <w:numPr>
          <w:ilvl w:val="0"/>
          <w:numId w:val="51"/>
        </w:numPr>
        <w:rPr>
          <w:rFonts w:ascii="Arial" w:cs="Arial" w:eastAsia="Arial" w:hAnsi="Arial"/>
          <w:sz w:val="16"/>
          <w:szCs w:val="16"/>
          <w:color w:val="0071CE"/>
        </w:rPr>
      </w:pPr>
      <w:r>
        <w:rPr>
          <w:rFonts w:ascii="Arial" w:cs="Arial" w:eastAsia="Arial" w:hAnsi="Arial"/>
          <w:sz w:val="16"/>
          <w:szCs w:val="16"/>
          <w:color w:val="auto"/>
        </w:rPr>
        <w:t>Reviewing and analyzing the compensation arrangements for our executive officers, including our NEOs;</w:t>
      </w:r>
    </w:p>
    <w:p>
      <w:pPr>
        <w:spacing w:after="0" w:line="113" w:lineRule="exact"/>
        <w:rPr>
          <w:rFonts w:ascii="Arial" w:cs="Arial" w:eastAsia="Arial" w:hAnsi="Arial"/>
          <w:sz w:val="16"/>
          <w:szCs w:val="16"/>
          <w:color w:val="0071CE"/>
        </w:rPr>
      </w:pPr>
    </w:p>
    <w:p>
      <w:pPr>
        <w:ind w:left="400" w:hanging="311"/>
        <w:spacing w:after="0"/>
        <w:tabs>
          <w:tab w:leader="none" w:pos="400" w:val="left"/>
        </w:tabs>
        <w:numPr>
          <w:ilvl w:val="0"/>
          <w:numId w:val="51"/>
        </w:numPr>
        <w:rPr>
          <w:rFonts w:ascii="Arial" w:cs="Arial" w:eastAsia="Arial" w:hAnsi="Arial"/>
          <w:sz w:val="16"/>
          <w:szCs w:val="16"/>
          <w:color w:val="0071CE"/>
        </w:rPr>
      </w:pPr>
      <w:r>
        <w:rPr>
          <w:rFonts w:ascii="Arial" w:cs="Arial" w:eastAsia="Arial" w:hAnsi="Arial"/>
          <w:sz w:val="16"/>
          <w:szCs w:val="16"/>
          <w:color w:val="auto"/>
        </w:rPr>
        <w:t>Reviewing and analyzing the compensation arrangements for the non-employee members of our Board;</w:t>
      </w:r>
    </w:p>
    <w:p>
      <w:pPr>
        <w:spacing w:after="0" w:line="126" w:lineRule="exact"/>
        <w:rPr>
          <w:rFonts w:ascii="Arial" w:cs="Arial" w:eastAsia="Arial" w:hAnsi="Arial"/>
          <w:sz w:val="16"/>
          <w:szCs w:val="16"/>
          <w:color w:val="0071CE"/>
        </w:rPr>
      </w:pPr>
    </w:p>
    <w:p>
      <w:pPr>
        <w:ind w:left="420" w:hanging="331"/>
        <w:spacing w:after="0" w:line="263" w:lineRule="auto"/>
        <w:tabs>
          <w:tab w:leader="none" w:pos="409" w:val="left"/>
        </w:tabs>
        <w:numPr>
          <w:ilvl w:val="0"/>
          <w:numId w:val="51"/>
        </w:numPr>
        <w:rPr>
          <w:rFonts w:ascii="Arial" w:cs="Arial" w:eastAsia="Arial" w:hAnsi="Arial"/>
          <w:sz w:val="16"/>
          <w:szCs w:val="16"/>
          <w:color w:val="0071CE"/>
        </w:rPr>
      </w:pPr>
      <w:r>
        <w:rPr>
          <w:rFonts w:ascii="Arial" w:cs="Arial" w:eastAsia="Arial" w:hAnsi="Arial"/>
          <w:sz w:val="16"/>
          <w:szCs w:val="16"/>
          <w:color w:val="auto"/>
        </w:rPr>
        <w:t>Reviewing and updating of the Compensation Discussion and Analysis section of our proxy statement for our 2025 Annual Meeting of Stockholders; and</w:t>
      </w:r>
    </w:p>
    <w:p>
      <w:pPr>
        <w:spacing w:after="0" w:line="297" w:lineRule="exact"/>
        <w:rPr>
          <w:rFonts w:ascii="Arial" w:cs="Arial" w:eastAsia="Arial" w:hAnsi="Arial"/>
          <w:sz w:val="16"/>
          <w:szCs w:val="16"/>
          <w:color w:val="0071CE"/>
        </w:rPr>
      </w:pPr>
    </w:p>
    <w:p>
      <w:pPr>
        <w:ind w:left="400" w:hanging="311"/>
        <w:spacing w:after="0"/>
        <w:tabs>
          <w:tab w:leader="none" w:pos="400" w:val="left"/>
        </w:tabs>
        <w:numPr>
          <w:ilvl w:val="0"/>
          <w:numId w:val="51"/>
        </w:numPr>
        <w:rPr>
          <w:rFonts w:ascii="Arial" w:cs="Arial" w:eastAsia="Arial" w:hAnsi="Arial"/>
          <w:sz w:val="16"/>
          <w:szCs w:val="16"/>
          <w:color w:val="0071CE"/>
        </w:rPr>
      </w:pPr>
      <w:r>
        <w:rPr>
          <w:rFonts w:ascii="Arial" w:cs="Arial" w:eastAsia="Arial" w:hAnsi="Arial"/>
          <w:sz w:val="16"/>
          <w:szCs w:val="16"/>
          <w:color w:val="auto"/>
        </w:rPr>
        <w:t>Supporting on other ad hoc matters.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terms of Compensia’s engagement include reporting directly to the Compensation Committee and to the Compensation Committee Chair.</w:t>
      </w:r>
    </w:p>
    <w:p>
      <w:pPr>
        <w:spacing w:after="0" w:line="235"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In fiscal 2024, Compensia did not provide any services to us other than those described above. The Compensation Committee has evaluated Compensia’s independence pursuant to the listing standards of Nasdaq and the relevant SEC rules and has determined that no conflict of interest has arisen as a result of the work performed by Compensia.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Positioning</w:t>
      </w:r>
    </w:p>
    <w:p>
      <w:pPr>
        <w:spacing w:after="0" w:line="12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For each of the past ten years, the Compensation Committee has directed its external compensation consultant to conduct a comparative study and report on compensation levels and practices relative to industry peers, including a competitive assessment of our executive compensation program as compared to the market data for base salaries, target total cash compensation, long-term incentive compensation and target total direct compensation. Typically, the findings of this study are presented to the Compensation Committee by the compensation consultant in conjunction with the Compensation Committee’s annual review of our executive compensation program.</w:t>
      </w:r>
    </w:p>
    <w:p>
      <w:pPr>
        <w:spacing w:after="0" w:line="17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Because the biotechnology sector is dynamic, the comparator group used by the Compensation Committee to assess the competitive positioning of the compensation of our executive officers is updated annually to ensure that peer companies continue to meet the established criteria. For purposes of its review of our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481965</wp:posOffset>
            </wp:positionV>
            <wp:extent cx="986155" cy="2057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E"/>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program in fiscal 2024, the Compensation Committee directed Compensia to update the compensation peer group reflecting the competitive market for executive talent based on the following criteria:</w:t>
      </w:r>
    </w:p>
    <w:p>
      <w:pPr>
        <w:spacing w:after="0" w:line="75" w:lineRule="exact"/>
        <w:rPr>
          <w:sz w:val="20"/>
          <w:szCs w:val="20"/>
          <w:color w:val="auto"/>
        </w:rPr>
      </w:pPr>
    </w:p>
    <w:p>
      <w:pPr>
        <w:ind w:left="400" w:hanging="311"/>
        <w:spacing w:after="0"/>
        <w:tabs>
          <w:tab w:leader="none" w:pos="400" w:val="left"/>
        </w:tabs>
        <w:numPr>
          <w:ilvl w:val="0"/>
          <w:numId w:val="52"/>
        </w:numPr>
        <w:rPr>
          <w:rFonts w:ascii="Arial" w:cs="Arial" w:eastAsia="Arial" w:hAnsi="Arial"/>
          <w:sz w:val="16"/>
          <w:szCs w:val="16"/>
          <w:color w:val="0071CE"/>
        </w:rPr>
      </w:pPr>
      <w:r>
        <w:rPr>
          <w:rFonts w:ascii="Arial" w:cs="Arial" w:eastAsia="Arial" w:hAnsi="Arial"/>
          <w:sz w:val="16"/>
          <w:szCs w:val="16"/>
          <w:color w:val="auto"/>
        </w:rPr>
        <w:t>Publicly-held, U.S. biotechnology companies;</w:t>
      </w:r>
    </w:p>
    <w:p>
      <w:pPr>
        <w:spacing w:after="0" w:line="113" w:lineRule="exact"/>
        <w:rPr>
          <w:rFonts w:ascii="Arial" w:cs="Arial" w:eastAsia="Arial" w:hAnsi="Arial"/>
          <w:sz w:val="16"/>
          <w:szCs w:val="16"/>
          <w:color w:val="0071CE"/>
        </w:rPr>
      </w:pPr>
    </w:p>
    <w:p>
      <w:pPr>
        <w:ind w:left="400" w:hanging="311"/>
        <w:spacing w:after="0"/>
        <w:tabs>
          <w:tab w:leader="none" w:pos="400" w:val="left"/>
        </w:tabs>
        <w:numPr>
          <w:ilvl w:val="0"/>
          <w:numId w:val="52"/>
        </w:numPr>
        <w:rPr>
          <w:rFonts w:ascii="Arial" w:cs="Arial" w:eastAsia="Arial" w:hAnsi="Arial"/>
          <w:sz w:val="16"/>
          <w:szCs w:val="16"/>
          <w:color w:val="0071CE"/>
        </w:rPr>
      </w:pPr>
      <w:r>
        <w:rPr>
          <w:rFonts w:ascii="Arial" w:cs="Arial" w:eastAsia="Arial" w:hAnsi="Arial"/>
          <w:sz w:val="16"/>
          <w:szCs w:val="16"/>
          <w:color w:val="auto"/>
        </w:rPr>
        <w:t>Companies with lead assets that are in mid to late clinical stage or early commercialization stage;</w:t>
      </w:r>
    </w:p>
    <w:p>
      <w:pPr>
        <w:spacing w:after="0" w:line="126" w:lineRule="exact"/>
        <w:rPr>
          <w:rFonts w:ascii="Arial" w:cs="Arial" w:eastAsia="Arial" w:hAnsi="Arial"/>
          <w:sz w:val="16"/>
          <w:szCs w:val="16"/>
          <w:color w:val="0071CE"/>
        </w:rPr>
      </w:pPr>
    </w:p>
    <w:p>
      <w:pPr>
        <w:ind w:left="400" w:hanging="311"/>
        <w:spacing w:after="0"/>
        <w:tabs>
          <w:tab w:leader="none" w:pos="400" w:val="left"/>
        </w:tabs>
        <w:numPr>
          <w:ilvl w:val="0"/>
          <w:numId w:val="52"/>
        </w:numPr>
        <w:rPr>
          <w:rFonts w:ascii="Arial" w:cs="Arial" w:eastAsia="Arial" w:hAnsi="Arial"/>
          <w:sz w:val="16"/>
          <w:szCs w:val="16"/>
          <w:color w:val="0071CE"/>
        </w:rPr>
      </w:pPr>
      <w:r>
        <w:rPr>
          <w:rFonts w:ascii="Arial" w:cs="Arial" w:eastAsia="Arial" w:hAnsi="Arial"/>
          <w:sz w:val="16"/>
          <w:szCs w:val="16"/>
          <w:color w:val="auto"/>
        </w:rPr>
        <w:t>Companies with market capitalizations between 0.25x to 4.0x our market capitalization at the time of the peer selection; and</w:t>
      </w:r>
    </w:p>
    <w:p>
      <w:pPr>
        <w:spacing w:after="0" w:line="113" w:lineRule="exact"/>
        <w:rPr>
          <w:rFonts w:ascii="Arial" w:cs="Arial" w:eastAsia="Arial" w:hAnsi="Arial"/>
          <w:sz w:val="16"/>
          <w:szCs w:val="16"/>
          <w:color w:val="0071CE"/>
        </w:rPr>
      </w:pPr>
    </w:p>
    <w:p>
      <w:pPr>
        <w:ind w:left="400" w:hanging="311"/>
        <w:spacing w:after="0"/>
        <w:tabs>
          <w:tab w:leader="none" w:pos="400" w:val="left"/>
        </w:tabs>
        <w:numPr>
          <w:ilvl w:val="0"/>
          <w:numId w:val="52"/>
        </w:numPr>
        <w:rPr>
          <w:rFonts w:ascii="Arial" w:cs="Arial" w:eastAsia="Arial" w:hAnsi="Arial"/>
          <w:sz w:val="16"/>
          <w:szCs w:val="16"/>
          <w:color w:val="0071CE"/>
        </w:rPr>
      </w:pPr>
      <w:r>
        <w:rPr>
          <w:rFonts w:ascii="Arial" w:cs="Arial" w:eastAsia="Arial" w:hAnsi="Arial"/>
          <w:sz w:val="16"/>
          <w:szCs w:val="16"/>
          <w:color w:val="auto"/>
        </w:rPr>
        <w:t>Companies with between 92 to 1,311 employees.</w:t>
      </w:r>
    </w:p>
    <w:p>
      <w:pPr>
        <w:spacing w:after="0" w:line="23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compensation peer group was selected in such a manner that our market capitalization was very near the median for all peer companies. Consideration was also given to the frequency or infrequency with which a company was identified as a peer with other peer companies.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For fiscal 2024, the compensation peer group was generated in the first quarter of fiscal 2024 and consisted of the following companies:</w:t>
      </w:r>
    </w:p>
    <w:p>
      <w:pPr>
        <w:sectPr>
          <w:pgSz w:w="11900" w:h="16838" w:orient="portrait"/>
          <w:cols w:equalWidth="0" w:num="1">
            <w:col w:w="11240"/>
          </w:cols>
          <w:pgMar w:left="320" w:top="212" w:right="339" w:bottom="1440" w:gutter="0" w:footer="0" w:header="0"/>
        </w:sectPr>
      </w:pPr>
    </w:p>
    <w:p>
      <w:pPr>
        <w:spacing w:after="0" w:line="302"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ACADIA Pharmaceuticals, Inc.</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auto"/>
        </w:rPr>
        <w:t>Insmed</w:t>
      </w:r>
    </w:p>
    <w:p>
      <w:pPr>
        <w:spacing w:after="0" w:line="43" w:lineRule="exact"/>
        <w:rPr>
          <w:sz w:val="20"/>
          <w:szCs w:val="20"/>
          <w:color w:val="auto"/>
        </w:rPr>
      </w:pPr>
    </w:p>
    <w:p>
      <w:pPr>
        <w:sectPr>
          <w:pgSz w:w="11900" w:h="16838" w:orient="portrait"/>
          <w:cols w:equalWidth="0" w:num="2">
            <w:col w:w="4360" w:space="720"/>
            <w:col w:w="6160"/>
          </w:cols>
          <w:pgMar w:left="320" w:top="212" w:right="339" w:bottom="1440" w:gutter="0" w:footer="0" w:header="0"/>
          <w:type w:val="continuous"/>
        </w:sectPr>
      </w:pPr>
    </w:p>
    <w:p>
      <w:pPr>
        <w:jc w:val="center"/>
        <w:ind w:left="580"/>
        <w:spacing w:after="0"/>
        <w:rPr>
          <w:sz w:val="20"/>
          <w:szCs w:val="20"/>
          <w:color w:val="auto"/>
        </w:rPr>
      </w:pPr>
      <w:r>
        <w:rPr>
          <w:rFonts w:ascii="Arial" w:cs="Arial" w:eastAsia="Arial" w:hAnsi="Arial"/>
          <w:sz w:val="16"/>
          <w:szCs w:val="16"/>
          <w:color w:val="auto"/>
        </w:rPr>
        <w:t>Amicus Therapeutics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Intellia Therapeutics</w:t>
      </w:r>
    </w:p>
    <w:p>
      <w:pPr>
        <w:spacing w:after="0" w:line="32" w:lineRule="exact"/>
        <w:rPr>
          <w:sz w:val="20"/>
          <w:szCs w:val="20"/>
          <w:color w:val="auto"/>
        </w:rPr>
      </w:pPr>
    </w:p>
    <w:p>
      <w:pPr>
        <w:sectPr>
          <w:pgSz w:w="11900" w:h="16838" w:orient="portrait"/>
          <w:cols w:equalWidth="0" w:num="2">
            <w:col w:w="4360" w:space="720"/>
            <w:col w:w="6160"/>
          </w:cols>
          <w:pgMar w:left="320" w:top="212" w:right="339" w:bottom="1440" w:gutter="0" w:footer="0" w:header="0"/>
          <w:type w:val="continuous"/>
        </w:sectPr>
      </w:pPr>
    </w:p>
    <w:p>
      <w:pPr>
        <w:jc w:val="center"/>
        <w:ind w:left="800"/>
        <w:spacing w:after="0"/>
        <w:rPr>
          <w:sz w:val="20"/>
          <w:szCs w:val="20"/>
          <w:color w:val="auto"/>
        </w:rPr>
      </w:pPr>
      <w:r>
        <w:rPr>
          <w:rFonts w:ascii="Arial" w:cs="Arial" w:eastAsia="Arial" w:hAnsi="Arial"/>
          <w:sz w:val="16"/>
          <w:szCs w:val="16"/>
          <w:color w:val="auto"/>
        </w:rPr>
        <w:t>Apellis Pharmaceuticals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Ionis Pharmaceuticals</w:t>
      </w:r>
    </w:p>
    <w:p>
      <w:pPr>
        <w:spacing w:after="0" w:line="32" w:lineRule="exact"/>
        <w:rPr>
          <w:sz w:val="20"/>
          <w:szCs w:val="20"/>
          <w:color w:val="auto"/>
        </w:rPr>
      </w:pPr>
    </w:p>
    <w:p>
      <w:pPr>
        <w:sectPr>
          <w:pgSz w:w="11900" w:h="16838" w:orient="portrait"/>
          <w:cols w:equalWidth="0" w:num="2">
            <w:col w:w="4360" w:space="720"/>
            <w:col w:w="6160"/>
          </w:cols>
          <w:pgMar w:left="320" w:top="212" w:right="3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Arcus Biosciences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Ironwood Pharmaceuticals</w:t>
      </w:r>
    </w:p>
    <w:p>
      <w:pPr>
        <w:spacing w:after="0" w:line="32" w:lineRule="exact"/>
        <w:rPr>
          <w:sz w:val="20"/>
          <w:szCs w:val="20"/>
          <w:color w:val="auto"/>
        </w:rPr>
      </w:pPr>
    </w:p>
    <w:p>
      <w:pPr>
        <w:sectPr>
          <w:pgSz w:w="11900" w:h="16838" w:orient="portrait"/>
          <w:cols w:equalWidth="0" w:num="2">
            <w:col w:w="4360" w:space="720"/>
            <w:col w:w="6160"/>
          </w:cols>
          <w:pgMar w:left="320" w:top="212" w:right="3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BioCryst Pharmaceuticals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Mirati Therapeutcis</w:t>
      </w:r>
    </w:p>
    <w:p>
      <w:pPr>
        <w:spacing w:after="0" w:line="43" w:lineRule="exact"/>
        <w:rPr>
          <w:sz w:val="20"/>
          <w:szCs w:val="20"/>
          <w:color w:val="auto"/>
        </w:rPr>
      </w:pPr>
    </w:p>
    <w:p>
      <w:pPr>
        <w:sectPr>
          <w:pgSz w:w="11900" w:h="16838" w:orient="portrait"/>
          <w:cols w:equalWidth="0" w:num="2">
            <w:col w:w="4360" w:space="720"/>
            <w:col w:w="6160"/>
          </w:cols>
          <w:pgMar w:left="320" w:top="212" w:right="3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Blueprint Medicines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Madrigal Pharmaceuticals</w:t>
      </w:r>
    </w:p>
    <w:p>
      <w:pPr>
        <w:spacing w:after="0" w:line="32" w:lineRule="exact"/>
        <w:rPr>
          <w:sz w:val="20"/>
          <w:szCs w:val="20"/>
          <w:color w:val="auto"/>
        </w:rPr>
      </w:pPr>
    </w:p>
    <w:p>
      <w:pPr>
        <w:sectPr>
          <w:pgSz w:w="11900" w:h="16838" w:orient="portrait"/>
          <w:cols w:equalWidth="0" w:num="2">
            <w:col w:w="4360" w:space="720"/>
            <w:col w:w="6160"/>
          </w:cols>
          <w:pgMar w:left="320" w:top="212" w:right="3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BridgeBio Pharma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REGENXBIO</w:t>
      </w:r>
    </w:p>
    <w:p>
      <w:pPr>
        <w:spacing w:after="0" w:line="32" w:lineRule="exact"/>
        <w:rPr>
          <w:sz w:val="20"/>
          <w:szCs w:val="20"/>
          <w:color w:val="auto"/>
        </w:rPr>
      </w:pPr>
    </w:p>
    <w:p>
      <w:pPr>
        <w:sectPr>
          <w:pgSz w:w="11900" w:h="16838" w:orient="portrait"/>
          <w:cols w:equalWidth="0" w:num="2">
            <w:col w:w="4360" w:space="720"/>
            <w:col w:w="6160"/>
          </w:cols>
          <w:pgMar w:left="320" w:top="212" w:right="3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CRISPR Therapeutics 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Sarepta Therapeutics</w:t>
      </w:r>
    </w:p>
    <w:p>
      <w:pPr>
        <w:spacing w:after="0" w:line="32" w:lineRule="exact"/>
        <w:rPr>
          <w:sz w:val="20"/>
          <w:szCs w:val="20"/>
          <w:color w:val="auto"/>
        </w:rPr>
      </w:pPr>
    </w:p>
    <w:p>
      <w:pPr>
        <w:sectPr>
          <w:pgSz w:w="11900" w:h="16838" w:orient="portrait"/>
          <w:cols w:equalWidth="0" w:num="2">
            <w:col w:w="4360" w:space="720"/>
            <w:col w:w="6160"/>
          </w:cols>
          <w:pgMar w:left="320" w:top="212" w:right="3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Deciphera Pharmaceuticals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Ultragenyx Pharmaceuticals</w:t>
      </w:r>
    </w:p>
    <w:p>
      <w:pPr>
        <w:spacing w:after="0" w:line="32" w:lineRule="exact"/>
        <w:rPr>
          <w:sz w:val="20"/>
          <w:szCs w:val="20"/>
          <w:color w:val="auto"/>
        </w:rPr>
      </w:pPr>
    </w:p>
    <w:p>
      <w:pPr>
        <w:sectPr>
          <w:pgSz w:w="11900" w:h="16838" w:orient="portrait"/>
          <w:cols w:equalWidth="0" w:num="2">
            <w:col w:w="4360" w:space="720"/>
            <w:col w:w="6160"/>
          </w:cols>
          <w:pgMar w:left="320" w:top="212" w:right="3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Denali Therapeutics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Vir Biotechnology</w:t>
      </w:r>
    </w:p>
    <w:p>
      <w:pPr>
        <w:spacing w:after="0" w:line="32" w:lineRule="exact"/>
        <w:rPr>
          <w:sz w:val="20"/>
          <w:szCs w:val="20"/>
          <w:color w:val="auto"/>
        </w:rPr>
      </w:pPr>
    </w:p>
    <w:p>
      <w:pPr>
        <w:sectPr>
          <w:pgSz w:w="11900" w:h="16838" w:orient="portrait"/>
          <w:cols w:equalWidth="0" w:num="2">
            <w:col w:w="4360" w:space="720"/>
            <w:col w:w="6160"/>
          </w:cols>
          <w:pgMar w:left="320" w:top="212" w:right="3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Halozyme Therapeutics</w:t>
      </w:r>
    </w:p>
    <w:p>
      <w:pPr>
        <w:sectPr>
          <w:pgSz w:w="11900" w:h="16838" w:orient="portrait"/>
          <w:cols w:equalWidth="0" w:num="1">
            <w:col w:w="11240"/>
          </w:cols>
          <w:pgMar w:left="320" w:top="212" w:right="339" w:bottom="1440" w:gutter="0" w:footer="0" w:header="0"/>
          <w:type w:val="continuous"/>
        </w:sectPr>
      </w:pPr>
    </w:p>
    <w:p>
      <w:pPr>
        <w:spacing w:after="0" w:line="343" w:lineRule="exact"/>
        <w:rPr>
          <w:sz w:val="20"/>
          <w:szCs w:val="20"/>
          <w:color w:val="auto"/>
        </w:rPr>
      </w:pPr>
    </w:p>
    <w:p>
      <w:pPr>
        <w:ind w:right="280"/>
        <w:spacing w:after="0" w:line="248" w:lineRule="auto"/>
        <w:rPr>
          <w:sz w:val="20"/>
          <w:szCs w:val="20"/>
          <w:color w:val="auto"/>
        </w:rPr>
      </w:pPr>
      <w:r>
        <w:rPr>
          <w:rFonts w:ascii="Arial" w:cs="Arial" w:eastAsia="Arial" w:hAnsi="Arial"/>
          <w:sz w:val="16"/>
          <w:szCs w:val="16"/>
          <w:color w:val="auto"/>
        </w:rPr>
        <w:t>BioCryst Pharmaceuticals, Deciphera Pharmaceuticals, Ironwood Pharmaceuticals, and Madrigal Pharmaceuticals were added to the compensation peer group and Chemo Centryx, FibroGen, Novavax, amd Reata Pharmaceuticals were removed from the compensation peer group due to changes in our business complexity, employee base and market capitalization, as well as mergers, changes to business complexity, employee base and market capitalization among our prior peer group.</w:t>
      </w:r>
    </w:p>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compensation study prepared by Compensia and presented in October 2023 provided an assessment of our compensation practices as compared to industry peers. Compensation levels for our executive officers, in the aggregate, were determined to be within the range of compensation provided to similarly placed executives and consistent with our compensation philosophy.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Individual Compensation Elements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In 2024, the principal elements of our executive compensation program were as follows:</w:t>
      </w:r>
    </w:p>
    <w:p>
      <w:pPr>
        <w:spacing w:after="0" w:line="140" w:lineRule="exact"/>
        <w:rPr>
          <w:sz w:val="20"/>
          <w:szCs w:val="20"/>
          <w:color w:val="auto"/>
        </w:rPr>
      </w:pPr>
    </w:p>
    <w:p>
      <w:pPr>
        <w:ind w:left="400" w:hanging="311"/>
        <w:spacing w:after="0"/>
        <w:tabs>
          <w:tab w:leader="none" w:pos="400" w:val="left"/>
        </w:tabs>
        <w:numPr>
          <w:ilvl w:val="0"/>
          <w:numId w:val="53"/>
        </w:numPr>
        <w:rPr>
          <w:rFonts w:ascii="Arial" w:cs="Arial" w:eastAsia="Arial" w:hAnsi="Arial"/>
          <w:sz w:val="16"/>
          <w:szCs w:val="16"/>
          <w:color w:val="0071CE"/>
        </w:rPr>
      </w:pPr>
      <w:r>
        <w:rPr>
          <w:rFonts w:ascii="Arial" w:cs="Arial" w:eastAsia="Arial" w:hAnsi="Arial"/>
          <w:sz w:val="16"/>
          <w:szCs w:val="16"/>
          <w:color w:val="auto"/>
        </w:rPr>
        <w:t>base salary;</w:t>
      </w:r>
    </w:p>
    <w:p>
      <w:pPr>
        <w:spacing w:after="0" w:line="113" w:lineRule="exact"/>
        <w:rPr>
          <w:rFonts w:ascii="Arial" w:cs="Arial" w:eastAsia="Arial" w:hAnsi="Arial"/>
          <w:sz w:val="16"/>
          <w:szCs w:val="16"/>
          <w:color w:val="0071CE"/>
        </w:rPr>
      </w:pPr>
    </w:p>
    <w:p>
      <w:pPr>
        <w:ind w:left="400" w:hanging="311"/>
        <w:spacing w:after="0"/>
        <w:tabs>
          <w:tab w:leader="none" w:pos="400" w:val="left"/>
        </w:tabs>
        <w:numPr>
          <w:ilvl w:val="0"/>
          <w:numId w:val="53"/>
        </w:numPr>
        <w:rPr>
          <w:rFonts w:ascii="Arial" w:cs="Arial" w:eastAsia="Arial" w:hAnsi="Arial"/>
          <w:sz w:val="16"/>
          <w:szCs w:val="16"/>
          <w:color w:val="0071CE"/>
        </w:rPr>
      </w:pPr>
      <w:r>
        <w:rPr>
          <w:rFonts w:ascii="Arial" w:cs="Arial" w:eastAsia="Arial" w:hAnsi="Arial"/>
          <w:sz w:val="16"/>
          <w:szCs w:val="16"/>
          <w:color w:val="auto"/>
        </w:rPr>
        <w:t>an annual cash incentive compensation opportunity;</w:t>
      </w:r>
    </w:p>
    <w:p>
      <w:pPr>
        <w:spacing w:after="0" w:line="126" w:lineRule="exact"/>
        <w:rPr>
          <w:rFonts w:ascii="Arial" w:cs="Arial" w:eastAsia="Arial" w:hAnsi="Arial"/>
          <w:sz w:val="16"/>
          <w:szCs w:val="16"/>
          <w:color w:val="0071CE"/>
        </w:rPr>
      </w:pPr>
    </w:p>
    <w:p>
      <w:pPr>
        <w:ind w:left="400" w:hanging="311"/>
        <w:spacing w:after="0"/>
        <w:tabs>
          <w:tab w:leader="none" w:pos="400" w:val="left"/>
        </w:tabs>
        <w:numPr>
          <w:ilvl w:val="0"/>
          <w:numId w:val="53"/>
        </w:numPr>
        <w:rPr>
          <w:rFonts w:ascii="Arial" w:cs="Arial" w:eastAsia="Arial" w:hAnsi="Arial"/>
          <w:sz w:val="16"/>
          <w:szCs w:val="16"/>
          <w:color w:val="0071CE"/>
        </w:rPr>
      </w:pPr>
      <w:r>
        <w:rPr>
          <w:rFonts w:ascii="Arial" w:cs="Arial" w:eastAsia="Arial" w:hAnsi="Arial"/>
          <w:sz w:val="16"/>
          <w:szCs w:val="16"/>
          <w:color w:val="auto"/>
        </w:rPr>
        <w:t>long-term incentive compensation in the form of equity awards;</w:t>
      </w:r>
    </w:p>
    <w:p>
      <w:pPr>
        <w:spacing w:after="0" w:line="113" w:lineRule="exact"/>
        <w:rPr>
          <w:rFonts w:ascii="Arial" w:cs="Arial" w:eastAsia="Arial" w:hAnsi="Arial"/>
          <w:sz w:val="16"/>
          <w:szCs w:val="16"/>
          <w:color w:val="0071CE"/>
        </w:rPr>
      </w:pPr>
    </w:p>
    <w:p>
      <w:pPr>
        <w:ind w:left="400" w:hanging="311"/>
        <w:spacing w:after="0"/>
        <w:tabs>
          <w:tab w:leader="none" w:pos="400" w:val="left"/>
        </w:tabs>
        <w:numPr>
          <w:ilvl w:val="0"/>
          <w:numId w:val="53"/>
        </w:numPr>
        <w:rPr>
          <w:rFonts w:ascii="Arial" w:cs="Arial" w:eastAsia="Arial" w:hAnsi="Arial"/>
          <w:sz w:val="16"/>
          <w:szCs w:val="16"/>
          <w:color w:val="0071CE"/>
        </w:rPr>
      </w:pPr>
      <w:r>
        <w:rPr>
          <w:rFonts w:ascii="Arial" w:cs="Arial" w:eastAsia="Arial" w:hAnsi="Arial"/>
          <w:sz w:val="16"/>
          <w:szCs w:val="16"/>
          <w:color w:val="auto"/>
        </w:rPr>
        <w:t>welfare and health benefits; and</w:t>
      </w:r>
    </w:p>
    <w:p>
      <w:pPr>
        <w:spacing w:after="0" w:line="113" w:lineRule="exact"/>
        <w:rPr>
          <w:rFonts w:ascii="Arial" w:cs="Arial" w:eastAsia="Arial" w:hAnsi="Arial"/>
          <w:sz w:val="16"/>
          <w:szCs w:val="16"/>
          <w:color w:val="0071CE"/>
        </w:rPr>
      </w:pPr>
    </w:p>
    <w:p>
      <w:pPr>
        <w:ind w:left="400" w:hanging="311"/>
        <w:spacing w:after="0"/>
        <w:tabs>
          <w:tab w:leader="none" w:pos="400" w:val="left"/>
        </w:tabs>
        <w:numPr>
          <w:ilvl w:val="0"/>
          <w:numId w:val="53"/>
        </w:numPr>
        <w:rPr>
          <w:rFonts w:ascii="Arial" w:cs="Arial" w:eastAsia="Arial" w:hAnsi="Arial"/>
          <w:sz w:val="16"/>
          <w:szCs w:val="16"/>
          <w:color w:val="0071CE"/>
        </w:rPr>
      </w:pPr>
      <w:r>
        <w:rPr>
          <w:rFonts w:ascii="Arial" w:cs="Arial" w:eastAsia="Arial" w:hAnsi="Arial"/>
          <w:sz w:val="16"/>
          <w:szCs w:val="16"/>
          <w:color w:val="auto"/>
        </w:rPr>
        <w:t>post-employment compensation arrangements.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22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Base salary represents the fixed portion of the compensation of our executive officers, including our NEOs, and is an important element of compensation intended to attract and retain highly-talented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476250</wp:posOffset>
            </wp:positionV>
            <wp:extent cx="986155" cy="2057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initial base salaries for our executive officers were negotiated on an individual basis at the time of hire. Thereafter, using the competitive market data provided by its external compensation consultant, the Compensation Committee reviews and determines adjustments to the base salaries for each of our executive officers, including our NEOs, as part of its annual executive compensation review. In addition, the base salaries of our executive officers may be adjusted by the Compensation Committee in the event of a promotion or significant change in responsibilities. Generally, the Compensation Committee sets base salaries with reference to the competitive range of the market median of our compensation peer group and applicable executive compensation survey data, as well as its assessment of the factors described in “Governance of Executive Compensation Program — Compensation-Setting Process” above.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base salaries of our NEOs for fiscal 2024 and fiscal 2023 were as follows: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shd w:val="clear" w:color="auto" w:fill="0071CE"/>
          </w:tcPr>
          <w:p>
            <w:pPr>
              <w:ind w:left="140"/>
              <w:spacing w:after="0"/>
              <w:rPr>
                <w:sz w:val="20"/>
                <w:szCs w:val="20"/>
                <w:color w:val="auto"/>
              </w:rPr>
            </w:pPr>
            <w:r>
              <w:rPr>
                <w:rFonts w:ascii="Arial" w:cs="Arial" w:eastAsia="Arial" w:hAnsi="Arial"/>
                <w:sz w:val="14"/>
                <w:szCs w:val="14"/>
                <w:b w:val="1"/>
                <w:bCs w:val="1"/>
                <w:color w:val="FFFFFF"/>
              </w:rPr>
              <w:t>Named Executive</w:t>
            </w:r>
          </w:p>
        </w:tc>
        <w:tc>
          <w:tcPr>
            <w:tcW w:w="2260" w:type="dxa"/>
            <w:vAlign w:val="bottom"/>
            <w:shd w:val="clear" w:color="auto" w:fill="0071CE"/>
          </w:tcPr>
          <w:p>
            <w:pPr>
              <w:jc w:val="center"/>
              <w:ind w:left="761"/>
              <w:spacing w:after="0"/>
              <w:rPr>
                <w:sz w:val="20"/>
                <w:szCs w:val="20"/>
                <w:color w:val="auto"/>
              </w:rPr>
            </w:pPr>
            <w:r>
              <w:rPr>
                <w:rFonts w:ascii="Arial" w:cs="Arial" w:eastAsia="Arial" w:hAnsi="Arial"/>
                <w:sz w:val="14"/>
                <w:szCs w:val="14"/>
                <w:b w:val="1"/>
                <w:bCs w:val="1"/>
                <w:color w:val="FFFFFF"/>
              </w:rPr>
              <w:t>Fiscal 2024</w:t>
            </w:r>
          </w:p>
        </w:tc>
        <w:tc>
          <w:tcPr>
            <w:tcW w:w="230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Fiscal 2023 Base Salary</w:t>
            </w:r>
          </w:p>
        </w:tc>
        <w:tc>
          <w:tcPr>
            <w:tcW w:w="1900" w:type="dxa"/>
            <w:vAlign w:val="bottom"/>
            <w:shd w:val="clear" w:color="auto" w:fill="0071CE"/>
          </w:tcPr>
          <w:p>
            <w:pPr>
              <w:ind w:left="380"/>
              <w:spacing w:after="0"/>
              <w:rPr>
                <w:sz w:val="20"/>
                <w:szCs w:val="20"/>
                <w:color w:val="auto"/>
              </w:rPr>
            </w:pPr>
            <w:r>
              <w:rPr>
                <w:rFonts w:ascii="Arial" w:cs="Arial" w:eastAsia="Arial" w:hAnsi="Arial"/>
                <w:sz w:val="14"/>
                <w:szCs w:val="14"/>
                <w:b w:val="1"/>
                <w:bCs w:val="1"/>
                <w:color w:val="FFFFFF"/>
              </w:rPr>
              <w:t>Percentage</w:t>
            </w:r>
          </w:p>
        </w:tc>
        <w:tc>
          <w:tcPr>
            <w:tcW w:w="0" w:type="dxa"/>
            <w:vAlign w:val="bottom"/>
          </w:tcPr>
          <w:p>
            <w:pPr>
              <w:spacing w:after="0"/>
              <w:rPr>
                <w:sz w:val="1"/>
                <w:szCs w:val="1"/>
                <w:color w:val="auto"/>
              </w:rPr>
            </w:pPr>
          </w:p>
        </w:tc>
      </w:tr>
      <w:tr>
        <w:trPr>
          <w:trHeight w:val="133"/>
        </w:trPr>
        <w:tc>
          <w:tcPr>
            <w:tcW w:w="4480" w:type="dxa"/>
            <w:vAlign w:val="bottom"/>
            <w:vMerge w:val="restart"/>
            <w:shd w:val="clear" w:color="auto" w:fill="0071CE"/>
          </w:tcPr>
          <w:p>
            <w:pPr>
              <w:ind w:left="140"/>
              <w:spacing w:after="0"/>
              <w:rPr>
                <w:sz w:val="20"/>
                <w:szCs w:val="20"/>
                <w:color w:val="auto"/>
              </w:rPr>
            </w:pPr>
            <w:r>
              <w:rPr>
                <w:rFonts w:ascii="Arial" w:cs="Arial" w:eastAsia="Arial" w:hAnsi="Arial"/>
                <w:sz w:val="14"/>
                <w:szCs w:val="14"/>
                <w:b w:val="1"/>
                <w:bCs w:val="1"/>
                <w:color w:val="FFFFFF"/>
              </w:rPr>
              <w:t>Officer</w:t>
            </w:r>
          </w:p>
        </w:tc>
        <w:tc>
          <w:tcPr>
            <w:tcW w:w="2260" w:type="dxa"/>
            <w:vAlign w:val="bottom"/>
            <w:vMerge w:val="restart"/>
            <w:shd w:val="clear" w:color="auto" w:fill="0071CE"/>
          </w:tcPr>
          <w:p>
            <w:pPr>
              <w:jc w:val="center"/>
              <w:ind w:left="761"/>
              <w:spacing w:after="0"/>
              <w:rPr>
                <w:sz w:val="20"/>
                <w:szCs w:val="20"/>
                <w:color w:val="auto"/>
              </w:rPr>
            </w:pPr>
            <w:r>
              <w:rPr>
                <w:rFonts w:ascii="Arial" w:cs="Arial" w:eastAsia="Arial" w:hAnsi="Arial"/>
                <w:sz w:val="14"/>
                <w:szCs w:val="14"/>
                <w:b w:val="1"/>
                <w:bCs w:val="1"/>
                <w:color w:val="FFFFFF"/>
              </w:rPr>
              <w:t>Base Salary</w:t>
            </w:r>
          </w:p>
        </w:tc>
        <w:tc>
          <w:tcPr>
            <w:tcW w:w="2300" w:type="dxa"/>
            <w:vAlign w:val="bottom"/>
            <w:vMerge w:val="continue"/>
            <w:shd w:val="clear" w:color="auto" w:fill="0071CE"/>
          </w:tcPr>
          <w:p>
            <w:pPr>
              <w:spacing w:after="0"/>
              <w:rPr>
                <w:sz w:val="11"/>
                <w:szCs w:val="11"/>
                <w:color w:val="auto"/>
              </w:rPr>
            </w:pPr>
          </w:p>
        </w:tc>
        <w:tc>
          <w:tcPr>
            <w:tcW w:w="1900" w:type="dxa"/>
            <w:vAlign w:val="bottom"/>
            <w:vMerge w:val="restart"/>
            <w:shd w:val="clear" w:color="auto" w:fill="0071CE"/>
          </w:tcPr>
          <w:p>
            <w:pPr>
              <w:ind w:left="380"/>
              <w:spacing w:after="0"/>
              <w:rPr>
                <w:sz w:val="20"/>
                <w:szCs w:val="20"/>
                <w:color w:val="auto"/>
              </w:rPr>
            </w:pPr>
            <w:r>
              <w:rPr>
                <w:rFonts w:ascii="Arial" w:cs="Arial" w:eastAsia="Arial" w:hAnsi="Arial"/>
                <w:sz w:val="14"/>
                <w:szCs w:val="14"/>
                <w:b w:val="1"/>
                <w:bCs w:val="1"/>
                <w:color w:val="FFFFFF"/>
              </w:rPr>
              <w:t>Adjustment</w:t>
            </w:r>
          </w:p>
        </w:tc>
        <w:tc>
          <w:tcPr>
            <w:tcW w:w="0" w:type="dxa"/>
            <w:vAlign w:val="bottom"/>
          </w:tcPr>
          <w:p>
            <w:pPr>
              <w:spacing w:after="0"/>
              <w:rPr>
                <w:sz w:val="1"/>
                <w:szCs w:val="1"/>
                <w:color w:val="auto"/>
              </w:rPr>
            </w:pPr>
          </w:p>
        </w:tc>
      </w:tr>
      <w:tr>
        <w:trPr>
          <w:trHeight w:val="77"/>
        </w:trPr>
        <w:tc>
          <w:tcPr>
            <w:tcW w:w="4480" w:type="dxa"/>
            <w:vAlign w:val="bottom"/>
            <w:tcBorders>
              <w:bottom w:val="single" w:sz="8" w:color="0071CE"/>
            </w:tcBorders>
            <w:vMerge w:val="continue"/>
            <w:shd w:val="clear" w:color="auto" w:fill="0071CE"/>
          </w:tcPr>
          <w:p>
            <w:pPr>
              <w:spacing w:after="0"/>
              <w:rPr>
                <w:sz w:val="6"/>
                <w:szCs w:val="6"/>
                <w:color w:val="auto"/>
              </w:rPr>
            </w:pPr>
          </w:p>
        </w:tc>
        <w:tc>
          <w:tcPr>
            <w:tcW w:w="2260" w:type="dxa"/>
            <w:vAlign w:val="bottom"/>
            <w:tcBorders>
              <w:bottom w:val="single" w:sz="8" w:color="0071CE"/>
            </w:tcBorders>
            <w:vMerge w:val="continue"/>
            <w:shd w:val="clear" w:color="auto" w:fill="0071CE"/>
          </w:tcPr>
          <w:p>
            <w:pPr>
              <w:spacing w:after="0"/>
              <w:rPr>
                <w:sz w:val="6"/>
                <w:szCs w:val="6"/>
                <w:color w:val="auto"/>
              </w:rPr>
            </w:pPr>
          </w:p>
        </w:tc>
        <w:tc>
          <w:tcPr>
            <w:tcW w:w="2300" w:type="dxa"/>
            <w:vAlign w:val="bottom"/>
            <w:tcBorders>
              <w:bottom w:val="single" w:sz="8" w:color="0071CE"/>
            </w:tcBorders>
            <w:shd w:val="clear" w:color="auto" w:fill="0071CE"/>
          </w:tcPr>
          <w:p>
            <w:pPr>
              <w:spacing w:after="0"/>
              <w:rPr>
                <w:sz w:val="6"/>
                <w:szCs w:val="6"/>
                <w:color w:val="auto"/>
              </w:rPr>
            </w:pPr>
          </w:p>
        </w:tc>
        <w:tc>
          <w:tcPr>
            <w:tcW w:w="1900" w:type="dxa"/>
            <w:vAlign w:val="bottom"/>
            <w:tcBorders>
              <w:bottom w:val="single" w:sz="8" w:color="0071CE"/>
            </w:tcBorders>
            <w:vMerge w:val="continue"/>
            <w:shd w:val="clear" w:color="auto" w:fill="0071C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480" w:type="dxa"/>
            <w:vAlign w:val="bottom"/>
            <w:shd w:val="clear" w:color="auto" w:fill="E5E5E5"/>
          </w:tcPr>
          <w:p>
            <w:pPr>
              <w:ind w:left="40"/>
              <w:spacing w:after="0" w:line="162" w:lineRule="exact"/>
              <w:rPr>
                <w:sz w:val="20"/>
                <w:szCs w:val="20"/>
                <w:color w:val="auto"/>
              </w:rPr>
            </w:pPr>
            <w:r>
              <w:rPr>
                <w:rFonts w:ascii="Arial" w:cs="Arial" w:eastAsia="Arial" w:hAnsi="Arial"/>
                <w:sz w:val="16"/>
                <w:szCs w:val="16"/>
                <w:b w:val="1"/>
                <w:bCs w:val="1"/>
                <w:color w:val="auto"/>
              </w:rPr>
              <w:t>Christopher Anzalone</w:t>
            </w:r>
          </w:p>
        </w:tc>
        <w:tc>
          <w:tcPr>
            <w:tcW w:w="2260" w:type="dxa"/>
            <w:vAlign w:val="bottom"/>
            <w:shd w:val="clear" w:color="auto" w:fill="E5E5E5"/>
          </w:tcPr>
          <w:p>
            <w:pPr>
              <w:spacing w:after="0"/>
              <w:rPr>
                <w:sz w:val="14"/>
                <w:szCs w:val="14"/>
                <w:color w:val="auto"/>
              </w:rPr>
            </w:pPr>
          </w:p>
        </w:tc>
        <w:tc>
          <w:tcPr>
            <w:tcW w:w="2300" w:type="dxa"/>
            <w:vAlign w:val="bottom"/>
            <w:shd w:val="clear" w:color="auto" w:fill="E5E5E5"/>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E5E5E5"/>
          </w:tcPr>
          <w:p>
            <w:pPr>
              <w:ind w:left="40"/>
              <w:spacing w:after="0"/>
              <w:rPr>
                <w:sz w:val="20"/>
                <w:szCs w:val="20"/>
                <w:color w:val="auto"/>
              </w:rPr>
            </w:pPr>
            <w:r>
              <w:rPr>
                <w:rFonts w:ascii="Arial" w:cs="Arial" w:eastAsia="Arial" w:hAnsi="Arial"/>
                <w:sz w:val="16"/>
                <w:szCs w:val="16"/>
                <w:color w:val="auto"/>
              </w:rPr>
              <w:t>President &amp; CEO</w:t>
            </w:r>
          </w:p>
        </w:tc>
        <w:tc>
          <w:tcPr>
            <w:tcW w:w="2260" w:type="dxa"/>
            <w:vAlign w:val="bottom"/>
            <w:shd w:val="clear" w:color="auto" w:fill="E5E5E5"/>
          </w:tcPr>
          <w:p>
            <w:pPr>
              <w:jc w:val="center"/>
              <w:ind w:left="781"/>
              <w:spacing w:after="0"/>
              <w:rPr>
                <w:sz w:val="20"/>
                <w:szCs w:val="20"/>
                <w:color w:val="auto"/>
              </w:rPr>
            </w:pPr>
            <w:r>
              <w:rPr>
                <w:rFonts w:ascii="Arial" w:cs="Arial" w:eastAsia="Arial" w:hAnsi="Arial"/>
                <w:sz w:val="16"/>
                <w:szCs w:val="16"/>
                <w:color w:val="auto"/>
              </w:rPr>
              <w:t>$960,000</w:t>
            </w:r>
          </w:p>
        </w:tc>
        <w:tc>
          <w:tcPr>
            <w:tcW w:w="23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$913,868</w:t>
            </w:r>
          </w:p>
        </w:tc>
        <w:tc>
          <w:tcPr>
            <w:tcW w:w="1900" w:type="dxa"/>
            <w:vAlign w:val="bottom"/>
            <w:shd w:val="clear" w:color="auto" w:fill="E5E5E5"/>
          </w:tcPr>
          <w:p>
            <w:pPr>
              <w:jc w:val="center"/>
              <w:ind w:right="221"/>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62"/>
        </w:trPr>
        <w:tc>
          <w:tcPr>
            <w:tcW w:w="4480" w:type="dxa"/>
            <w:vAlign w:val="bottom"/>
          </w:tcPr>
          <w:p>
            <w:pPr>
              <w:ind w:left="40"/>
              <w:spacing w:after="0" w:line="162" w:lineRule="exact"/>
              <w:rPr>
                <w:sz w:val="20"/>
                <w:szCs w:val="20"/>
                <w:color w:val="auto"/>
              </w:rPr>
            </w:pPr>
            <w:r>
              <w:rPr>
                <w:rFonts w:ascii="Arial" w:cs="Arial" w:eastAsia="Arial" w:hAnsi="Arial"/>
                <w:sz w:val="16"/>
                <w:szCs w:val="16"/>
                <w:b w:val="1"/>
                <w:bCs w:val="1"/>
                <w:color w:val="auto"/>
              </w:rPr>
              <w:t>Kenneth Myszkowski</w:t>
            </w:r>
          </w:p>
        </w:tc>
        <w:tc>
          <w:tcPr>
            <w:tcW w:w="22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480" w:type="dxa"/>
            <w:vAlign w:val="bottom"/>
          </w:tcPr>
          <w:p>
            <w:pPr>
              <w:ind w:left="40"/>
              <w:spacing w:after="0"/>
              <w:rPr>
                <w:sz w:val="20"/>
                <w:szCs w:val="20"/>
                <w:color w:val="auto"/>
              </w:rPr>
            </w:pPr>
            <w:r>
              <w:rPr>
                <w:rFonts w:ascii="Arial" w:cs="Arial" w:eastAsia="Arial" w:hAnsi="Arial"/>
                <w:sz w:val="16"/>
                <w:szCs w:val="16"/>
                <w:color w:val="auto"/>
              </w:rPr>
              <w:t>Chief Financial Officer</w:t>
            </w:r>
          </w:p>
        </w:tc>
        <w:tc>
          <w:tcPr>
            <w:tcW w:w="2260" w:type="dxa"/>
            <w:vAlign w:val="bottom"/>
          </w:tcPr>
          <w:p>
            <w:pPr>
              <w:jc w:val="center"/>
              <w:ind w:left="781"/>
              <w:spacing w:after="0"/>
              <w:rPr>
                <w:sz w:val="20"/>
                <w:szCs w:val="20"/>
                <w:color w:val="auto"/>
              </w:rPr>
            </w:pPr>
            <w:r>
              <w:rPr>
                <w:rFonts w:ascii="Arial" w:cs="Arial" w:eastAsia="Arial" w:hAnsi="Arial"/>
                <w:sz w:val="16"/>
                <w:szCs w:val="16"/>
                <w:color w:val="auto"/>
              </w:rPr>
              <w:t>$582,400</w:t>
            </w:r>
          </w:p>
        </w:tc>
        <w:tc>
          <w:tcPr>
            <w:tcW w:w="2300" w:type="dxa"/>
            <w:vAlign w:val="bottom"/>
          </w:tcPr>
          <w:p>
            <w:pPr>
              <w:jc w:val="center"/>
              <w:spacing w:after="0"/>
              <w:rPr>
                <w:sz w:val="20"/>
                <w:szCs w:val="20"/>
                <w:color w:val="auto"/>
              </w:rPr>
            </w:pPr>
            <w:r>
              <w:rPr>
                <w:rFonts w:ascii="Arial" w:cs="Arial" w:eastAsia="Arial" w:hAnsi="Arial"/>
                <w:sz w:val="16"/>
                <w:szCs w:val="16"/>
                <w:color w:val="auto"/>
              </w:rPr>
              <w:t>$560,000</w:t>
            </w:r>
          </w:p>
        </w:tc>
        <w:tc>
          <w:tcPr>
            <w:tcW w:w="1900" w:type="dxa"/>
            <w:vAlign w:val="bottom"/>
          </w:tcPr>
          <w:p>
            <w:pPr>
              <w:jc w:val="center"/>
              <w:ind w:right="22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3"/>
        </w:trPr>
        <w:tc>
          <w:tcPr>
            <w:tcW w:w="4480" w:type="dxa"/>
            <w:vAlign w:val="bottom"/>
            <w:shd w:val="clear" w:color="auto" w:fill="E5E5E5"/>
          </w:tcPr>
          <w:p>
            <w:pPr>
              <w:ind w:left="40"/>
              <w:spacing w:after="0" w:line="163" w:lineRule="exact"/>
              <w:rPr>
                <w:sz w:val="20"/>
                <w:szCs w:val="20"/>
                <w:color w:val="auto"/>
              </w:rPr>
            </w:pPr>
            <w:r>
              <w:rPr>
                <w:rFonts w:ascii="Arial" w:cs="Arial" w:eastAsia="Arial" w:hAnsi="Arial"/>
                <w:sz w:val="16"/>
                <w:szCs w:val="16"/>
                <w:b w:val="1"/>
                <w:bCs w:val="1"/>
                <w:color w:val="auto"/>
              </w:rPr>
              <w:t>Patrick O’Brien</w:t>
            </w:r>
          </w:p>
        </w:tc>
        <w:tc>
          <w:tcPr>
            <w:tcW w:w="2260" w:type="dxa"/>
            <w:vAlign w:val="bottom"/>
            <w:shd w:val="clear" w:color="auto" w:fill="E5E5E5"/>
          </w:tcPr>
          <w:p>
            <w:pPr>
              <w:spacing w:after="0"/>
              <w:rPr>
                <w:sz w:val="14"/>
                <w:szCs w:val="14"/>
                <w:color w:val="auto"/>
              </w:rPr>
            </w:pPr>
          </w:p>
        </w:tc>
        <w:tc>
          <w:tcPr>
            <w:tcW w:w="2300" w:type="dxa"/>
            <w:vAlign w:val="bottom"/>
            <w:shd w:val="clear" w:color="auto" w:fill="E5E5E5"/>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E5E5E5"/>
          </w:tcPr>
          <w:p>
            <w:pPr>
              <w:ind w:left="40"/>
              <w:spacing w:after="0"/>
              <w:rPr>
                <w:sz w:val="20"/>
                <w:szCs w:val="20"/>
                <w:color w:val="auto"/>
              </w:rPr>
            </w:pPr>
            <w:r>
              <w:rPr>
                <w:rFonts w:ascii="Arial" w:cs="Arial" w:eastAsia="Arial" w:hAnsi="Arial"/>
                <w:sz w:val="16"/>
                <w:szCs w:val="16"/>
                <w:color w:val="auto"/>
              </w:rPr>
              <w:t>Chief Operating Officer and General Counsel</w:t>
            </w:r>
          </w:p>
        </w:tc>
        <w:tc>
          <w:tcPr>
            <w:tcW w:w="2260" w:type="dxa"/>
            <w:vAlign w:val="bottom"/>
            <w:shd w:val="clear" w:color="auto" w:fill="E5E5E5"/>
          </w:tcPr>
          <w:p>
            <w:pPr>
              <w:jc w:val="center"/>
              <w:ind w:left="781"/>
              <w:spacing w:after="0"/>
              <w:rPr>
                <w:sz w:val="20"/>
                <w:szCs w:val="20"/>
                <w:color w:val="auto"/>
              </w:rPr>
            </w:pPr>
            <w:r>
              <w:rPr>
                <w:rFonts w:ascii="Arial" w:cs="Arial" w:eastAsia="Arial" w:hAnsi="Arial"/>
                <w:sz w:val="16"/>
                <w:szCs w:val="16"/>
                <w:color w:val="auto"/>
              </w:rPr>
              <w:t>$600,000</w:t>
            </w:r>
          </w:p>
        </w:tc>
        <w:tc>
          <w:tcPr>
            <w:tcW w:w="23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$560,000</w:t>
            </w:r>
          </w:p>
        </w:tc>
        <w:tc>
          <w:tcPr>
            <w:tcW w:w="1900" w:type="dxa"/>
            <w:vAlign w:val="bottom"/>
            <w:shd w:val="clear" w:color="auto" w:fill="E5E5E5"/>
          </w:tcPr>
          <w:p>
            <w:pPr>
              <w:jc w:val="center"/>
              <w:ind w:right="22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62"/>
        </w:trPr>
        <w:tc>
          <w:tcPr>
            <w:tcW w:w="4480" w:type="dxa"/>
            <w:vAlign w:val="bottom"/>
          </w:tcPr>
          <w:p>
            <w:pPr>
              <w:ind w:left="40"/>
              <w:spacing w:after="0" w:line="162" w:lineRule="exact"/>
              <w:rPr>
                <w:sz w:val="20"/>
                <w:szCs w:val="20"/>
                <w:color w:val="auto"/>
              </w:rPr>
            </w:pPr>
            <w:r>
              <w:rPr>
                <w:rFonts w:ascii="Arial" w:cs="Arial" w:eastAsia="Arial" w:hAnsi="Arial"/>
                <w:sz w:val="16"/>
                <w:szCs w:val="16"/>
                <w:b w:val="1"/>
                <w:bCs w:val="1"/>
                <w:color w:val="auto"/>
              </w:rPr>
              <w:t>James Hamilton</w:t>
            </w:r>
          </w:p>
        </w:tc>
        <w:tc>
          <w:tcPr>
            <w:tcW w:w="22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480" w:type="dxa"/>
            <w:vAlign w:val="bottom"/>
          </w:tcPr>
          <w:p>
            <w:pPr>
              <w:ind w:left="40"/>
              <w:spacing w:after="0"/>
              <w:rPr>
                <w:sz w:val="20"/>
                <w:szCs w:val="20"/>
                <w:color w:val="auto"/>
              </w:rPr>
            </w:pPr>
            <w:r>
              <w:rPr>
                <w:rFonts w:ascii="Arial" w:cs="Arial" w:eastAsia="Arial" w:hAnsi="Arial"/>
                <w:sz w:val="16"/>
                <w:szCs w:val="16"/>
                <w:color w:val="auto"/>
              </w:rPr>
              <w:t>Chief of Discovery and Translational Medicine</w:t>
            </w:r>
          </w:p>
        </w:tc>
        <w:tc>
          <w:tcPr>
            <w:tcW w:w="2260" w:type="dxa"/>
            <w:vAlign w:val="bottom"/>
          </w:tcPr>
          <w:p>
            <w:pPr>
              <w:jc w:val="center"/>
              <w:ind w:left="781"/>
              <w:spacing w:after="0"/>
              <w:rPr>
                <w:sz w:val="20"/>
                <w:szCs w:val="20"/>
                <w:color w:val="auto"/>
              </w:rPr>
            </w:pPr>
            <w:r>
              <w:rPr>
                <w:rFonts w:ascii="Arial" w:cs="Arial" w:eastAsia="Arial" w:hAnsi="Arial"/>
                <w:sz w:val="16"/>
                <w:szCs w:val="16"/>
                <w:color w:val="auto"/>
              </w:rPr>
              <w:t>$582,400</w:t>
            </w:r>
          </w:p>
        </w:tc>
        <w:tc>
          <w:tcPr>
            <w:tcW w:w="2300" w:type="dxa"/>
            <w:vAlign w:val="bottom"/>
          </w:tcPr>
          <w:p>
            <w:pPr>
              <w:jc w:val="center"/>
              <w:spacing w:after="0"/>
              <w:rPr>
                <w:sz w:val="20"/>
                <w:szCs w:val="20"/>
                <w:color w:val="auto"/>
              </w:rPr>
            </w:pPr>
            <w:r>
              <w:rPr>
                <w:rFonts w:ascii="Arial" w:cs="Arial" w:eastAsia="Arial" w:hAnsi="Arial"/>
                <w:sz w:val="16"/>
                <w:szCs w:val="16"/>
                <w:color w:val="auto"/>
              </w:rPr>
              <w:t>$525,000</w:t>
            </w:r>
          </w:p>
        </w:tc>
        <w:tc>
          <w:tcPr>
            <w:tcW w:w="1900" w:type="dxa"/>
            <w:vAlign w:val="bottom"/>
          </w:tcPr>
          <w:p>
            <w:pPr>
              <w:jc w:val="center"/>
              <w:ind w:right="221"/>
              <w:spacing w:after="0"/>
              <w:rPr>
                <w:sz w:val="20"/>
                <w:szCs w:val="20"/>
                <w:color w:val="auto"/>
              </w:rPr>
            </w:pPr>
            <w:r>
              <w:rPr>
                <w:rFonts w:ascii="Arial" w:cs="Arial" w:eastAsia="Arial" w:hAnsi="Arial"/>
                <w:sz w:val="16"/>
                <w:szCs w:val="16"/>
                <w:color w:val="auto"/>
                <w:w w:val="99"/>
              </w:rPr>
              <w:t>11%</w:t>
            </w:r>
          </w:p>
        </w:tc>
        <w:tc>
          <w:tcPr>
            <w:tcW w:w="0" w:type="dxa"/>
            <w:vAlign w:val="bottom"/>
          </w:tcPr>
          <w:p>
            <w:pPr>
              <w:spacing w:after="0"/>
              <w:rPr>
                <w:sz w:val="1"/>
                <w:szCs w:val="1"/>
                <w:color w:val="auto"/>
              </w:rPr>
            </w:pPr>
          </w:p>
        </w:tc>
      </w:tr>
      <w:tr>
        <w:trPr>
          <w:trHeight w:val="163"/>
        </w:trPr>
        <w:tc>
          <w:tcPr>
            <w:tcW w:w="4480" w:type="dxa"/>
            <w:vAlign w:val="bottom"/>
            <w:shd w:val="clear" w:color="auto" w:fill="E5E5E5"/>
          </w:tcPr>
          <w:p>
            <w:pPr>
              <w:ind w:left="40"/>
              <w:spacing w:after="0" w:line="163" w:lineRule="exact"/>
              <w:rPr>
                <w:sz w:val="20"/>
                <w:szCs w:val="20"/>
                <w:color w:val="auto"/>
              </w:rPr>
            </w:pPr>
            <w:r>
              <w:rPr>
                <w:rFonts w:ascii="Arial" w:cs="Arial" w:eastAsia="Arial" w:hAnsi="Arial"/>
                <w:sz w:val="16"/>
                <w:szCs w:val="16"/>
                <w:b w:val="1"/>
                <w:bCs w:val="1"/>
                <w:color w:val="auto"/>
              </w:rPr>
              <w:t>Javier San Martin (1)</w:t>
            </w:r>
          </w:p>
        </w:tc>
        <w:tc>
          <w:tcPr>
            <w:tcW w:w="2260" w:type="dxa"/>
            <w:vAlign w:val="bottom"/>
            <w:shd w:val="clear" w:color="auto" w:fill="E5E5E5"/>
          </w:tcPr>
          <w:p>
            <w:pPr>
              <w:spacing w:after="0"/>
              <w:rPr>
                <w:sz w:val="14"/>
                <w:szCs w:val="14"/>
                <w:color w:val="auto"/>
              </w:rPr>
            </w:pPr>
          </w:p>
        </w:tc>
        <w:tc>
          <w:tcPr>
            <w:tcW w:w="2300" w:type="dxa"/>
            <w:vAlign w:val="bottom"/>
            <w:shd w:val="clear" w:color="auto" w:fill="E5E5E5"/>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E5E5E5"/>
          </w:tcPr>
          <w:p>
            <w:pPr>
              <w:ind w:left="80"/>
              <w:spacing w:after="0"/>
              <w:rPr>
                <w:sz w:val="20"/>
                <w:szCs w:val="20"/>
                <w:color w:val="auto"/>
              </w:rPr>
            </w:pPr>
            <w:r>
              <w:rPr>
                <w:rFonts w:ascii="Arial" w:cs="Arial" w:eastAsia="Arial" w:hAnsi="Arial"/>
                <w:sz w:val="16"/>
                <w:szCs w:val="16"/>
                <w:color w:val="auto"/>
              </w:rPr>
              <w:t>Former Chief Medical Officer</w:t>
            </w:r>
          </w:p>
        </w:tc>
        <w:tc>
          <w:tcPr>
            <w:tcW w:w="2260" w:type="dxa"/>
            <w:vAlign w:val="bottom"/>
            <w:shd w:val="clear" w:color="auto" w:fill="E5E5E5"/>
          </w:tcPr>
          <w:p>
            <w:pPr>
              <w:jc w:val="center"/>
              <w:ind w:left="781"/>
              <w:spacing w:after="0"/>
              <w:rPr>
                <w:sz w:val="20"/>
                <w:szCs w:val="20"/>
                <w:color w:val="auto"/>
              </w:rPr>
            </w:pPr>
            <w:r>
              <w:rPr>
                <w:rFonts w:ascii="Arial" w:cs="Arial" w:eastAsia="Arial" w:hAnsi="Arial"/>
                <w:sz w:val="16"/>
                <w:szCs w:val="16"/>
                <w:color w:val="auto"/>
              </w:rPr>
              <w:t>$582,400</w:t>
            </w:r>
          </w:p>
        </w:tc>
        <w:tc>
          <w:tcPr>
            <w:tcW w:w="23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$560,000</w:t>
            </w:r>
          </w:p>
        </w:tc>
        <w:tc>
          <w:tcPr>
            <w:tcW w:w="1900" w:type="dxa"/>
            <w:vAlign w:val="bottom"/>
            <w:shd w:val="clear" w:color="auto" w:fill="E5E5E5"/>
          </w:tcPr>
          <w:p>
            <w:pPr>
              <w:jc w:val="center"/>
              <w:ind w:right="22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2"/>
        </w:trPr>
        <w:tc>
          <w:tcPr>
            <w:tcW w:w="4480" w:type="dxa"/>
            <w:vAlign w:val="bottom"/>
          </w:tcPr>
          <w:p>
            <w:pPr>
              <w:ind w:left="40"/>
              <w:spacing w:after="0" w:line="162" w:lineRule="exact"/>
              <w:rPr>
                <w:sz w:val="20"/>
                <w:szCs w:val="20"/>
                <w:color w:val="auto"/>
              </w:rPr>
            </w:pPr>
            <w:r>
              <w:rPr>
                <w:rFonts w:ascii="Arial" w:cs="Arial" w:eastAsia="Arial" w:hAnsi="Arial"/>
                <w:sz w:val="16"/>
                <w:szCs w:val="16"/>
                <w:b w:val="1"/>
                <w:bCs w:val="1"/>
                <w:color w:val="auto"/>
              </w:rPr>
              <w:t>Tracie Oliver (2)</w:t>
            </w:r>
          </w:p>
        </w:tc>
        <w:tc>
          <w:tcPr>
            <w:tcW w:w="22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480" w:type="dxa"/>
            <w:vAlign w:val="bottom"/>
            <w:tcBorders>
              <w:bottom w:val="single" w:sz="8" w:color="0071CE"/>
            </w:tcBorders>
          </w:tcPr>
          <w:p>
            <w:pPr>
              <w:ind w:left="80"/>
              <w:spacing w:after="0"/>
              <w:rPr>
                <w:sz w:val="20"/>
                <w:szCs w:val="20"/>
                <w:color w:val="auto"/>
              </w:rPr>
            </w:pPr>
            <w:r>
              <w:rPr>
                <w:rFonts w:ascii="Arial" w:cs="Arial" w:eastAsia="Arial" w:hAnsi="Arial"/>
                <w:sz w:val="16"/>
                <w:szCs w:val="16"/>
                <w:color w:val="auto"/>
              </w:rPr>
              <w:t>Former Chief Commercial Officer</w:t>
            </w:r>
          </w:p>
        </w:tc>
        <w:tc>
          <w:tcPr>
            <w:tcW w:w="2260" w:type="dxa"/>
            <w:vAlign w:val="bottom"/>
            <w:tcBorders>
              <w:bottom w:val="single" w:sz="8" w:color="0071CE"/>
            </w:tcBorders>
          </w:tcPr>
          <w:p>
            <w:pPr>
              <w:jc w:val="center"/>
              <w:ind w:left="781"/>
              <w:spacing w:after="0"/>
              <w:rPr>
                <w:sz w:val="20"/>
                <w:szCs w:val="20"/>
                <w:color w:val="auto"/>
              </w:rPr>
            </w:pPr>
            <w:r>
              <w:rPr>
                <w:rFonts w:ascii="Arial" w:cs="Arial" w:eastAsia="Arial" w:hAnsi="Arial"/>
                <w:sz w:val="16"/>
                <w:szCs w:val="16"/>
                <w:color w:val="auto"/>
              </w:rPr>
              <w:t>$488,880</w:t>
            </w:r>
          </w:p>
        </w:tc>
        <w:tc>
          <w:tcPr>
            <w:tcW w:w="2300" w:type="dxa"/>
            <w:vAlign w:val="bottom"/>
            <w:tcBorders>
              <w:bottom w:val="single" w:sz="8" w:color="0071CE"/>
            </w:tcBorders>
          </w:tcPr>
          <w:p>
            <w:pPr>
              <w:jc w:val="center"/>
              <w:spacing w:after="0"/>
              <w:rPr>
                <w:sz w:val="20"/>
                <w:szCs w:val="20"/>
                <w:color w:val="auto"/>
              </w:rPr>
            </w:pPr>
            <w:r>
              <w:rPr>
                <w:rFonts w:ascii="Arial" w:cs="Arial" w:eastAsia="Arial" w:hAnsi="Arial"/>
                <w:sz w:val="16"/>
                <w:szCs w:val="16"/>
                <w:color w:val="auto"/>
              </w:rPr>
              <w:t>$470,000</w:t>
            </w:r>
          </w:p>
        </w:tc>
        <w:tc>
          <w:tcPr>
            <w:tcW w:w="1900" w:type="dxa"/>
            <w:vAlign w:val="bottom"/>
            <w:tcBorders>
              <w:bottom w:val="single" w:sz="8" w:color="0071CE"/>
            </w:tcBorders>
          </w:tcPr>
          <w:p>
            <w:pPr>
              <w:jc w:val="center"/>
              <w:ind w:right="22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220" w:hanging="212"/>
        <w:spacing w:after="0"/>
        <w:tabs>
          <w:tab w:leader="none" w:pos="2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Dr. San Martin left the Company on February 1, 2024.</w:t>
      </w:r>
    </w:p>
    <w:p>
      <w:pPr>
        <w:spacing w:after="0" w:line="15" w:lineRule="exact"/>
        <w:rPr>
          <w:rFonts w:ascii="Arial" w:cs="Arial" w:eastAsia="Arial" w:hAnsi="Arial"/>
          <w:sz w:val="14"/>
          <w:szCs w:val="14"/>
          <w:color w:val="auto"/>
        </w:rPr>
      </w:pPr>
    </w:p>
    <w:p>
      <w:pPr>
        <w:ind w:left="220" w:hanging="212"/>
        <w:spacing w:after="0" w:line="237" w:lineRule="auto"/>
        <w:tabs>
          <w:tab w:leader="none" w:pos="2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Ms. Oliver served as the Company's Chief Commercial Officer until October 2024.</w:t>
      </w:r>
    </w:p>
    <w:p>
      <w:pPr>
        <w:spacing w:after="0"/>
        <w:rPr>
          <w:sz w:val="20"/>
          <w:szCs w:val="20"/>
          <w:color w:val="auto"/>
        </w:rPr>
      </w:pPr>
      <w:r>
        <w:rPr>
          <w:rFonts w:ascii="Arial" w:cs="Arial" w:eastAsia="Arial" w:hAnsi="Arial"/>
          <w:sz w:val="16"/>
          <w:szCs w:val="16"/>
          <w:color w:val="auto"/>
        </w:rPr>
        <w:t>The actual base salaries paid to our NEOs in fiscal 2024 are set forth in the “Fiscal 2024 Summary Compensation Table” below.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Cash Incentive Compensation</w:t>
      </w:r>
    </w:p>
    <w:p>
      <w:pPr>
        <w:spacing w:after="0" w:line="22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provide our executive officers, including our NEOs, with the opportunity to earn performance-based annual incentive awards, payable in cash, which are designed to reward them for our overall corporate performance as well as their individual performance. Generally, our executive officers are evaluated each year for eligibility to receive an annual cash incentive compensation opportunity. Through a collaborative planning process involving our Board and management, corporate performance objectives are established at the beginning of each year and evaluated regularly by our Board for their continued relevance to our status.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Target Annual Cash Incentive Award Opportunities</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For purposes of the fiscal 2024 performance-based incentive awards, each of our NEOs was assigned a target annual cash incentive award opportunity based upon a percentage of his or her base salary. The target annual cash incentive award opportunities for our executive officers, including our NEOs, were recommended by our CEO (except with respect to his own target annual cash incentive award opportunity) based on each executive officer’s accountability, scope of responsibilities, and potential impact on our performance, and approved by the Compensation Committee. The determination of target annual cash incentive award opportunities was also based on the factors described in “Governance of Executive Compensation Program — Compensation-Setting Process” above. Our NEOs' target annual cash incentive award opportunities did not change from fiscal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1270635</wp:posOffset>
            </wp:positionV>
            <wp:extent cx="986155" cy="2057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E"/>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The target cash annual incentive award opportunities for our NEOs were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shd w:val="clear" w:color="auto" w:fill="0071CE"/>
          </w:tcPr>
          <w:p>
            <w:pPr>
              <w:spacing w:after="0"/>
              <w:rPr>
                <w:sz w:val="14"/>
                <w:szCs w:val="14"/>
                <w:color w:val="auto"/>
              </w:rPr>
            </w:pPr>
          </w:p>
        </w:tc>
        <w:tc>
          <w:tcPr>
            <w:tcW w:w="5020" w:type="dxa"/>
            <w:vAlign w:val="bottom"/>
            <w:vMerge w:val="restart"/>
            <w:shd w:val="clear" w:color="auto" w:fill="0071CE"/>
          </w:tcPr>
          <w:p>
            <w:pPr>
              <w:jc w:val="center"/>
              <w:ind w:left="1408"/>
              <w:spacing w:after="0"/>
              <w:rPr>
                <w:sz w:val="20"/>
                <w:szCs w:val="20"/>
                <w:color w:val="auto"/>
              </w:rPr>
            </w:pPr>
            <w:r>
              <w:rPr>
                <w:rFonts w:ascii="Arial" w:cs="Arial" w:eastAsia="Arial" w:hAnsi="Arial"/>
                <w:sz w:val="14"/>
                <w:szCs w:val="14"/>
                <w:b w:val="1"/>
                <w:bCs w:val="1"/>
                <w:color w:val="FFFFFF"/>
              </w:rPr>
              <w:t>Fiscal 2024 Target Annual Incentive Award</w:t>
            </w:r>
          </w:p>
        </w:tc>
        <w:tc>
          <w:tcPr>
            <w:tcW w:w="2660" w:type="dxa"/>
            <w:vAlign w:val="bottom"/>
            <w:shd w:val="clear" w:color="auto" w:fill="0071CE"/>
          </w:tcPr>
          <w:p>
            <w:pPr>
              <w:jc w:val="center"/>
              <w:ind w:right="228"/>
              <w:spacing w:after="0"/>
              <w:rPr>
                <w:sz w:val="20"/>
                <w:szCs w:val="20"/>
                <w:color w:val="auto"/>
              </w:rPr>
            </w:pPr>
            <w:r>
              <w:rPr>
                <w:rFonts w:ascii="Arial" w:cs="Arial" w:eastAsia="Arial" w:hAnsi="Arial"/>
                <w:sz w:val="14"/>
                <w:szCs w:val="14"/>
                <w:b w:val="1"/>
                <w:bCs w:val="1"/>
                <w:color w:val="FFFFFF"/>
              </w:rPr>
              <w:t>Fiscal 2023 Target Annual</w:t>
            </w:r>
          </w:p>
        </w:tc>
        <w:tc>
          <w:tcPr>
            <w:tcW w:w="0" w:type="dxa"/>
            <w:vAlign w:val="bottom"/>
          </w:tcPr>
          <w:p>
            <w:pPr>
              <w:spacing w:after="0"/>
              <w:rPr>
                <w:sz w:val="1"/>
                <w:szCs w:val="1"/>
                <w:color w:val="auto"/>
              </w:rPr>
            </w:pPr>
          </w:p>
        </w:tc>
      </w:tr>
      <w:tr>
        <w:trPr>
          <w:trHeight w:val="144"/>
        </w:trPr>
        <w:tc>
          <w:tcPr>
            <w:tcW w:w="3540" w:type="dxa"/>
            <w:vAlign w:val="bottom"/>
            <w:shd w:val="clear" w:color="auto" w:fill="0071CE"/>
          </w:tcPr>
          <w:p>
            <w:pPr>
              <w:spacing w:after="0"/>
              <w:rPr>
                <w:sz w:val="12"/>
                <w:szCs w:val="12"/>
                <w:color w:val="auto"/>
              </w:rPr>
            </w:pPr>
          </w:p>
        </w:tc>
        <w:tc>
          <w:tcPr>
            <w:tcW w:w="5020" w:type="dxa"/>
            <w:vAlign w:val="bottom"/>
            <w:vMerge w:val="continue"/>
            <w:shd w:val="clear" w:color="auto" w:fill="0071CE"/>
          </w:tcPr>
          <w:p>
            <w:pPr>
              <w:spacing w:after="0"/>
              <w:rPr>
                <w:sz w:val="12"/>
                <w:szCs w:val="12"/>
                <w:color w:val="auto"/>
              </w:rPr>
            </w:pPr>
          </w:p>
        </w:tc>
        <w:tc>
          <w:tcPr>
            <w:tcW w:w="2660" w:type="dxa"/>
            <w:vAlign w:val="bottom"/>
            <w:shd w:val="clear" w:color="auto" w:fill="0071CE"/>
          </w:tcPr>
          <w:p>
            <w:pPr>
              <w:jc w:val="center"/>
              <w:ind w:right="208"/>
              <w:spacing w:after="0" w:line="145" w:lineRule="exact"/>
              <w:rPr>
                <w:sz w:val="20"/>
                <w:szCs w:val="20"/>
                <w:color w:val="auto"/>
              </w:rPr>
            </w:pPr>
            <w:r>
              <w:rPr>
                <w:rFonts w:ascii="Arial" w:cs="Arial" w:eastAsia="Arial" w:hAnsi="Arial"/>
                <w:sz w:val="14"/>
                <w:szCs w:val="14"/>
                <w:b w:val="1"/>
                <w:bCs w:val="1"/>
                <w:color w:val="FFFFFF"/>
              </w:rPr>
              <w:t>Incentive Award</w:t>
            </w:r>
          </w:p>
        </w:tc>
        <w:tc>
          <w:tcPr>
            <w:tcW w:w="0" w:type="dxa"/>
            <w:vAlign w:val="bottom"/>
          </w:tcPr>
          <w:p>
            <w:pPr>
              <w:spacing w:after="0"/>
              <w:rPr>
                <w:sz w:val="1"/>
                <w:szCs w:val="1"/>
                <w:color w:val="auto"/>
              </w:rPr>
            </w:pPr>
          </w:p>
        </w:tc>
      </w:tr>
      <w:tr>
        <w:trPr>
          <w:trHeight w:val="148"/>
        </w:trPr>
        <w:tc>
          <w:tcPr>
            <w:tcW w:w="3540" w:type="dxa"/>
            <w:vAlign w:val="bottom"/>
            <w:shd w:val="clear" w:color="auto" w:fill="0071CE"/>
          </w:tcPr>
          <w:p>
            <w:pPr>
              <w:spacing w:after="0"/>
              <w:rPr>
                <w:sz w:val="12"/>
                <w:szCs w:val="12"/>
                <w:color w:val="auto"/>
              </w:rPr>
            </w:pPr>
          </w:p>
        </w:tc>
        <w:tc>
          <w:tcPr>
            <w:tcW w:w="5020" w:type="dxa"/>
            <w:vAlign w:val="bottom"/>
            <w:shd w:val="clear" w:color="auto" w:fill="0071CE"/>
          </w:tcPr>
          <w:p>
            <w:pPr>
              <w:jc w:val="center"/>
              <w:ind w:left="1408"/>
              <w:spacing w:after="0" w:line="149" w:lineRule="exact"/>
              <w:rPr>
                <w:sz w:val="20"/>
                <w:szCs w:val="20"/>
                <w:color w:val="auto"/>
              </w:rPr>
            </w:pPr>
            <w:r>
              <w:rPr>
                <w:rFonts w:ascii="Arial" w:cs="Arial" w:eastAsia="Arial" w:hAnsi="Arial"/>
                <w:sz w:val="14"/>
                <w:szCs w:val="14"/>
                <w:b w:val="1"/>
                <w:bCs w:val="1"/>
                <w:color w:val="FFFFFF"/>
              </w:rPr>
              <w:t>Opportunity (as a</w:t>
            </w:r>
          </w:p>
        </w:tc>
        <w:tc>
          <w:tcPr>
            <w:tcW w:w="2660" w:type="dxa"/>
            <w:vAlign w:val="bottom"/>
            <w:shd w:val="clear" w:color="auto" w:fill="0071CE"/>
          </w:tcPr>
          <w:p>
            <w:pPr>
              <w:jc w:val="center"/>
              <w:ind w:right="228"/>
              <w:spacing w:after="0" w:line="149" w:lineRule="exact"/>
              <w:rPr>
                <w:sz w:val="20"/>
                <w:szCs w:val="20"/>
                <w:color w:val="auto"/>
              </w:rPr>
            </w:pPr>
            <w:r>
              <w:rPr>
                <w:rFonts w:ascii="Arial" w:cs="Arial" w:eastAsia="Arial" w:hAnsi="Arial"/>
                <w:sz w:val="14"/>
                <w:szCs w:val="14"/>
                <w:b w:val="1"/>
                <w:bCs w:val="1"/>
                <w:color w:val="FFFFFF"/>
              </w:rPr>
              <w:t>Opportunity (as a</w:t>
            </w:r>
          </w:p>
        </w:tc>
        <w:tc>
          <w:tcPr>
            <w:tcW w:w="0" w:type="dxa"/>
            <w:vAlign w:val="bottom"/>
          </w:tcPr>
          <w:p>
            <w:pPr>
              <w:spacing w:after="0"/>
              <w:rPr>
                <w:sz w:val="1"/>
                <w:szCs w:val="1"/>
                <w:color w:val="auto"/>
              </w:rPr>
            </w:pPr>
          </w:p>
        </w:tc>
      </w:tr>
      <w:tr>
        <w:trPr>
          <w:trHeight w:val="135"/>
        </w:trPr>
        <w:tc>
          <w:tcPr>
            <w:tcW w:w="3540" w:type="dxa"/>
            <w:vAlign w:val="bottom"/>
            <w:vMerge w:val="restart"/>
            <w:shd w:val="clear" w:color="auto" w:fill="0071CE"/>
          </w:tcPr>
          <w:p>
            <w:pPr>
              <w:ind w:left="20"/>
              <w:spacing w:after="0"/>
              <w:rPr>
                <w:sz w:val="20"/>
                <w:szCs w:val="20"/>
                <w:color w:val="auto"/>
              </w:rPr>
            </w:pPr>
            <w:r>
              <w:rPr>
                <w:rFonts w:ascii="Arial" w:cs="Arial" w:eastAsia="Arial" w:hAnsi="Arial"/>
                <w:sz w:val="14"/>
                <w:szCs w:val="14"/>
                <w:b w:val="1"/>
                <w:bCs w:val="1"/>
                <w:color w:val="FFFFFF"/>
              </w:rPr>
              <w:t>Named Executive Officer</w:t>
            </w:r>
          </w:p>
        </w:tc>
        <w:tc>
          <w:tcPr>
            <w:tcW w:w="5020" w:type="dxa"/>
            <w:vAlign w:val="bottom"/>
            <w:shd w:val="clear" w:color="auto" w:fill="0071CE"/>
          </w:tcPr>
          <w:p>
            <w:pPr>
              <w:jc w:val="center"/>
              <w:ind w:left="1408"/>
              <w:spacing w:after="0" w:line="135" w:lineRule="exact"/>
              <w:rPr>
                <w:sz w:val="20"/>
                <w:szCs w:val="20"/>
                <w:color w:val="auto"/>
              </w:rPr>
            </w:pPr>
            <w:r>
              <w:rPr>
                <w:rFonts w:ascii="Arial" w:cs="Arial" w:eastAsia="Arial" w:hAnsi="Arial"/>
                <w:sz w:val="14"/>
                <w:szCs w:val="14"/>
                <w:b w:val="1"/>
                <w:bCs w:val="1"/>
                <w:color w:val="FFFFFF"/>
              </w:rPr>
              <w:t>percentage of base</w:t>
            </w:r>
          </w:p>
        </w:tc>
        <w:tc>
          <w:tcPr>
            <w:tcW w:w="2660" w:type="dxa"/>
            <w:vAlign w:val="bottom"/>
            <w:shd w:val="clear" w:color="auto" w:fill="0071CE"/>
          </w:tcPr>
          <w:p>
            <w:pPr>
              <w:jc w:val="center"/>
              <w:ind w:right="228"/>
              <w:spacing w:after="0" w:line="135" w:lineRule="exact"/>
              <w:rPr>
                <w:sz w:val="20"/>
                <w:szCs w:val="20"/>
                <w:color w:val="auto"/>
              </w:rPr>
            </w:pPr>
            <w:r>
              <w:rPr>
                <w:rFonts w:ascii="Arial" w:cs="Arial" w:eastAsia="Arial" w:hAnsi="Arial"/>
                <w:sz w:val="14"/>
                <w:szCs w:val="14"/>
                <w:b w:val="1"/>
                <w:bCs w:val="1"/>
                <w:color w:val="FFFFFF"/>
              </w:rPr>
              <w:t>percentage of base</w:t>
            </w:r>
          </w:p>
        </w:tc>
        <w:tc>
          <w:tcPr>
            <w:tcW w:w="0" w:type="dxa"/>
            <w:vAlign w:val="bottom"/>
          </w:tcPr>
          <w:p>
            <w:pPr>
              <w:spacing w:after="0"/>
              <w:rPr>
                <w:sz w:val="1"/>
                <w:szCs w:val="1"/>
                <w:color w:val="auto"/>
              </w:rPr>
            </w:pPr>
          </w:p>
        </w:tc>
      </w:tr>
      <w:tr>
        <w:trPr>
          <w:trHeight w:val="189"/>
        </w:trPr>
        <w:tc>
          <w:tcPr>
            <w:tcW w:w="3540" w:type="dxa"/>
            <w:vAlign w:val="bottom"/>
            <w:vMerge w:val="continue"/>
            <w:shd w:val="clear" w:color="auto" w:fill="0071CE"/>
          </w:tcPr>
          <w:p>
            <w:pPr>
              <w:spacing w:after="0"/>
              <w:rPr>
                <w:sz w:val="16"/>
                <w:szCs w:val="16"/>
                <w:color w:val="auto"/>
              </w:rPr>
            </w:pPr>
          </w:p>
        </w:tc>
        <w:tc>
          <w:tcPr>
            <w:tcW w:w="5020" w:type="dxa"/>
            <w:vAlign w:val="bottom"/>
            <w:shd w:val="clear" w:color="auto" w:fill="0071CE"/>
          </w:tcPr>
          <w:p>
            <w:pPr>
              <w:jc w:val="center"/>
              <w:ind w:left="1408"/>
              <w:spacing w:after="0"/>
              <w:rPr>
                <w:sz w:val="20"/>
                <w:szCs w:val="20"/>
                <w:color w:val="auto"/>
              </w:rPr>
            </w:pPr>
            <w:r>
              <w:rPr>
                <w:rFonts w:ascii="Arial" w:cs="Arial" w:eastAsia="Arial" w:hAnsi="Arial"/>
                <w:sz w:val="14"/>
                <w:szCs w:val="14"/>
                <w:b w:val="1"/>
                <w:bCs w:val="1"/>
                <w:color w:val="FFFFFF"/>
              </w:rPr>
              <w:t>salary)</w:t>
            </w:r>
          </w:p>
        </w:tc>
        <w:tc>
          <w:tcPr>
            <w:tcW w:w="2660" w:type="dxa"/>
            <w:vAlign w:val="bottom"/>
            <w:shd w:val="clear" w:color="auto" w:fill="0071CE"/>
          </w:tcPr>
          <w:p>
            <w:pPr>
              <w:jc w:val="center"/>
              <w:ind w:right="208"/>
              <w:spacing w:after="0"/>
              <w:rPr>
                <w:sz w:val="20"/>
                <w:szCs w:val="20"/>
                <w:color w:val="auto"/>
              </w:rPr>
            </w:pPr>
            <w:r>
              <w:rPr>
                <w:rFonts w:ascii="Arial" w:cs="Arial" w:eastAsia="Arial" w:hAnsi="Arial"/>
                <w:sz w:val="14"/>
                <w:szCs w:val="14"/>
                <w:b w:val="1"/>
                <w:bCs w:val="1"/>
                <w:color w:val="FFFFFF"/>
              </w:rPr>
              <w:t>salary)</w:t>
            </w:r>
          </w:p>
        </w:tc>
        <w:tc>
          <w:tcPr>
            <w:tcW w:w="0" w:type="dxa"/>
            <w:vAlign w:val="bottom"/>
          </w:tcPr>
          <w:p>
            <w:pPr>
              <w:spacing w:after="0"/>
              <w:rPr>
                <w:sz w:val="1"/>
                <w:szCs w:val="1"/>
                <w:color w:val="auto"/>
              </w:rPr>
            </w:pPr>
          </w:p>
        </w:tc>
      </w:tr>
      <w:tr>
        <w:trPr>
          <w:trHeight w:val="203"/>
        </w:trPr>
        <w:tc>
          <w:tcPr>
            <w:tcW w:w="3540" w:type="dxa"/>
            <w:vAlign w:val="bottom"/>
            <w:shd w:val="clear" w:color="auto" w:fill="E5E5E5"/>
          </w:tcPr>
          <w:p>
            <w:pPr>
              <w:ind w:left="20"/>
              <w:spacing w:after="0"/>
              <w:rPr>
                <w:sz w:val="20"/>
                <w:szCs w:val="20"/>
                <w:color w:val="auto"/>
              </w:rPr>
            </w:pPr>
            <w:r>
              <w:rPr>
                <w:rFonts w:ascii="Arial" w:cs="Arial" w:eastAsia="Arial" w:hAnsi="Arial"/>
                <w:sz w:val="14"/>
                <w:szCs w:val="14"/>
                <w:color w:val="auto"/>
              </w:rPr>
              <w:t>Dr. Anzalone (1)</w:t>
            </w:r>
          </w:p>
        </w:tc>
        <w:tc>
          <w:tcPr>
            <w:tcW w:w="5020" w:type="dxa"/>
            <w:vAlign w:val="bottom"/>
            <w:shd w:val="clear" w:color="auto" w:fill="E5E5E5"/>
          </w:tcPr>
          <w:p>
            <w:pPr>
              <w:jc w:val="center"/>
              <w:ind w:left="1408"/>
              <w:spacing w:after="0"/>
              <w:rPr>
                <w:sz w:val="20"/>
                <w:szCs w:val="20"/>
                <w:color w:val="auto"/>
              </w:rPr>
            </w:pPr>
            <w:r>
              <w:rPr>
                <w:rFonts w:ascii="Arial" w:cs="Arial" w:eastAsia="Arial" w:hAnsi="Arial"/>
                <w:sz w:val="14"/>
                <w:szCs w:val="14"/>
                <w:color w:val="auto"/>
              </w:rPr>
              <w:t>100%</w:t>
            </w:r>
          </w:p>
        </w:tc>
        <w:tc>
          <w:tcPr>
            <w:tcW w:w="2660" w:type="dxa"/>
            <w:vAlign w:val="bottom"/>
            <w:shd w:val="clear" w:color="auto" w:fill="E5E5E5"/>
          </w:tcPr>
          <w:p>
            <w:pPr>
              <w:jc w:val="center"/>
              <w:ind w:right="22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98"/>
        </w:trPr>
        <w:tc>
          <w:tcPr>
            <w:tcW w:w="3540" w:type="dxa"/>
            <w:vAlign w:val="bottom"/>
          </w:tcPr>
          <w:p>
            <w:pPr>
              <w:ind w:left="20"/>
              <w:spacing w:after="0"/>
              <w:rPr>
                <w:sz w:val="20"/>
                <w:szCs w:val="20"/>
                <w:color w:val="auto"/>
              </w:rPr>
            </w:pPr>
            <w:r>
              <w:rPr>
                <w:rFonts w:ascii="Arial" w:cs="Arial" w:eastAsia="Arial" w:hAnsi="Arial"/>
                <w:sz w:val="14"/>
                <w:szCs w:val="14"/>
                <w:color w:val="auto"/>
              </w:rPr>
              <w:t>Mr. Myszkowski</w:t>
            </w:r>
          </w:p>
        </w:tc>
        <w:tc>
          <w:tcPr>
            <w:tcW w:w="5020" w:type="dxa"/>
            <w:vAlign w:val="bottom"/>
          </w:tcPr>
          <w:p>
            <w:pPr>
              <w:jc w:val="center"/>
              <w:ind w:left="1408"/>
              <w:spacing w:after="0"/>
              <w:rPr>
                <w:sz w:val="20"/>
                <w:szCs w:val="20"/>
                <w:color w:val="auto"/>
              </w:rPr>
            </w:pPr>
            <w:r>
              <w:rPr>
                <w:rFonts w:ascii="Arial" w:cs="Arial" w:eastAsia="Arial" w:hAnsi="Arial"/>
                <w:sz w:val="14"/>
                <w:szCs w:val="14"/>
                <w:color w:val="auto"/>
              </w:rPr>
              <w:t>45%</w:t>
            </w:r>
          </w:p>
        </w:tc>
        <w:tc>
          <w:tcPr>
            <w:tcW w:w="2660" w:type="dxa"/>
            <w:vAlign w:val="bottom"/>
          </w:tcPr>
          <w:p>
            <w:pPr>
              <w:jc w:val="center"/>
              <w:ind w:right="228"/>
              <w:spacing w:after="0"/>
              <w:rPr>
                <w:sz w:val="20"/>
                <w:szCs w:val="20"/>
                <w:color w:val="auto"/>
              </w:rPr>
            </w:pPr>
            <w:r>
              <w:rPr>
                <w:rFonts w:ascii="Arial" w:cs="Arial" w:eastAsia="Arial" w:hAnsi="Arial"/>
                <w:sz w:val="14"/>
                <w:szCs w:val="14"/>
                <w:color w:val="auto"/>
                <w:w w:val="99"/>
              </w:rPr>
              <w:t>45%</w:t>
            </w:r>
          </w:p>
        </w:tc>
        <w:tc>
          <w:tcPr>
            <w:tcW w:w="0" w:type="dxa"/>
            <w:vAlign w:val="bottom"/>
          </w:tcPr>
          <w:p>
            <w:pPr>
              <w:spacing w:after="0"/>
              <w:rPr>
                <w:sz w:val="1"/>
                <w:szCs w:val="1"/>
                <w:color w:val="auto"/>
              </w:rPr>
            </w:pPr>
          </w:p>
        </w:tc>
      </w:tr>
      <w:tr>
        <w:trPr>
          <w:trHeight w:val="207"/>
        </w:trPr>
        <w:tc>
          <w:tcPr>
            <w:tcW w:w="3540" w:type="dxa"/>
            <w:vAlign w:val="bottom"/>
            <w:shd w:val="clear" w:color="auto" w:fill="E5E5E5"/>
          </w:tcPr>
          <w:p>
            <w:pPr>
              <w:ind w:left="20"/>
              <w:spacing w:after="0"/>
              <w:rPr>
                <w:sz w:val="20"/>
                <w:szCs w:val="20"/>
                <w:color w:val="auto"/>
              </w:rPr>
            </w:pPr>
            <w:r>
              <w:rPr>
                <w:rFonts w:ascii="Arial" w:cs="Arial" w:eastAsia="Arial" w:hAnsi="Arial"/>
                <w:sz w:val="14"/>
                <w:szCs w:val="14"/>
                <w:color w:val="auto"/>
              </w:rPr>
              <w:t>Mr. O’Brien</w:t>
            </w:r>
          </w:p>
        </w:tc>
        <w:tc>
          <w:tcPr>
            <w:tcW w:w="5020" w:type="dxa"/>
            <w:vAlign w:val="bottom"/>
            <w:shd w:val="clear" w:color="auto" w:fill="E5E5E5"/>
          </w:tcPr>
          <w:p>
            <w:pPr>
              <w:jc w:val="center"/>
              <w:ind w:left="1408"/>
              <w:spacing w:after="0"/>
              <w:rPr>
                <w:sz w:val="20"/>
                <w:szCs w:val="20"/>
                <w:color w:val="auto"/>
              </w:rPr>
            </w:pPr>
            <w:r>
              <w:rPr>
                <w:rFonts w:ascii="Arial" w:cs="Arial" w:eastAsia="Arial" w:hAnsi="Arial"/>
                <w:sz w:val="14"/>
                <w:szCs w:val="14"/>
                <w:color w:val="auto"/>
              </w:rPr>
              <w:t>45%</w:t>
            </w:r>
          </w:p>
        </w:tc>
        <w:tc>
          <w:tcPr>
            <w:tcW w:w="2660" w:type="dxa"/>
            <w:vAlign w:val="bottom"/>
            <w:shd w:val="clear" w:color="auto" w:fill="E5E5E5"/>
          </w:tcPr>
          <w:p>
            <w:pPr>
              <w:jc w:val="center"/>
              <w:ind w:right="228"/>
              <w:spacing w:after="0"/>
              <w:rPr>
                <w:sz w:val="20"/>
                <w:szCs w:val="20"/>
                <w:color w:val="auto"/>
              </w:rPr>
            </w:pPr>
            <w:r>
              <w:rPr>
                <w:rFonts w:ascii="Arial" w:cs="Arial" w:eastAsia="Arial" w:hAnsi="Arial"/>
                <w:sz w:val="14"/>
                <w:szCs w:val="14"/>
                <w:color w:val="auto"/>
                <w:w w:val="99"/>
              </w:rPr>
              <w:t>45%</w:t>
            </w:r>
          </w:p>
        </w:tc>
        <w:tc>
          <w:tcPr>
            <w:tcW w:w="0" w:type="dxa"/>
            <w:vAlign w:val="bottom"/>
          </w:tcPr>
          <w:p>
            <w:pPr>
              <w:spacing w:after="0"/>
              <w:rPr>
                <w:sz w:val="1"/>
                <w:szCs w:val="1"/>
                <w:color w:val="auto"/>
              </w:rPr>
            </w:pPr>
          </w:p>
        </w:tc>
      </w:tr>
      <w:tr>
        <w:trPr>
          <w:trHeight w:val="198"/>
        </w:trPr>
        <w:tc>
          <w:tcPr>
            <w:tcW w:w="3540" w:type="dxa"/>
            <w:vAlign w:val="bottom"/>
          </w:tcPr>
          <w:p>
            <w:pPr>
              <w:ind w:left="20"/>
              <w:spacing w:after="0"/>
              <w:rPr>
                <w:sz w:val="20"/>
                <w:szCs w:val="20"/>
                <w:color w:val="auto"/>
              </w:rPr>
            </w:pPr>
            <w:r>
              <w:rPr>
                <w:rFonts w:ascii="Arial" w:cs="Arial" w:eastAsia="Arial" w:hAnsi="Arial"/>
                <w:sz w:val="14"/>
                <w:szCs w:val="14"/>
                <w:color w:val="auto"/>
              </w:rPr>
              <w:t>Dr. Hamilton</w:t>
            </w:r>
          </w:p>
        </w:tc>
        <w:tc>
          <w:tcPr>
            <w:tcW w:w="5020" w:type="dxa"/>
            <w:vAlign w:val="bottom"/>
          </w:tcPr>
          <w:p>
            <w:pPr>
              <w:jc w:val="center"/>
              <w:ind w:left="1408"/>
              <w:spacing w:after="0"/>
              <w:rPr>
                <w:sz w:val="20"/>
                <w:szCs w:val="20"/>
                <w:color w:val="auto"/>
              </w:rPr>
            </w:pPr>
            <w:r>
              <w:rPr>
                <w:rFonts w:ascii="Arial" w:cs="Arial" w:eastAsia="Arial" w:hAnsi="Arial"/>
                <w:sz w:val="14"/>
                <w:szCs w:val="14"/>
                <w:color w:val="auto"/>
              </w:rPr>
              <w:t>45%</w:t>
            </w:r>
          </w:p>
        </w:tc>
        <w:tc>
          <w:tcPr>
            <w:tcW w:w="2660" w:type="dxa"/>
            <w:vAlign w:val="bottom"/>
          </w:tcPr>
          <w:p>
            <w:pPr>
              <w:jc w:val="center"/>
              <w:ind w:right="228"/>
              <w:spacing w:after="0"/>
              <w:rPr>
                <w:sz w:val="20"/>
                <w:szCs w:val="20"/>
                <w:color w:val="auto"/>
              </w:rPr>
            </w:pPr>
            <w:r>
              <w:rPr>
                <w:rFonts w:ascii="Arial" w:cs="Arial" w:eastAsia="Arial" w:hAnsi="Arial"/>
                <w:sz w:val="14"/>
                <w:szCs w:val="14"/>
                <w:color w:val="auto"/>
                <w:w w:val="99"/>
              </w:rPr>
              <w:t>45%</w:t>
            </w:r>
          </w:p>
        </w:tc>
        <w:tc>
          <w:tcPr>
            <w:tcW w:w="0" w:type="dxa"/>
            <w:vAlign w:val="bottom"/>
          </w:tcPr>
          <w:p>
            <w:pPr>
              <w:spacing w:after="0"/>
              <w:rPr>
                <w:sz w:val="1"/>
                <w:szCs w:val="1"/>
                <w:color w:val="auto"/>
              </w:rPr>
            </w:pPr>
          </w:p>
        </w:tc>
      </w:tr>
      <w:tr>
        <w:trPr>
          <w:trHeight w:val="207"/>
        </w:trPr>
        <w:tc>
          <w:tcPr>
            <w:tcW w:w="3540" w:type="dxa"/>
            <w:vAlign w:val="bottom"/>
            <w:shd w:val="clear" w:color="auto" w:fill="E5E5E5"/>
          </w:tcPr>
          <w:p>
            <w:pPr>
              <w:ind w:left="20"/>
              <w:spacing w:after="0"/>
              <w:rPr>
                <w:sz w:val="20"/>
                <w:szCs w:val="20"/>
                <w:color w:val="auto"/>
              </w:rPr>
            </w:pPr>
            <w:r>
              <w:rPr>
                <w:rFonts w:ascii="Arial" w:cs="Arial" w:eastAsia="Arial" w:hAnsi="Arial"/>
                <w:sz w:val="14"/>
                <w:szCs w:val="14"/>
                <w:color w:val="auto"/>
              </w:rPr>
              <w:t>Dr. San Martin</w:t>
            </w:r>
          </w:p>
        </w:tc>
        <w:tc>
          <w:tcPr>
            <w:tcW w:w="5020" w:type="dxa"/>
            <w:vAlign w:val="bottom"/>
            <w:shd w:val="clear" w:color="auto" w:fill="E5E5E5"/>
          </w:tcPr>
          <w:p>
            <w:pPr>
              <w:jc w:val="center"/>
              <w:ind w:left="1408"/>
              <w:spacing w:after="0"/>
              <w:rPr>
                <w:sz w:val="20"/>
                <w:szCs w:val="20"/>
                <w:color w:val="auto"/>
              </w:rPr>
            </w:pPr>
            <w:r>
              <w:rPr>
                <w:rFonts w:ascii="Arial" w:cs="Arial" w:eastAsia="Arial" w:hAnsi="Arial"/>
                <w:sz w:val="14"/>
                <w:szCs w:val="14"/>
                <w:color w:val="auto"/>
              </w:rPr>
              <w:t>45%</w:t>
            </w:r>
          </w:p>
        </w:tc>
        <w:tc>
          <w:tcPr>
            <w:tcW w:w="2660" w:type="dxa"/>
            <w:vAlign w:val="bottom"/>
            <w:shd w:val="clear" w:color="auto" w:fill="E5E5E5"/>
          </w:tcPr>
          <w:p>
            <w:pPr>
              <w:jc w:val="center"/>
              <w:ind w:right="228"/>
              <w:spacing w:after="0"/>
              <w:rPr>
                <w:sz w:val="20"/>
                <w:szCs w:val="20"/>
                <w:color w:val="auto"/>
              </w:rPr>
            </w:pPr>
            <w:r>
              <w:rPr>
                <w:rFonts w:ascii="Arial" w:cs="Arial" w:eastAsia="Arial" w:hAnsi="Arial"/>
                <w:sz w:val="14"/>
                <w:szCs w:val="14"/>
                <w:color w:val="auto"/>
                <w:w w:val="99"/>
              </w:rPr>
              <w:t>45%</w:t>
            </w:r>
          </w:p>
        </w:tc>
        <w:tc>
          <w:tcPr>
            <w:tcW w:w="0" w:type="dxa"/>
            <w:vAlign w:val="bottom"/>
          </w:tcPr>
          <w:p>
            <w:pPr>
              <w:spacing w:after="0"/>
              <w:rPr>
                <w:sz w:val="1"/>
                <w:szCs w:val="1"/>
                <w:color w:val="auto"/>
              </w:rPr>
            </w:pPr>
          </w:p>
        </w:tc>
      </w:tr>
      <w:tr>
        <w:trPr>
          <w:trHeight w:val="198"/>
        </w:trPr>
        <w:tc>
          <w:tcPr>
            <w:tcW w:w="3540" w:type="dxa"/>
            <w:vAlign w:val="bottom"/>
            <w:tcBorders>
              <w:bottom w:val="single" w:sz="8" w:color="0071CE"/>
            </w:tcBorders>
          </w:tcPr>
          <w:p>
            <w:pPr>
              <w:ind w:left="20"/>
              <w:spacing w:after="0"/>
              <w:rPr>
                <w:sz w:val="20"/>
                <w:szCs w:val="20"/>
                <w:color w:val="auto"/>
              </w:rPr>
            </w:pPr>
            <w:r>
              <w:rPr>
                <w:rFonts w:ascii="Arial" w:cs="Arial" w:eastAsia="Arial" w:hAnsi="Arial"/>
                <w:sz w:val="14"/>
                <w:szCs w:val="14"/>
                <w:color w:val="auto"/>
              </w:rPr>
              <w:t>Ms. Oliver</w:t>
            </w:r>
          </w:p>
        </w:tc>
        <w:tc>
          <w:tcPr>
            <w:tcW w:w="5020" w:type="dxa"/>
            <w:vAlign w:val="bottom"/>
            <w:tcBorders>
              <w:bottom w:val="single" w:sz="8" w:color="0071CE"/>
            </w:tcBorders>
          </w:tcPr>
          <w:p>
            <w:pPr>
              <w:jc w:val="center"/>
              <w:ind w:left="1408"/>
              <w:spacing w:after="0"/>
              <w:rPr>
                <w:sz w:val="20"/>
                <w:szCs w:val="20"/>
                <w:color w:val="auto"/>
              </w:rPr>
            </w:pPr>
            <w:r>
              <w:rPr>
                <w:rFonts w:ascii="Arial" w:cs="Arial" w:eastAsia="Arial" w:hAnsi="Arial"/>
                <w:sz w:val="14"/>
                <w:szCs w:val="14"/>
                <w:color w:val="auto"/>
              </w:rPr>
              <w:t>40%</w:t>
            </w:r>
          </w:p>
        </w:tc>
        <w:tc>
          <w:tcPr>
            <w:tcW w:w="2660" w:type="dxa"/>
            <w:vAlign w:val="bottom"/>
            <w:tcBorders>
              <w:bottom w:val="single" w:sz="8" w:color="0071CE"/>
            </w:tcBorders>
          </w:tcPr>
          <w:p>
            <w:pPr>
              <w:jc w:val="center"/>
              <w:ind w:right="228"/>
              <w:spacing w:after="0"/>
              <w:rPr>
                <w:sz w:val="20"/>
                <w:szCs w:val="20"/>
                <w:color w:val="auto"/>
              </w:rPr>
            </w:pPr>
            <w:r>
              <w:rPr>
                <w:rFonts w:ascii="Arial" w:cs="Arial" w:eastAsia="Arial" w:hAnsi="Arial"/>
                <w:sz w:val="14"/>
                <w:szCs w:val="14"/>
                <w:color w:val="auto"/>
                <w:w w:val="99"/>
              </w:rPr>
              <w:t>40%</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Dr. Anzalone' annual cash incentive compensation opportunity is capped at 150% of his base salary.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Objectives</w:t>
      </w:r>
    </w:p>
    <w:p>
      <w:pPr>
        <w:spacing w:after="0" w:line="12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determining the amount of the annual cash incentive award for each of our executive officers, including each of our NEOs, the Compensation Committee evaluated the corporate performance objectives that had been established at the beginning of the calendar year (as set forth below) as well as other corporate and individual achievements and performance throughout the year. These performance objectives addressed milestones for our lead products, research and development milestones for our drug pipeline and business development objectives. In December 2024, the Compensation Committee determined our performance against our primary business objectives set for calendar 2024,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23430" cy="8655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23430" cy="86550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p>
      <w:pPr>
        <w:spacing w:after="0" w:line="30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FFFFFF"/>
        </w:rPr>
        <w:t>Goal</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Corporate/</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Business Development - </w:t>
      </w:r>
      <w:r>
        <w:rPr>
          <w:rFonts w:ascii="Arial" w:cs="Arial" w:eastAsia="Arial" w:hAnsi="Arial"/>
          <w:sz w:val="16"/>
          <w:szCs w:val="16"/>
          <w:color w:val="auto"/>
        </w:rPr>
        <w:t>Weight: 40%</w:t>
      </w:r>
    </w:p>
    <w:p>
      <w:pPr>
        <w:spacing w:after="0" w:line="126" w:lineRule="exact"/>
        <w:rPr>
          <w:sz w:val="20"/>
          <w:szCs w:val="20"/>
          <w:color w:val="auto"/>
        </w:rPr>
      </w:pPr>
    </w:p>
    <w:p>
      <w:pPr>
        <w:ind w:left="20" w:right="100"/>
        <w:spacing w:after="0" w:line="233" w:lineRule="auto"/>
        <w:rPr>
          <w:sz w:val="20"/>
          <w:szCs w:val="20"/>
          <w:color w:val="auto"/>
        </w:rPr>
      </w:pPr>
      <w:r>
        <w:rPr>
          <w:rFonts w:ascii="Arial" w:cs="Arial" w:eastAsia="Arial" w:hAnsi="Arial"/>
          <w:sz w:val="16"/>
          <w:szCs w:val="16"/>
          <w:i w:val="1"/>
          <w:iCs w:val="1"/>
          <w:color w:val="auto"/>
        </w:rPr>
        <w:t>Meet certain goals related to business development, capitalization, long-term financial planning, preparation for commercialization, and utilization of recent capital improvements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Clinical Development and Regulatory Affairs - </w:t>
      </w:r>
      <w:r>
        <w:rPr>
          <w:rFonts w:ascii="Arial" w:cs="Arial" w:eastAsia="Arial" w:hAnsi="Arial"/>
          <w:sz w:val="16"/>
          <w:szCs w:val="16"/>
          <w:color w:val="auto"/>
        </w:rPr>
        <w:t>Weight: 40%</w:t>
      </w:r>
    </w:p>
    <w:p>
      <w:pPr>
        <w:spacing w:after="0" w:line="142" w:lineRule="exact"/>
        <w:rPr>
          <w:sz w:val="20"/>
          <w:szCs w:val="20"/>
          <w:color w:val="auto"/>
        </w:rPr>
      </w:pPr>
    </w:p>
    <w:p>
      <w:pPr>
        <w:ind w:left="20"/>
        <w:spacing w:after="0" w:line="248" w:lineRule="auto"/>
        <w:rPr>
          <w:sz w:val="20"/>
          <w:szCs w:val="20"/>
          <w:color w:val="auto"/>
        </w:rPr>
      </w:pPr>
      <w:r>
        <w:rPr>
          <w:rFonts w:ascii="Arial" w:cs="Arial" w:eastAsia="Arial" w:hAnsi="Arial"/>
          <w:sz w:val="16"/>
          <w:szCs w:val="16"/>
          <w:i w:val="1"/>
          <w:iCs w:val="1"/>
          <w:color w:val="auto"/>
        </w:rPr>
        <w:t>Meet certain goals relating to Phase 3 studies in our clinical Cardiometabolic programs.</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Discovery and Early Development - </w:t>
      </w:r>
      <w:r>
        <w:rPr>
          <w:rFonts w:ascii="Arial" w:cs="Arial" w:eastAsia="Arial" w:hAnsi="Arial"/>
          <w:sz w:val="16"/>
          <w:szCs w:val="16"/>
          <w:color w:val="auto"/>
        </w:rPr>
        <w:t>Weight: 20%</w:t>
      </w:r>
    </w:p>
    <w:p>
      <w:pPr>
        <w:spacing w:after="0" w:line="169" w:lineRule="exact"/>
        <w:rPr>
          <w:sz w:val="20"/>
          <w:szCs w:val="20"/>
          <w:color w:val="auto"/>
        </w:rPr>
      </w:pPr>
    </w:p>
    <w:p>
      <w:pPr>
        <w:ind w:left="20" w:right="420"/>
        <w:spacing w:after="0" w:line="248" w:lineRule="auto"/>
        <w:rPr>
          <w:sz w:val="20"/>
          <w:szCs w:val="20"/>
          <w:color w:val="auto"/>
        </w:rPr>
      </w:pPr>
      <w:r>
        <w:rPr>
          <w:rFonts w:ascii="Arial" w:cs="Arial" w:eastAsia="Arial" w:hAnsi="Arial"/>
          <w:sz w:val="16"/>
          <w:szCs w:val="16"/>
          <w:i w:val="1"/>
          <w:iCs w:val="1"/>
          <w:color w:val="auto"/>
        </w:rPr>
        <w:t>Meet certain goals with regard to progress on our pre-clinical and early clinical programs</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FFFFFF"/>
        </w:rPr>
        <w:t>Achievement Highlights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Met</w:t>
      </w:r>
    </w:p>
    <w:p>
      <w:pPr>
        <w:spacing w:after="0" w:line="46" w:lineRule="exact"/>
        <w:rPr>
          <w:sz w:val="20"/>
          <w:szCs w:val="20"/>
          <w:color w:val="auto"/>
        </w:rPr>
      </w:pPr>
    </w:p>
    <w:p>
      <w:pPr>
        <w:ind w:right="420"/>
        <w:spacing w:after="0" w:line="265" w:lineRule="auto"/>
        <w:rPr>
          <w:sz w:val="20"/>
          <w:szCs w:val="20"/>
          <w:color w:val="auto"/>
        </w:rPr>
      </w:pPr>
      <w:r>
        <w:rPr>
          <w:rFonts w:ascii="Arial" w:cs="Arial" w:eastAsia="Arial" w:hAnsi="Arial"/>
          <w:sz w:val="16"/>
          <w:szCs w:val="16"/>
          <w:color w:val="auto"/>
        </w:rPr>
        <w:t>Substantial business development transaction leading to significant recapitalization. Manufacturing supply commitments, utilizing our Verona manufacturing facility, for commercial product. Fully deployed a medical affairs field force and other commercially oriented operations.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Met</w:t>
      </w:r>
    </w:p>
    <w:p>
      <w:pPr>
        <w:spacing w:after="0" w:line="140"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Launched three Phase 3 studies for plozasiran. Established an Early Access Program for plozasiran in patients with FCS.</w:t>
      </w:r>
    </w:p>
    <w:p>
      <w:pPr>
        <w:spacing w:after="0" w:line="101" w:lineRule="exact"/>
        <w:rPr>
          <w:sz w:val="20"/>
          <w:szCs w:val="20"/>
          <w:color w:val="auto"/>
        </w:rPr>
      </w:pPr>
    </w:p>
    <w:p>
      <w:pPr>
        <w:ind w:right="1040"/>
        <w:spacing w:after="0" w:line="251" w:lineRule="auto"/>
        <w:rPr>
          <w:sz w:val="20"/>
          <w:szCs w:val="20"/>
          <w:color w:val="auto"/>
        </w:rPr>
      </w:pPr>
      <w:r>
        <w:rPr>
          <w:rFonts w:ascii="Arial" w:cs="Arial" w:eastAsia="Arial" w:hAnsi="Arial"/>
          <w:sz w:val="16"/>
          <w:szCs w:val="16"/>
          <w:color w:val="auto"/>
        </w:rPr>
        <w:t>Submitted a New Drug Application with the U.S. Food and Drug Administration</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-111760</wp:posOffset>
            </wp:positionV>
            <wp:extent cx="7115175" cy="660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15175" cy="6604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Achieved clinical milestone timelines for seven Phase 1 clinical assets</w:t>
      </w:r>
    </w:p>
    <w:p>
      <w:pPr>
        <w:spacing w:after="0" w:line="340"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Filed three new clinical trial applications Nominated six new drug candidates</w:t>
      </w:r>
    </w:p>
    <w:p>
      <w:pPr>
        <w:spacing w:after="0" w:line="200" w:lineRule="exact"/>
        <w:rPr>
          <w:sz w:val="20"/>
          <w:szCs w:val="20"/>
          <w:color w:val="auto"/>
        </w:rPr>
      </w:pPr>
    </w:p>
    <w:p>
      <w:pPr>
        <w:sectPr>
          <w:pgSz w:w="11900" w:h="16838" w:orient="portrait"/>
          <w:cols w:equalWidth="0" w:num="2">
            <w:col w:w="5500" w:space="140"/>
            <w:col w:w="5600"/>
          </w:cols>
          <w:pgMar w:left="320" w:top="212" w:right="339"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Incentive Award Payments</w:t>
      </w:r>
    </w:p>
    <w:p>
      <w:pPr>
        <w:spacing w:after="0" w:line="10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actual annual cash incentive award payments earned by our incumbent NEOs totaled 127% of the respective target award opportunities. Except for the annual incentive award for our CEO, these awards were recommended by our CEO and approved by the Compensation Committee based on the overall achievement of our goals, their contributions to the goals and the overall performance of each executive officer during the year. The following table sets forth the target annual cash incentive award opportunities, the target award expressed as a percentage of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478790</wp:posOffset>
            </wp:positionV>
            <wp:extent cx="986155" cy="2057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NEO’s base salary and the actual award payment made in cash or cash equivalents to each of our NEOs based on their performance in fiscal 2024:</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shd w:val="clear" w:color="auto" w:fill="0071CE"/>
          </w:tcPr>
          <w:p>
            <w:pPr>
              <w:spacing w:after="0"/>
              <w:rPr>
                <w:sz w:val="14"/>
                <w:szCs w:val="14"/>
                <w:color w:val="auto"/>
              </w:rPr>
            </w:pPr>
          </w:p>
        </w:tc>
        <w:tc>
          <w:tcPr>
            <w:tcW w:w="3760" w:type="dxa"/>
            <w:vAlign w:val="bottom"/>
            <w:shd w:val="clear" w:color="auto" w:fill="0071CE"/>
          </w:tcPr>
          <w:p>
            <w:pPr>
              <w:jc w:val="center"/>
              <w:ind w:left="1888"/>
              <w:spacing w:after="0"/>
              <w:rPr>
                <w:sz w:val="20"/>
                <w:szCs w:val="20"/>
                <w:color w:val="auto"/>
              </w:rPr>
            </w:pPr>
            <w:r>
              <w:rPr>
                <w:rFonts w:ascii="Arial" w:cs="Arial" w:eastAsia="Arial" w:hAnsi="Arial"/>
                <w:sz w:val="14"/>
                <w:szCs w:val="14"/>
                <w:b w:val="1"/>
                <w:bCs w:val="1"/>
                <w:color w:val="FFFFFF"/>
              </w:rPr>
              <w:t>Target Annual</w:t>
            </w:r>
          </w:p>
        </w:tc>
        <w:tc>
          <w:tcPr>
            <w:tcW w:w="2260" w:type="dxa"/>
            <w:vAlign w:val="bottom"/>
            <w:shd w:val="clear" w:color="auto" w:fill="0071CE"/>
          </w:tcPr>
          <w:p>
            <w:pPr>
              <w:spacing w:after="0"/>
              <w:rPr>
                <w:sz w:val="14"/>
                <w:szCs w:val="14"/>
                <w:color w:val="auto"/>
              </w:rPr>
            </w:pPr>
          </w:p>
        </w:tc>
        <w:tc>
          <w:tcPr>
            <w:tcW w:w="168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520" w:type="dxa"/>
            <w:vAlign w:val="bottom"/>
            <w:vMerge w:val="restart"/>
            <w:shd w:val="clear" w:color="auto" w:fill="0071CE"/>
          </w:tcPr>
          <w:p>
            <w:pPr>
              <w:ind w:left="140"/>
              <w:spacing w:after="0"/>
              <w:rPr>
                <w:sz w:val="20"/>
                <w:szCs w:val="20"/>
                <w:color w:val="auto"/>
              </w:rPr>
            </w:pPr>
            <w:r>
              <w:rPr>
                <w:rFonts w:ascii="Arial" w:cs="Arial" w:eastAsia="Arial" w:hAnsi="Arial"/>
                <w:sz w:val="14"/>
                <w:szCs w:val="14"/>
                <w:b w:val="1"/>
                <w:bCs w:val="1"/>
                <w:color w:val="FFFFFF"/>
              </w:rPr>
              <w:t>Named Executive</w:t>
            </w:r>
          </w:p>
        </w:tc>
        <w:tc>
          <w:tcPr>
            <w:tcW w:w="3760" w:type="dxa"/>
            <w:vAlign w:val="bottom"/>
            <w:shd w:val="clear" w:color="auto" w:fill="0071CE"/>
          </w:tcPr>
          <w:p>
            <w:pPr>
              <w:jc w:val="center"/>
              <w:ind w:left="1908"/>
              <w:spacing w:after="0" w:line="145" w:lineRule="exact"/>
              <w:rPr>
                <w:sz w:val="20"/>
                <w:szCs w:val="20"/>
                <w:color w:val="auto"/>
              </w:rPr>
            </w:pPr>
            <w:r>
              <w:rPr>
                <w:rFonts w:ascii="Arial" w:cs="Arial" w:eastAsia="Arial" w:hAnsi="Arial"/>
                <w:sz w:val="14"/>
                <w:szCs w:val="14"/>
                <w:b w:val="1"/>
                <w:bCs w:val="1"/>
                <w:color w:val="FFFFFF"/>
              </w:rPr>
              <w:t>Incentive Award</w:t>
            </w:r>
          </w:p>
        </w:tc>
        <w:tc>
          <w:tcPr>
            <w:tcW w:w="2260" w:type="dxa"/>
            <w:vAlign w:val="bottom"/>
            <w:shd w:val="clear" w:color="auto" w:fill="0071CE"/>
          </w:tcPr>
          <w:p>
            <w:pPr>
              <w:spacing w:after="0"/>
              <w:rPr>
                <w:sz w:val="12"/>
                <w:szCs w:val="12"/>
                <w:color w:val="auto"/>
              </w:rPr>
            </w:pPr>
          </w:p>
        </w:tc>
        <w:tc>
          <w:tcPr>
            <w:tcW w:w="1680" w:type="dxa"/>
            <w:vAlign w:val="bottom"/>
            <w:vMerge w:val="restart"/>
            <w:shd w:val="clear" w:color="auto" w:fill="0071CE"/>
          </w:tcPr>
          <w:p>
            <w:pPr>
              <w:jc w:val="right"/>
              <w:ind w:right="328"/>
              <w:spacing w:after="0"/>
              <w:rPr>
                <w:sz w:val="20"/>
                <w:szCs w:val="20"/>
                <w:color w:val="auto"/>
              </w:rPr>
            </w:pPr>
            <w:r>
              <w:rPr>
                <w:rFonts w:ascii="Arial" w:cs="Arial" w:eastAsia="Arial" w:hAnsi="Arial"/>
                <w:sz w:val="14"/>
                <w:szCs w:val="14"/>
                <w:b w:val="1"/>
                <w:bCs w:val="1"/>
                <w:color w:val="FFFFFF"/>
              </w:rPr>
              <w:t>Actual Annual</w:t>
            </w:r>
          </w:p>
        </w:tc>
        <w:tc>
          <w:tcPr>
            <w:tcW w:w="0" w:type="dxa"/>
            <w:vAlign w:val="bottom"/>
          </w:tcPr>
          <w:p>
            <w:pPr>
              <w:spacing w:after="0"/>
              <w:rPr>
                <w:sz w:val="1"/>
                <w:szCs w:val="1"/>
                <w:color w:val="auto"/>
              </w:rPr>
            </w:pPr>
          </w:p>
        </w:tc>
      </w:tr>
      <w:tr>
        <w:trPr>
          <w:trHeight w:val="135"/>
        </w:trPr>
        <w:tc>
          <w:tcPr>
            <w:tcW w:w="3520" w:type="dxa"/>
            <w:vAlign w:val="bottom"/>
            <w:vMerge w:val="continue"/>
            <w:shd w:val="clear" w:color="auto" w:fill="0071CE"/>
          </w:tcPr>
          <w:p>
            <w:pPr>
              <w:spacing w:after="0"/>
              <w:rPr>
                <w:sz w:val="11"/>
                <w:szCs w:val="11"/>
                <w:color w:val="auto"/>
              </w:rPr>
            </w:pPr>
          </w:p>
        </w:tc>
        <w:tc>
          <w:tcPr>
            <w:tcW w:w="3760" w:type="dxa"/>
            <w:vAlign w:val="bottom"/>
            <w:shd w:val="clear" w:color="auto" w:fill="0071CE"/>
          </w:tcPr>
          <w:p>
            <w:pPr>
              <w:jc w:val="center"/>
              <w:ind w:left="1888"/>
              <w:spacing w:after="0" w:line="135" w:lineRule="exact"/>
              <w:rPr>
                <w:sz w:val="20"/>
                <w:szCs w:val="20"/>
                <w:color w:val="auto"/>
              </w:rPr>
            </w:pPr>
            <w:r>
              <w:rPr>
                <w:rFonts w:ascii="Arial" w:cs="Arial" w:eastAsia="Arial" w:hAnsi="Arial"/>
                <w:sz w:val="14"/>
                <w:szCs w:val="14"/>
                <w:b w:val="1"/>
                <w:bCs w:val="1"/>
                <w:color w:val="FFFFFF"/>
              </w:rPr>
              <w:t>Opportunity (as a</w:t>
            </w:r>
          </w:p>
        </w:tc>
        <w:tc>
          <w:tcPr>
            <w:tcW w:w="2260" w:type="dxa"/>
            <w:vAlign w:val="bottom"/>
            <w:shd w:val="clear" w:color="auto" w:fill="0071CE"/>
          </w:tcPr>
          <w:p>
            <w:pPr>
              <w:spacing w:after="0"/>
              <w:rPr>
                <w:sz w:val="11"/>
                <w:szCs w:val="11"/>
                <w:color w:val="auto"/>
              </w:rPr>
            </w:pPr>
          </w:p>
        </w:tc>
        <w:tc>
          <w:tcPr>
            <w:tcW w:w="1680" w:type="dxa"/>
            <w:vAlign w:val="bottom"/>
            <w:vMerge w:val="continue"/>
            <w:shd w:val="clear" w:color="auto" w:fill="0071C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20" w:type="dxa"/>
            <w:vAlign w:val="bottom"/>
            <w:shd w:val="clear" w:color="auto" w:fill="0071CE"/>
          </w:tcPr>
          <w:p>
            <w:pPr>
              <w:ind w:left="140"/>
              <w:spacing w:after="0" w:line="149" w:lineRule="exact"/>
              <w:rPr>
                <w:sz w:val="20"/>
                <w:szCs w:val="20"/>
                <w:color w:val="auto"/>
              </w:rPr>
            </w:pPr>
            <w:r>
              <w:rPr>
                <w:rFonts w:ascii="Arial" w:cs="Arial" w:eastAsia="Arial" w:hAnsi="Arial"/>
                <w:sz w:val="14"/>
                <w:szCs w:val="14"/>
                <w:b w:val="1"/>
                <w:bCs w:val="1"/>
                <w:color w:val="FFFFFF"/>
              </w:rPr>
              <w:t>Officer</w:t>
            </w:r>
          </w:p>
        </w:tc>
        <w:tc>
          <w:tcPr>
            <w:tcW w:w="3760" w:type="dxa"/>
            <w:vAlign w:val="bottom"/>
            <w:shd w:val="clear" w:color="auto" w:fill="0071CE"/>
          </w:tcPr>
          <w:p>
            <w:pPr>
              <w:jc w:val="center"/>
              <w:ind w:left="1888"/>
              <w:spacing w:after="0" w:line="149" w:lineRule="exact"/>
              <w:rPr>
                <w:sz w:val="20"/>
                <w:szCs w:val="20"/>
                <w:color w:val="auto"/>
              </w:rPr>
            </w:pPr>
            <w:r>
              <w:rPr>
                <w:rFonts w:ascii="Arial" w:cs="Arial" w:eastAsia="Arial" w:hAnsi="Arial"/>
                <w:sz w:val="14"/>
                <w:szCs w:val="14"/>
                <w:b w:val="1"/>
                <w:bCs w:val="1"/>
                <w:color w:val="FFFFFF"/>
              </w:rPr>
              <w:t>percentage of base</w:t>
            </w:r>
          </w:p>
        </w:tc>
        <w:tc>
          <w:tcPr>
            <w:tcW w:w="2260" w:type="dxa"/>
            <w:vAlign w:val="bottom"/>
            <w:vMerge w:val="restart"/>
            <w:shd w:val="clear" w:color="auto" w:fill="0071CE"/>
          </w:tcPr>
          <w:p>
            <w:pPr>
              <w:ind w:left="200"/>
              <w:spacing w:after="0"/>
              <w:rPr>
                <w:sz w:val="20"/>
                <w:szCs w:val="20"/>
                <w:color w:val="auto"/>
              </w:rPr>
            </w:pPr>
            <w:r>
              <w:rPr>
                <w:rFonts w:ascii="Arial" w:cs="Arial" w:eastAsia="Arial" w:hAnsi="Arial"/>
                <w:sz w:val="14"/>
                <w:szCs w:val="14"/>
                <w:b w:val="1"/>
                <w:bCs w:val="1"/>
                <w:color w:val="FFFFFF"/>
              </w:rPr>
              <w:t>Achievement target bonus</w:t>
            </w:r>
          </w:p>
        </w:tc>
        <w:tc>
          <w:tcPr>
            <w:tcW w:w="1680" w:type="dxa"/>
            <w:vAlign w:val="bottom"/>
            <w:shd w:val="clear" w:color="auto" w:fill="0071CE"/>
          </w:tcPr>
          <w:p>
            <w:pPr>
              <w:jc w:val="right"/>
              <w:ind w:right="268"/>
              <w:spacing w:after="0" w:line="149" w:lineRule="exact"/>
              <w:rPr>
                <w:sz w:val="20"/>
                <w:szCs w:val="20"/>
                <w:color w:val="auto"/>
              </w:rPr>
            </w:pPr>
            <w:r>
              <w:rPr>
                <w:rFonts w:ascii="Arial" w:cs="Arial" w:eastAsia="Arial" w:hAnsi="Arial"/>
                <w:sz w:val="14"/>
                <w:szCs w:val="14"/>
                <w:b w:val="1"/>
                <w:bCs w:val="1"/>
                <w:color w:val="FFFFFF"/>
              </w:rPr>
              <w:t>Incentive Award</w:t>
            </w:r>
          </w:p>
        </w:tc>
        <w:tc>
          <w:tcPr>
            <w:tcW w:w="0" w:type="dxa"/>
            <w:vAlign w:val="bottom"/>
          </w:tcPr>
          <w:p>
            <w:pPr>
              <w:spacing w:after="0"/>
              <w:rPr>
                <w:sz w:val="1"/>
                <w:szCs w:val="1"/>
                <w:color w:val="auto"/>
              </w:rPr>
            </w:pPr>
          </w:p>
        </w:tc>
      </w:tr>
      <w:tr>
        <w:trPr>
          <w:trHeight w:val="189"/>
        </w:trPr>
        <w:tc>
          <w:tcPr>
            <w:tcW w:w="3520" w:type="dxa"/>
            <w:vAlign w:val="bottom"/>
            <w:shd w:val="clear" w:color="auto" w:fill="0071CE"/>
          </w:tcPr>
          <w:p>
            <w:pPr>
              <w:spacing w:after="0"/>
              <w:rPr>
                <w:sz w:val="16"/>
                <w:szCs w:val="16"/>
                <w:color w:val="auto"/>
              </w:rPr>
            </w:pPr>
          </w:p>
        </w:tc>
        <w:tc>
          <w:tcPr>
            <w:tcW w:w="3760" w:type="dxa"/>
            <w:vAlign w:val="bottom"/>
            <w:shd w:val="clear" w:color="auto" w:fill="0071CE"/>
          </w:tcPr>
          <w:p>
            <w:pPr>
              <w:jc w:val="center"/>
              <w:ind w:left="1908"/>
              <w:spacing w:after="0"/>
              <w:rPr>
                <w:sz w:val="20"/>
                <w:szCs w:val="20"/>
                <w:color w:val="auto"/>
              </w:rPr>
            </w:pPr>
            <w:r>
              <w:rPr>
                <w:rFonts w:ascii="Arial" w:cs="Arial" w:eastAsia="Arial" w:hAnsi="Arial"/>
                <w:sz w:val="14"/>
                <w:szCs w:val="14"/>
                <w:b w:val="1"/>
                <w:bCs w:val="1"/>
                <w:color w:val="FFFFFF"/>
              </w:rPr>
              <w:t>salary)</w:t>
            </w:r>
          </w:p>
        </w:tc>
        <w:tc>
          <w:tcPr>
            <w:tcW w:w="2260" w:type="dxa"/>
            <w:vAlign w:val="bottom"/>
            <w:vMerge w:val="continue"/>
            <w:shd w:val="clear" w:color="auto" w:fill="0071CE"/>
          </w:tcPr>
          <w:p>
            <w:pPr>
              <w:spacing w:after="0"/>
              <w:rPr>
                <w:sz w:val="16"/>
                <w:szCs w:val="16"/>
                <w:color w:val="auto"/>
              </w:rPr>
            </w:pPr>
          </w:p>
        </w:tc>
        <w:tc>
          <w:tcPr>
            <w:tcW w:w="1680" w:type="dxa"/>
            <w:vAlign w:val="bottom"/>
            <w:shd w:val="clear" w:color="auto" w:fill="0071CE"/>
          </w:tcPr>
          <w:p>
            <w:pPr>
              <w:jc w:val="center"/>
              <w:ind w:right="8"/>
              <w:spacing w:after="0"/>
              <w:rPr>
                <w:sz w:val="20"/>
                <w:szCs w:val="20"/>
                <w:color w:val="auto"/>
              </w:rPr>
            </w:pPr>
            <w:r>
              <w:rPr>
                <w:rFonts w:ascii="Arial" w:cs="Arial" w:eastAsia="Arial" w:hAnsi="Arial"/>
                <w:sz w:val="14"/>
                <w:szCs w:val="14"/>
                <w:b w:val="1"/>
                <w:bCs w:val="1"/>
                <w:color w:val="FFFFFF"/>
                <w:w w:val="93"/>
              </w:rPr>
              <w:t>($)</w:t>
            </w:r>
          </w:p>
        </w:tc>
        <w:tc>
          <w:tcPr>
            <w:tcW w:w="0" w:type="dxa"/>
            <w:vAlign w:val="bottom"/>
          </w:tcPr>
          <w:p>
            <w:pPr>
              <w:spacing w:after="0"/>
              <w:rPr>
                <w:sz w:val="1"/>
                <w:szCs w:val="1"/>
                <w:color w:val="auto"/>
              </w:rPr>
            </w:pPr>
          </w:p>
        </w:tc>
      </w:tr>
      <w:tr>
        <w:trPr>
          <w:trHeight w:val="203"/>
        </w:trPr>
        <w:tc>
          <w:tcPr>
            <w:tcW w:w="3520" w:type="dxa"/>
            <w:vAlign w:val="bottom"/>
            <w:shd w:val="clear" w:color="auto" w:fill="E5E5E5"/>
          </w:tcPr>
          <w:p>
            <w:pPr>
              <w:ind w:left="20"/>
              <w:spacing w:after="0"/>
              <w:rPr>
                <w:sz w:val="20"/>
                <w:szCs w:val="20"/>
                <w:color w:val="auto"/>
              </w:rPr>
            </w:pPr>
            <w:r>
              <w:rPr>
                <w:rFonts w:ascii="Arial" w:cs="Arial" w:eastAsia="Arial" w:hAnsi="Arial"/>
                <w:sz w:val="14"/>
                <w:szCs w:val="14"/>
                <w:color w:val="auto"/>
              </w:rPr>
              <w:t>Dr. Anzalone (1)</w:t>
            </w:r>
          </w:p>
        </w:tc>
        <w:tc>
          <w:tcPr>
            <w:tcW w:w="3760" w:type="dxa"/>
            <w:vAlign w:val="bottom"/>
            <w:shd w:val="clear" w:color="auto" w:fill="E5E5E5"/>
          </w:tcPr>
          <w:p>
            <w:pPr>
              <w:jc w:val="center"/>
              <w:ind w:left="1888"/>
              <w:spacing w:after="0"/>
              <w:rPr>
                <w:sz w:val="20"/>
                <w:szCs w:val="20"/>
                <w:color w:val="auto"/>
              </w:rPr>
            </w:pPr>
            <w:r>
              <w:rPr>
                <w:rFonts w:ascii="Arial" w:cs="Arial" w:eastAsia="Arial" w:hAnsi="Arial"/>
                <w:sz w:val="14"/>
                <w:szCs w:val="14"/>
                <w:color w:val="auto"/>
              </w:rPr>
              <w:t>100%</w:t>
            </w:r>
          </w:p>
        </w:tc>
        <w:tc>
          <w:tcPr>
            <w:tcW w:w="22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120%</w:t>
            </w:r>
          </w:p>
        </w:tc>
        <w:tc>
          <w:tcPr>
            <w:tcW w:w="168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$1,152,000</w:t>
            </w:r>
          </w:p>
        </w:tc>
        <w:tc>
          <w:tcPr>
            <w:tcW w:w="0" w:type="dxa"/>
            <w:vAlign w:val="bottom"/>
          </w:tcPr>
          <w:p>
            <w:pPr>
              <w:spacing w:after="0"/>
              <w:rPr>
                <w:sz w:val="1"/>
                <w:szCs w:val="1"/>
                <w:color w:val="auto"/>
              </w:rPr>
            </w:pPr>
          </w:p>
        </w:tc>
      </w:tr>
      <w:tr>
        <w:trPr>
          <w:trHeight w:val="198"/>
        </w:trPr>
        <w:tc>
          <w:tcPr>
            <w:tcW w:w="3520" w:type="dxa"/>
            <w:vAlign w:val="bottom"/>
          </w:tcPr>
          <w:p>
            <w:pPr>
              <w:ind w:left="20"/>
              <w:spacing w:after="0"/>
              <w:rPr>
                <w:sz w:val="20"/>
                <w:szCs w:val="20"/>
                <w:color w:val="auto"/>
              </w:rPr>
            </w:pPr>
            <w:r>
              <w:rPr>
                <w:rFonts w:ascii="Arial" w:cs="Arial" w:eastAsia="Arial" w:hAnsi="Arial"/>
                <w:sz w:val="14"/>
                <w:szCs w:val="14"/>
                <w:color w:val="auto"/>
              </w:rPr>
              <w:t>Mr. Myszkowski</w:t>
            </w:r>
          </w:p>
        </w:tc>
        <w:tc>
          <w:tcPr>
            <w:tcW w:w="3760" w:type="dxa"/>
            <w:vAlign w:val="bottom"/>
          </w:tcPr>
          <w:p>
            <w:pPr>
              <w:jc w:val="center"/>
              <w:ind w:left="1888"/>
              <w:spacing w:after="0"/>
              <w:rPr>
                <w:sz w:val="20"/>
                <w:szCs w:val="20"/>
                <w:color w:val="auto"/>
              </w:rPr>
            </w:pPr>
            <w:r>
              <w:rPr>
                <w:rFonts w:ascii="Arial" w:cs="Arial" w:eastAsia="Arial" w:hAnsi="Arial"/>
                <w:sz w:val="14"/>
                <w:szCs w:val="14"/>
                <w:color w:val="auto"/>
                <w:w w:val="99"/>
              </w:rPr>
              <w:t>45%</w:t>
            </w:r>
          </w:p>
        </w:tc>
        <w:tc>
          <w:tcPr>
            <w:tcW w:w="2260" w:type="dxa"/>
            <w:vAlign w:val="bottom"/>
          </w:tcPr>
          <w:p>
            <w:pPr>
              <w:jc w:val="center"/>
              <w:spacing w:after="0"/>
              <w:rPr>
                <w:sz w:val="20"/>
                <w:szCs w:val="20"/>
                <w:color w:val="auto"/>
              </w:rPr>
            </w:pPr>
            <w:r>
              <w:rPr>
                <w:rFonts w:ascii="Arial" w:cs="Arial" w:eastAsia="Arial" w:hAnsi="Arial"/>
                <w:sz w:val="14"/>
                <w:szCs w:val="14"/>
                <w:color w:val="auto"/>
              </w:rPr>
              <w:t>120%</w:t>
            </w:r>
          </w:p>
        </w:tc>
        <w:tc>
          <w:tcPr>
            <w:tcW w:w="1680" w:type="dxa"/>
            <w:vAlign w:val="bottom"/>
          </w:tcPr>
          <w:p>
            <w:pPr>
              <w:jc w:val="right"/>
              <w:ind w:right="168"/>
              <w:spacing w:after="0"/>
              <w:rPr>
                <w:sz w:val="20"/>
                <w:szCs w:val="20"/>
                <w:color w:val="auto"/>
              </w:rPr>
            </w:pPr>
            <w:r>
              <w:rPr>
                <w:rFonts w:ascii="Arial" w:cs="Arial" w:eastAsia="Arial" w:hAnsi="Arial"/>
                <w:sz w:val="14"/>
                <w:szCs w:val="14"/>
                <w:color w:val="auto"/>
              </w:rPr>
              <w:t>$314,496</w:t>
            </w:r>
          </w:p>
        </w:tc>
        <w:tc>
          <w:tcPr>
            <w:tcW w:w="0" w:type="dxa"/>
            <w:vAlign w:val="bottom"/>
          </w:tcPr>
          <w:p>
            <w:pPr>
              <w:spacing w:after="0"/>
              <w:rPr>
                <w:sz w:val="1"/>
                <w:szCs w:val="1"/>
                <w:color w:val="auto"/>
              </w:rPr>
            </w:pPr>
          </w:p>
        </w:tc>
      </w:tr>
      <w:tr>
        <w:trPr>
          <w:trHeight w:val="207"/>
        </w:trPr>
        <w:tc>
          <w:tcPr>
            <w:tcW w:w="3520" w:type="dxa"/>
            <w:vAlign w:val="bottom"/>
            <w:shd w:val="clear" w:color="auto" w:fill="E5E5E5"/>
          </w:tcPr>
          <w:p>
            <w:pPr>
              <w:ind w:left="20"/>
              <w:spacing w:after="0"/>
              <w:rPr>
                <w:sz w:val="20"/>
                <w:szCs w:val="20"/>
                <w:color w:val="auto"/>
              </w:rPr>
            </w:pPr>
            <w:r>
              <w:rPr>
                <w:rFonts w:ascii="Arial" w:cs="Arial" w:eastAsia="Arial" w:hAnsi="Arial"/>
                <w:sz w:val="14"/>
                <w:szCs w:val="14"/>
                <w:color w:val="auto"/>
              </w:rPr>
              <w:t>Mr. O’Brien</w:t>
            </w:r>
          </w:p>
        </w:tc>
        <w:tc>
          <w:tcPr>
            <w:tcW w:w="3760" w:type="dxa"/>
            <w:vAlign w:val="bottom"/>
            <w:shd w:val="clear" w:color="auto" w:fill="E5E5E5"/>
          </w:tcPr>
          <w:p>
            <w:pPr>
              <w:jc w:val="center"/>
              <w:ind w:left="1888"/>
              <w:spacing w:after="0"/>
              <w:rPr>
                <w:sz w:val="20"/>
                <w:szCs w:val="20"/>
                <w:color w:val="auto"/>
              </w:rPr>
            </w:pPr>
            <w:r>
              <w:rPr>
                <w:rFonts w:ascii="Arial" w:cs="Arial" w:eastAsia="Arial" w:hAnsi="Arial"/>
                <w:sz w:val="14"/>
                <w:szCs w:val="14"/>
                <w:color w:val="auto"/>
                <w:w w:val="99"/>
              </w:rPr>
              <w:t>45%</w:t>
            </w:r>
          </w:p>
        </w:tc>
        <w:tc>
          <w:tcPr>
            <w:tcW w:w="226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140%</w:t>
            </w:r>
          </w:p>
        </w:tc>
        <w:tc>
          <w:tcPr>
            <w:tcW w:w="1680" w:type="dxa"/>
            <w:vAlign w:val="bottom"/>
            <w:shd w:val="clear" w:color="auto" w:fill="E5E5E5"/>
          </w:tcPr>
          <w:p>
            <w:pPr>
              <w:jc w:val="right"/>
              <w:ind w:right="168"/>
              <w:spacing w:after="0"/>
              <w:rPr>
                <w:sz w:val="20"/>
                <w:szCs w:val="20"/>
                <w:color w:val="auto"/>
              </w:rPr>
            </w:pPr>
            <w:r>
              <w:rPr>
                <w:rFonts w:ascii="Arial" w:cs="Arial" w:eastAsia="Arial" w:hAnsi="Arial"/>
                <w:sz w:val="14"/>
                <w:szCs w:val="14"/>
                <w:color w:val="auto"/>
              </w:rPr>
              <w:t>$378,000</w:t>
            </w:r>
          </w:p>
        </w:tc>
        <w:tc>
          <w:tcPr>
            <w:tcW w:w="0" w:type="dxa"/>
            <w:vAlign w:val="bottom"/>
          </w:tcPr>
          <w:p>
            <w:pPr>
              <w:spacing w:after="0"/>
              <w:rPr>
                <w:sz w:val="1"/>
                <w:szCs w:val="1"/>
                <w:color w:val="auto"/>
              </w:rPr>
            </w:pPr>
          </w:p>
        </w:tc>
      </w:tr>
      <w:tr>
        <w:trPr>
          <w:trHeight w:val="198"/>
        </w:trPr>
        <w:tc>
          <w:tcPr>
            <w:tcW w:w="3520" w:type="dxa"/>
            <w:vAlign w:val="bottom"/>
          </w:tcPr>
          <w:p>
            <w:pPr>
              <w:ind w:left="20"/>
              <w:spacing w:after="0"/>
              <w:rPr>
                <w:sz w:val="20"/>
                <w:szCs w:val="20"/>
                <w:color w:val="auto"/>
              </w:rPr>
            </w:pPr>
            <w:r>
              <w:rPr>
                <w:rFonts w:ascii="Arial" w:cs="Arial" w:eastAsia="Arial" w:hAnsi="Arial"/>
                <w:sz w:val="14"/>
                <w:szCs w:val="14"/>
                <w:color w:val="auto"/>
              </w:rPr>
              <w:t>Dr. Hamilton</w:t>
            </w:r>
          </w:p>
        </w:tc>
        <w:tc>
          <w:tcPr>
            <w:tcW w:w="3760" w:type="dxa"/>
            <w:vAlign w:val="bottom"/>
          </w:tcPr>
          <w:p>
            <w:pPr>
              <w:jc w:val="center"/>
              <w:ind w:left="1888"/>
              <w:spacing w:after="0"/>
              <w:rPr>
                <w:sz w:val="20"/>
                <w:szCs w:val="20"/>
                <w:color w:val="auto"/>
              </w:rPr>
            </w:pPr>
            <w:r>
              <w:rPr>
                <w:rFonts w:ascii="Arial" w:cs="Arial" w:eastAsia="Arial" w:hAnsi="Arial"/>
                <w:sz w:val="14"/>
                <w:szCs w:val="14"/>
                <w:color w:val="auto"/>
                <w:w w:val="99"/>
              </w:rPr>
              <w:t>45%</w:t>
            </w:r>
          </w:p>
        </w:tc>
        <w:tc>
          <w:tcPr>
            <w:tcW w:w="2260" w:type="dxa"/>
            <w:vAlign w:val="bottom"/>
          </w:tcPr>
          <w:p>
            <w:pPr>
              <w:jc w:val="center"/>
              <w:spacing w:after="0"/>
              <w:rPr>
                <w:sz w:val="20"/>
                <w:szCs w:val="20"/>
                <w:color w:val="auto"/>
              </w:rPr>
            </w:pPr>
            <w:r>
              <w:rPr>
                <w:rFonts w:ascii="Arial" w:cs="Arial" w:eastAsia="Arial" w:hAnsi="Arial"/>
                <w:sz w:val="14"/>
                <w:szCs w:val="14"/>
                <w:color w:val="auto"/>
              </w:rPr>
              <w:t>120%</w:t>
            </w:r>
          </w:p>
        </w:tc>
        <w:tc>
          <w:tcPr>
            <w:tcW w:w="1680" w:type="dxa"/>
            <w:vAlign w:val="bottom"/>
          </w:tcPr>
          <w:p>
            <w:pPr>
              <w:jc w:val="right"/>
              <w:ind w:right="168"/>
              <w:spacing w:after="0"/>
              <w:rPr>
                <w:sz w:val="20"/>
                <w:szCs w:val="20"/>
                <w:color w:val="auto"/>
              </w:rPr>
            </w:pPr>
            <w:r>
              <w:rPr>
                <w:rFonts w:ascii="Arial" w:cs="Arial" w:eastAsia="Arial" w:hAnsi="Arial"/>
                <w:sz w:val="14"/>
                <w:szCs w:val="14"/>
                <w:color w:val="auto"/>
              </w:rPr>
              <w:t>$314,496</w:t>
            </w:r>
          </w:p>
        </w:tc>
        <w:tc>
          <w:tcPr>
            <w:tcW w:w="0" w:type="dxa"/>
            <w:vAlign w:val="bottom"/>
          </w:tcPr>
          <w:p>
            <w:pPr>
              <w:spacing w:after="0"/>
              <w:rPr>
                <w:sz w:val="1"/>
                <w:szCs w:val="1"/>
                <w:color w:val="auto"/>
              </w:rPr>
            </w:pPr>
          </w:p>
        </w:tc>
      </w:tr>
      <w:tr>
        <w:trPr>
          <w:trHeight w:val="207"/>
        </w:trPr>
        <w:tc>
          <w:tcPr>
            <w:tcW w:w="3520" w:type="dxa"/>
            <w:vAlign w:val="bottom"/>
            <w:shd w:val="clear" w:color="auto" w:fill="E5E5E5"/>
          </w:tcPr>
          <w:p>
            <w:pPr>
              <w:ind w:left="20"/>
              <w:spacing w:after="0"/>
              <w:rPr>
                <w:sz w:val="20"/>
                <w:szCs w:val="20"/>
                <w:color w:val="auto"/>
              </w:rPr>
            </w:pPr>
            <w:r>
              <w:rPr>
                <w:rFonts w:ascii="Arial" w:cs="Arial" w:eastAsia="Arial" w:hAnsi="Arial"/>
                <w:sz w:val="14"/>
                <w:szCs w:val="14"/>
                <w:color w:val="auto"/>
              </w:rPr>
              <w:t>Dr. San Martin (2)</w:t>
            </w:r>
          </w:p>
        </w:tc>
        <w:tc>
          <w:tcPr>
            <w:tcW w:w="3760" w:type="dxa"/>
            <w:vAlign w:val="bottom"/>
            <w:shd w:val="clear" w:color="auto" w:fill="E5E5E5"/>
          </w:tcPr>
          <w:p>
            <w:pPr>
              <w:jc w:val="center"/>
              <w:ind w:left="1888"/>
              <w:spacing w:after="0"/>
              <w:rPr>
                <w:sz w:val="20"/>
                <w:szCs w:val="20"/>
                <w:color w:val="auto"/>
              </w:rPr>
            </w:pPr>
            <w:r>
              <w:rPr>
                <w:rFonts w:ascii="Arial" w:cs="Arial" w:eastAsia="Arial" w:hAnsi="Arial"/>
                <w:sz w:val="14"/>
                <w:szCs w:val="14"/>
                <w:color w:val="auto"/>
                <w:w w:val="99"/>
              </w:rPr>
              <w:t>45%</w:t>
            </w:r>
          </w:p>
        </w:tc>
        <w:tc>
          <w:tcPr>
            <w:tcW w:w="226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8"/>
              </w:rPr>
              <w:t>—%</w:t>
            </w:r>
          </w:p>
        </w:tc>
        <w:tc>
          <w:tcPr>
            <w:tcW w:w="1680" w:type="dxa"/>
            <w:vAlign w:val="bottom"/>
            <w:shd w:val="clear" w:color="auto" w:fill="E5E5E5"/>
          </w:tcPr>
          <w:p>
            <w:pPr>
              <w:jc w:val="center"/>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520" w:type="dxa"/>
            <w:vAlign w:val="bottom"/>
            <w:tcBorders>
              <w:bottom w:val="single" w:sz="8" w:color="0071CE"/>
            </w:tcBorders>
          </w:tcPr>
          <w:p>
            <w:pPr>
              <w:ind w:left="20"/>
              <w:spacing w:after="0"/>
              <w:rPr>
                <w:sz w:val="20"/>
                <w:szCs w:val="20"/>
                <w:color w:val="auto"/>
              </w:rPr>
            </w:pPr>
            <w:r>
              <w:rPr>
                <w:rFonts w:ascii="Arial" w:cs="Arial" w:eastAsia="Arial" w:hAnsi="Arial"/>
                <w:sz w:val="14"/>
                <w:szCs w:val="14"/>
                <w:color w:val="auto"/>
              </w:rPr>
              <w:t>Ms. Tracie Oliver (3)</w:t>
            </w:r>
          </w:p>
        </w:tc>
        <w:tc>
          <w:tcPr>
            <w:tcW w:w="3760" w:type="dxa"/>
            <w:vAlign w:val="bottom"/>
            <w:tcBorders>
              <w:bottom w:val="single" w:sz="8" w:color="0071CE"/>
            </w:tcBorders>
          </w:tcPr>
          <w:p>
            <w:pPr>
              <w:jc w:val="center"/>
              <w:ind w:left="1888"/>
              <w:spacing w:after="0"/>
              <w:rPr>
                <w:sz w:val="20"/>
                <w:szCs w:val="20"/>
                <w:color w:val="auto"/>
              </w:rPr>
            </w:pPr>
            <w:r>
              <w:rPr>
                <w:rFonts w:ascii="Arial" w:cs="Arial" w:eastAsia="Arial" w:hAnsi="Arial"/>
                <w:sz w:val="14"/>
                <w:szCs w:val="14"/>
                <w:color w:val="auto"/>
                <w:w w:val="99"/>
              </w:rPr>
              <w:t>40%</w:t>
            </w:r>
          </w:p>
        </w:tc>
        <w:tc>
          <w:tcPr>
            <w:tcW w:w="2260" w:type="dxa"/>
            <w:vAlign w:val="bottom"/>
            <w:tcBorders>
              <w:bottom w:val="single" w:sz="8" w:color="0071CE"/>
            </w:tcBorders>
          </w:tcPr>
          <w:p>
            <w:pPr>
              <w:jc w:val="center"/>
              <w:spacing w:after="0"/>
              <w:rPr>
                <w:sz w:val="20"/>
                <w:szCs w:val="20"/>
                <w:color w:val="auto"/>
              </w:rPr>
            </w:pPr>
            <w:r>
              <w:rPr>
                <w:rFonts w:ascii="Arial" w:cs="Arial" w:eastAsia="Arial" w:hAnsi="Arial"/>
                <w:sz w:val="14"/>
                <w:szCs w:val="14"/>
                <w:color w:val="auto"/>
                <w:w w:val="98"/>
              </w:rPr>
              <w:t>—%</w:t>
            </w:r>
          </w:p>
        </w:tc>
        <w:tc>
          <w:tcPr>
            <w:tcW w:w="1680" w:type="dxa"/>
            <w:vAlign w:val="bottom"/>
            <w:tcBorders>
              <w:bottom w:val="single" w:sz="8" w:color="0071CE"/>
            </w:tcBorders>
          </w:tcPr>
          <w:p>
            <w:pPr>
              <w:jc w:val="center"/>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right="300" w:firstLine="48"/>
        <w:spacing w:after="0" w:line="241" w:lineRule="auto"/>
        <w:tabs>
          <w:tab w:leader="none" w:pos="256" w:val="left"/>
        </w:tabs>
        <w:numPr>
          <w:ilvl w:val="1"/>
          <w:numId w:val="55"/>
        </w:numPr>
        <w:rPr>
          <w:rFonts w:ascii="Arial" w:cs="Arial" w:eastAsia="Arial" w:hAnsi="Arial"/>
          <w:sz w:val="14"/>
          <w:szCs w:val="14"/>
          <w:color w:val="auto"/>
        </w:rPr>
      </w:pPr>
      <w:r>
        <w:rPr>
          <w:rFonts w:ascii="Arial" w:cs="Arial" w:eastAsia="Arial" w:hAnsi="Arial"/>
          <w:sz w:val="14"/>
          <w:szCs w:val="14"/>
          <w:color w:val="auto"/>
        </w:rPr>
        <w:t>Dr. Anzalone received an initial bonus of $960,000, which was paid in December 2024 and an additional bonus of $192,000 which will be paid upon receipt of Hart Scott Rodino clearance of the Sarepta transaction.</w:t>
      </w:r>
    </w:p>
    <w:p>
      <w:pPr>
        <w:spacing w:after="0" w:line="1" w:lineRule="exact"/>
        <w:rPr>
          <w:rFonts w:ascii="Arial" w:cs="Arial" w:eastAsia="Arial" w:hAnsi="Arial"/>
          <w:sz w:val="14"/>
          <w:szCs w:val="14"/>
          <w:color w:val="auto"/>
        </w:rPr>
      </w:pPr>
    </w:p>
    <w:p>
      <w:pPr>
        <w:ind w:left="220" w:hanging="212"/>
        <w:spacing w:after="0" w:line="221" w:lineRule="auto"/>
        <w:tabs>
          <w:tab w:leader="none" w:pos="2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Dr. San Martin left the Company on February 1, 2024 and did not receive an annual incentive award.</w:t>
      </w:r>
    </w:p>
    <w:p>
      <w:pPr>
        <w:ind w:left="220" w:hanging="212"/>
        <w:spacing w:after="0"/>
        <w:tabs>
          <w:tab w:leader="none" w:pos="2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Ms. Oliver served as the Company's Chief Commercial Officer until October 2024 and did not receive an annual incentive award.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annual cash incentive award payments made to our NEOs for fiscal 2024 are set forth in the “Fiscal 2024 Summary Compensation Table” below.</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Compensation</w:t>
      </w:r>
    </w:p>
    <w:p>
      <w:pPr>
        <w:spacing w:after="0" w:line="2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view long-term incentive compensation in the form of equity awards as a critical element of our executive compensation program. The realizable value of these equity awards over time bears a direct relationship to our stock price, and, therefore, these awards are an incentive for our executive officers, including our NEOs, to create value for our stockholders. Equity awards also help us retain qualified executive officers in a competitive market.</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Long-term incentive compensation opportunities in the form of equity awards are granted to our executive officers by the Compensation Committee. The amount and forms of such equity awards are determined by the Compensation Committee after considering the factors described in “Governance of Executive Compensation Program — Compensation-Setting Process” above.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2024 Long-Term Incentive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Performance-Based RSU Award for Chief Executive Officer</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Annual equity awards granted to our executive officers are solely in the form of RSU awards that may be settled for shares of our common stock.</w:t>
      </w:r>
    </w:p>
    <w:p>
      <w:pPr>
        <w:spacing w:after="0" w:line="24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Our CEO's fiscal 2024 award was designed entirely as a performance-based award consisting of 340,000 PRSUs that will only vest upon the completion of a single performance trigger of a cash inflow to the Company of $1 billion by June 30, 2025. The CEO's fiscal 2024 award was also designed with the intention that the Compensation Committee would not certify performance prior to December 21, 2024 ,without good reasons, in accordance with the Company's 2021 Incentive Compensation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from PRSU Awards Previously Granted</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In fiscal 2024, the Compensation Committee certified achievement of the performance milestones relating to the following PRSU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509270</wp:posOffset>
            </wp:positionV>
            <wp:extent cx="986155" cy="2057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E"/>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80" w:type="dxa"/>
            <w:vAlign w:val="bottom"/>
            <w:vMerge w:val="restart"/>
            <w:shd w:val="clear" w:color="auto" w:fill="0071CE"/>
          </w:tcPr>
          <w:p>
            <w:pPr>
              <w:ind w:left="1220"/>
              <w:spacing w:after="0"/>
              <w:rPr>
                <w:sz w:val="20"/>
                <w:szCs w:val="20"/>
                <w:color w:val="auto"/>
              </w:rPr>
            </w:pPr>
            <w:r>
              <w:rPr>
                <w:rFonts w:ascii="Arial" w:cs="Arial" w:eastAsia="Arial" w:hAnsi="Arial"/>
                <w:sz w:val="14"/>
                <w:szCs w:val="14"/>
                <w:b w:val="1"/>
                <w:bCs w:val="1"/>
                <w:color w:val="FFFFFF"/>
              </w:rPr>
              <w:t>Performance Goal</w:t>
            </w:r>
          </w:p>
        </w:tc>
        <w:tc>
          <w:tcPr>
            <w:tcW w:w="3460" w:type="dxa"/>
            <w:vAlign w:val="bottom"/>
            <w:vMerge w:val="restart"/>
            <w:shd w:val="clear" w:color="auto" w:fill="0071CE"/>
          </w:tcPr>
          <w:p>
            <w:pPr>
              <w:ind w:left="1700"/>
              <w:spacing w:after="0"/>
              <w:rPr>
                <w:sz w:val="20"/>
                <w:szCs w:val="20"/>
                <w:color w:val="auto"/>
              </w:rPr>
            </w:pPr>
            <w:r>
              <w:rPr>
                <w:rFonts w:ascii="Arial" w:cs="Arial" w:eastAsia="Arial" w:hAnsi="Arial"/>
                <w:sz w:val="14"/>
                <w:szCs w:val="14"/>
                <w:b w:val="1"/>
                <w:bCs w:val="1"/>
                <w:color w:val="FFFFFF"/>
              </w:rPr>
              <w:t>Achievement</w:t>
            </w:r>
          </w:p>
        </w:tc>
        <w:tc>
          <w:tcPr>
            <w:tcW w:w="4100" w:type="dxa"/>
            <w:vAlign w:val="bottom"/>
            <w:shd w:val="clear" w:color="auto" w:fill="0071CE"/>
          </w:tcPr>
          <w:p>
            <w:pPr>
              <w:jc w:val="center"/>
              <w:ind w:left="765"/>
              <w:spacing w:after="0"/>
              <w:rPr>
                <w:sz w:val="20"/>
                <w:szCs w:val="20"/>
                <w:color w:val="auto"/>
              </w:rPr>
            </w:pPr>
            <w:r>
              <w:rPr>
                <w:rFonts w:ascii="Arial" w:cs="Arial" w:eastAsia="Arial" w:hAnsi="Arial"/>
                <w:sz w:val="14"/>
                <w:szCs w:val="14"/>
                <w:b w:val="1"/>
                <w:bCs w:val="1"/>
                <w:color w:val="FFFFFF"/>
              </w:rPr>
              <w:t>No. of Shares</w:t>
            </w:r>
          </w:p>
        </w:tc>
        <w:tc>
          <w:tcPr>
            <w:tcW w:w="20" w:type="dxa"/>
            <w:vAlign w:val="bottom"/>
            <w:shd w:val="clear" w:color="auto" w:fill="0071C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80" w:type="dxa"/>
            <w:vAlign w:val="bottom"/>
            <w:vMerge w:val="continue"/>
            <w:shd w:val="clear" w:color="auto" w:fill="0071CE"/>
          </w:tcPr>
          <w:p>
            <w:pPr>
              <w:spacing w:after="0"/>
              <w:rPr>
                <w:sz w:val="17"/>
                <w:szCs w:val="17"/>
                <w:color w:val="auto"/>
              </w:rPr>
            </w:pPr>
          </w:p>
        </w:tc>
        <w:tc>
          <w:tcPr>
            <w:tcW w:w="3460" w:type="dxa"/>
            <w:vAlign w:val="bottom"/>
            <w:vMerge w:val="continue"/>
            <w:shd w:val="clear" w:color="auto" w:fill="0071CE"/>
          </w:tcPr>
          <w:p>
            <w:pPr>
              <w:spacing w:after="0"/>
              <w:rPr>
                <w:sz w:val="17"/>
                <w:szCs w:val="17"/>
                <w:color w:val="auto"/>
              </w:rPr>
            </w:pPr>
          </w:p>
        </w:tc>
        <w:tc>
          <w:tcPr>
            <w:tcW w:w="4100" w:type="dxa"/>
            <w:vAlign w:val="bottom"/>
            <w:shd w:val="clear" w:color="auto" w:fill="0071CE"/>
          </w:tcPr>
          <w:p>
            <w:pPr>
              <w:jc w:val="center"/>
              <w:ind w:left="765"/>
              <w:spacing w:after="0"/>
              <w:rPr>
                <w:sz w:val="20"/>
                <w:szCs w:val="20"/>
                <w:color w:val="auto"/>
              </w:rPr>
            </w:pPr>
            <w:r>
              <w:rPr>
                <w:rFonts w:ascii="Arial" w:cs="Arial" w:eastAsia="Arial" w:hAnsi="Arial"/>
                <w:sz w:val="14"/>
                <w:szCs w:val="14"/>
                <w:b w:val="1"/>
                <w:bCs w:val="1"/>
                <w:color w:val="FFFFFF"/>
              </w:rPr>
              <w:t>Certified as Vested</w:t>
            </w:r>
          </w:p>
        </w:tc>
        <w:tc>
          <w:tcPr>
            <w:tcW w:w="20" w:type="dxa"/>
            <w:vAlign w:val="bottom"/>
            <w:shd w:val="clear" w:color="auto" w:fill="0071C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680" w:type="dxa"/>
            <w:vAlign w:val="bottom"/>
            <w:shd w:val="clear" w:color="auto" w:fill="0071CE"/>
          </w:tcPr>
          <w:p>
            <w:pPr>
              <w:spacing w:after="0"/>
              <w:rPr>
                <w:sz w:val="15"/>
                <w:szCs w:val="15"/>
                <w:color w:val="auto"/>
              </w:rPr>
            </w:pPr>
          </w:p>
        </w:tc>
        <w:tc>
          <w:tcPr>
            <w:tcW w:w="3460" w:type="dxa"/>
            <w:vAlign w:val="bottom"/>
            <w:shd w:val="clear" w:color="auto" w:fill="0071CE"/>
          </w:tcPr>
          <w:p>
            <w:pPr>
              <w:spacing w:after="0"/>
              <w:rPr>
                <w:sz w:val="15"/>
                <w:szCs w:val="15"/>
                <w:color w:val="auto"/>
              </w:rPr>
            </w:pPr>
          </w:p>
        </w:tc>
        <w:tc>
          <w:tcPr>
            <w:tcW w:w="4100" w:type="dxa"/>
            <w:vAlign w:val="bottom"/>
            <w:shd w:val="clear" w:color="auto" w:fill="0071CE"/>
          </w:tcPr>
          <w:p>
            <w:pPr>
              <w:spacing w:after="0"/>
              <w:rPr>
                <w:sz w:val="15"/>
                <w:szCs w:val="15"/>
                <w:color w:val="auto"/>
              </w:rPr>
            </w:pPr>
          </w:p>
        </w:tc>
        <w:tc>
          <w:tcPr>
            <w:tcW w:w="20" w:type="dxa"/>
            <w:vAlign w:val="bottom"/>
            <w:shd w:val="clear" w:color="auto" w:fill="0071C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E5E5E5"/>
          </w:tcPr>
          <w:p>
            <w:pPr>
              <w:ind w:left="20"/>
              <w:spacing w:after="0"/>
              <w:rPr>
                <w:sz w:val="20"/>
                <w:szCs w:val="20"/>
                <w:color w:val="auto"/>
              </w:rPr>
            </w:pPr>
            <w:r>
              <w:rPr>
                <w:rFonts w:ascii="Arial" w:cs="Arial" w:eastAsia="Arial" w:hAnsi="Arial"/>
                <w:sz w:val="16"/>
                <w:szCs w:val="16"/>
                <w:color w:val="auto"/>
              </w:rPr>
              <w:t>Maintain clinical trials concurrently in four different</w:t>
            </w:r>
          </w:p>
        </w:tc>
        <w:tc>
          <w:tcPr>
            <w:tcW w:w="3460" w:type="dxa"/>
            <w:vAlign w:val="bottom"/>
            <w:shd w:val="clear" w:color="auto" w:fill="E5E5E5"/>
          </w:tcPr>
          <w:p>
            <w:pPr>
              <w:ind w:left="280"/>
              <w:spacing w:after="0"/>
              <w:rPr>
                <w:sz w:val="20"/>
                <w:szCs w:val="20"/>
                <w:color w:val="auto"/>
              </w:rPr>
            </w:pPr>
            <w:r>
              <w:rPr>
                <w:rFonts w:ascii="Arial" w:cs="Arial" w:eastAsia="Arial" w:hAnsi="Arial"/>
                <w:sz w:val="16"/>
                <w:szCs w:val="16"/>
                <w:color w:val="auto"/>
              </w:rPr>
              <w:t>Certified in October 2023</w:t>
            </w:r>
          </w:p>
        </w:tc>
        <w:tc>
          <w:tcPr>
            <w:tcW w:w="4100" w:type="dxa"/>
            <w:vAlign w:val="bottom"/>
            <w:shd w:val="clear" w:color="auto" w:fill="E5E5E5"/>
          </w:tcPr>
          <w:p>
            <w:pPr>
              <w:ind w:left="860"/>
              <w:spacing w:after="0"/>
              <w:rPr>
                <w:sz w:val="20"/>
                <w:szCs w:val="20"/>
                <w:color w:val="auto"/>
              </w:rPr>
            </w:pPr>
            <w:r>
              <w:rPr>
                <w:rFonts w:ascii="Arial" w:cs="Arial" w:eastAsia="Arial" w:hAnsi="Arial"/>
                <w:sz w:val="16"/>
                <w:szCs w:val="16"/>
                <w:color w:val="auto"/>
              </w:rPr>
              <w:t>46,805 shares pursuant to a PRSU award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680" w:type="dxa"/>
            <w:vAlign w:val="bottom"/>
            <w:shd w:val="clear" w:color="auto" w:fill="E5E5E5"/>
          </w:tcPr>
          <w:p>
            <w:pPr>
              <w:ind w:left="20"/>
              <w:spacing w:after="0"/>
              <w:rPr>
                <w:sz w:val="20"/>
                <w:szCs w:val="20"/>
                <w:color w:val="auto"/>
              </w:rPr>
            </w:pPr>
            <w:r>
              <w:rPr>
                <w:rFonts w:ascii="Arial" w:cs="Arial" w:eastAsia="Arial" w:hAnsi="Arial"/>
                <w:sz w:val="16"/>
                <w:szCs w:val="16"/>
                <w:color w:val="auto"/>
              </w:rPr>
              <w:t>tissue types (hepatic, pulmonary, and two others).</w:t>
            </w:r>
          </w:p>
        </w:tc>
        <w:tc>
          <w:tcPr>
            <w:tcW w:w="3460" w:type="dxa"/>
            <w:vAlign w:val="bottom"/>
            <w:shd w:val="clear" w:color="auto" w:fill="E5E5E5"/>
          </w:tcPr>
          <w:p>
            <w:pPr>
              <w:spacing w:after="0"/>
              <w:rPr>
                <w:sz w:val="18"/>
                <w:szCs w:val="18"/>
                <w:color w:val="auto"/>
              </w:rPr>
            </w:pPr>
          </w:p>
        </w:tc>
        <w:tc>
          <w:tcPr>
            <w:tcW w:w="410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3"/>
        </w:trPr>
        <w:tc>
          <w:tcPr>
            <w:tcW w:w="3680" w:type="dxa"/>
            <w:vAlign w:val="bottom"/>
            <w:tcBorders>
              <w:bottom w:val="single" w:sz="8" w:color="0071CE"/>
            </w:tcBorders>
            <w:shd w:val="clear" w:color="auto" w:fill="E5E5E5"/>
          </w:tcPr>
          <w:p>
            <w:pPr>
              <w:ind w:left="20"/>
              <w:spacing w:after="0"/>
              <w:rPr>
                <w:sz w:val="20"/>
                <w:szCs w:val="20"/>
                <w:color w:val="auto"/>
              </w:rPr>
            </w:pPr>
            <w:r>
              <w:rPr>
                <w:rFonts w:ascii="Arial" w:cs="Arial" w:eastAsia="Arial" w:hAnsi="Arial"/>
                <w:sz w:val="16"/>
                <w:szCs w:val="16"/>
                <w:i w:val="1"/>
                <w:iCs w:val="1"/>
                <w:color w:val="auto"/>
              </w:rPr>
              <w:t>Issued 12/2022</w:t>
            </w:r>
          </w:p>
        </w:tc>
        <w:tc>
          <w:tcPr>
            <w:tcW w:w="3460" w:type="dxa"/>
            <w:vAlign w:val="bottom"/>
            <w:tcBorders>
              <w:bottom w:val="single" w:sz="8" w:color="0071CE"/>
            </w:tcBorders>
            <w:shd w:val="clear" w:color="auto" w:fill="E5E5E5"/>
          </w:tcPr>
          <w:p>
            <w:pPr>
              <w:spacing w:after="0"/>
              <w:rPr>
                <w:sz w:val="24"/>
                <w:szCs w:val="24"/>
                <w:color w:val="auto"/>
              </w:rPr>
            </w:pPr>
          </w:p>
        </w:tc>
        <w:tc>
          <w:tcPr>
            <w:tcW w:w="4100" w:type="dxa"/>
            <w:vAlign w:val="bottom"/>
            <w:tcBorders>
              <w:bottom w:val="single" w:sz="8" w:color="0071CE"/>
            </w:tcBorders>
            <w:shd w:val="clear" w:color="auto" w:fill="E5E5E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RSU Awards for Other Named Executive Officers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approved the following aggregate RSU awards for our other NEOs for 2024:</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80" w:type="dxa"/>
            <w:vAlign w:val="bottom"/>
            <w:vMerge w:val="restart"/>
            <w:shd w:val="clear" w:color="auto" w:fill="0071CE"/>
          </w:tcPr>
          <w:p>
            <w:pPr>
              <w:ind w:left="140"/>
              <w:spacing w:after="0"/>
              <w:rPr>
                <w:sz w:val="20"/>
                <w:szCs w:val="20"/>
                <w:color w:val="auto"/>
              </w:rPr>
            </w:pPr>
            <w:r>
              <w:rPr>
                <w:rFonts w:ascii="Arial" w:cs="Arial" w:eastAsia="Arial" w:hAnsi="Arial"/>
                <w:sz w:val="14"/>
                <w:szCs w:val="14"/>
                <w:b w:val="1"/>
                <w:bCs w:val="1"/>
                <w:color w:val="FFFFFF"/>
              </w:rPr>
              <w:t>Named Executive</w:t>
            </w:r>
          </w:p>
        </w:tc>
        <w:tc>
          <w:tcPr>
            <w:tcW w:w="4680" w:type="dxa"/>
            <w:vAlign w:val="bottom"/>
            <w:shd w:val="clear" w:color="auto" w:fill="0071CE"/>
          </w:tcPr>
          <w:p>
            <w:pPr>
              <w:jc w:val="center"/>
              <w:ind w:left="1697"/>
              <w:spacing w:after="0"/>
              <w:rPr>
                <w:sz w:val="20"/>
                <w:szCs w:val="20"/>
                <w:color w:val="auto"/>
              </w:rPr>
            </w:pPr>
            <w:r>
              <w:rPr>
                <w:rFonts w:ascii="Arial" w:cs="Arial" w:eastAsia="Arial" w:hAnsi="Arial"/>
                <w:sz w:val="14"/>
                <w:szCs w:val="14"/>
                <w:b w:val="1"/>
                <w:bCs w:val="1"/>
                <w:color w:val="FFFFFF"/>
              </w:rPr>
              <w:t>Restricted Stock Unit</w:t>
            </w:r>
          </w:p>
        </w:tc>
        <w:tc>
          <w:tcPr>
            <w:tcW w:w="2560" w:type="dxa"/>
            <w:vAlign w:val="bottom"/>
            <w:shd w:val="clear" w:color="auto" w:fill="0071CE"/>
          </w:tcPr>
          <w:p>
            <w:pPr>
              <w:jc w:val="right"/>
              <w:ind w:right="277"/>
              <w:spacing w:after="0"/>
              <w:rPr>
                <w:sz w:val="20"/>
                <w:szCs w:val="20"/>
                <w:color w:val="auto"/>
              </w:rPr>
            </w:pPr>
            <w:r>
              <w:rPr>
                <w:rFonts w:ascii="Arial" w:cs="Arial" w:eastAsia="Arial" w:hAnsi="Arial"/>
                <w:sz w:val="14"/>
                <w:szCs w:val="14"/>
                <w:b w:val="1"/>
                <w:bCs w:val="1"/>
                <w:color w:val="FFFFFF"/>
              </w:rPr>
              <w:t>Restricted Stock Unit</w:t>
            </w:r>
          </w:p>
        </w:tc>
        <w:tc>
          <w:tcPr>
            <w:tcW w:w="0" w:type="dxa"/>
            <w:vAlign w:val="bottom"/>
          </w:tcPr>
          <w:p>
            <w:pPr>
              <w:spacing w:after="0"/>
              <w:rPr>
                <w:sz w:val="1"/>
                <w:szCs w:val="1"/>
                <w:color w:val="auto"/>
              </w:rPr>
            </w:pPr>
          </w:p>
        </w:tc>
      </w:tr>
      <w:tr>
        <w:trPr>
          <w:trHeight w:val="148"/>
        </w:trPr>
        <w:tc>
          <w:tcPr>
            <w:tcW w:w="3980" w:type="dxa"/>
            <w:vAlign w:val="bottom"/>
            <w:vMerge w:val="continue"/>
            <w:shd w:val="clear" w:color="auto" w:fill="0071CE"/>
          </w:tcPr>
          <w:p>
            <w:pPr>
              <w:spacing w:after="0"/>
              <w:rPr>
                <w:sz w:val="12"/>
                <w:szCs w:val="12"/>
                <w:color w:val="auto"/>
              </w:rPr>
            </w:pPr>
          </w:p>
        </w:tc>
        <w:tc>
          <w:tcPr>
            <w:tcW w:w="4680" w:type="dxa"/>
            <w:vAlign w:val="bottom"/>
            <w:shd w:val="clear" w:color="auto" w:fill="0071CE"/>
          </w:tcPr>
          <w:p>
            <w:pPr>
              <w:jc w:val="center"/>
              <w:ind w:left="1677"/>
              <w:spacing w:after="0" w:line="149" w:lineRule="exact"/>
              <w:rPr>
                <w:sz w:val="20"/>
                <w:szCs w:val="20"/>
                <w:color w:val="auto"/>
              </w:rPr>
            </w:pPr>
            <w:r>
              <w:rPr>
                <w:rFonts w:ascii="Arial" w:cs="Arial" w:eastAsia="Arial" w:hAnsi="Arial"/>
                <w:sz w:val="14"/>
                <w:szCs w:val="14"/>
                <w:b w:val="1"/>
                <w:bCs w:val="1"/>
                <w:color w:val="FFFFFF"/>
              </w:rPr>
              <w:t>Awards</w:t>
            </w:r>
          </w:p>
        </w:tc>
        <w:tc>
          <w:tcPr>
            <w:tcW w:w="2560" w:type="dxa"/>
            <w:vAlign w:val="bottom"/>
            <w:shd w:val="clear" w:color="auto" w:fill="0071CE"/>
          </w:tcPr>
          <w:p>
            <w:pPr>
              <w:jc w:val="right"/>
              <w:ind w:right="737"/>
              <w:spacing w:after="0" w:line="149" w:lineRule="exact"/>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189"/>
        </w:trPr>
        <w:tc>
          <w:tcPr>
            <w:tcW w:w="3980" w:type="dxa"/>
            <w:vAlign w:val="bottom"/>
            <w:shd w:val="clear" w:color="auto" w:fill="0071CE"/>
          </w:tcPr>
          <w:p>
            <w:pPr>
              <w:ind w:left="140"/>
              <w:spacing w:after="0"/>
              <w:rPr>
                <w:sz w:val="20"/>
                <w:szCs w:val="20"/>
                <w:color w:val="auto"/>
              </w:rPr>
            </w:pPr>
            <w:r>
              <w:rPr>
                <w:rFonts w:ascii="Arial" w:cs="Arial" w:eastAsia="Arial" w:hAnsi="Arial"/>
                <w:sz w:val="14"/>
                <w:szCs w:val="14"/>
                <w:b w:val="1"/>
                <w:bCs w:val="1"/>
                <w:color w:val="FFFFFF"/>
              </w:rPr>
              <w:t>Officer</w:t>
            </w:r>
          </w:p>
        </w:tc>
        <w:tc>
          <w:tcPr>
            <w:tcW w:w="4680" w:type="dxa"/>
            <w:vAlign w:val="bottom"/>
            <w:shd w:val="clear" w:color="auto" w:fill="0071CE"/>
          </w:tcPr>
          <w:p>
            <w:pPr>
              <w:jc w:val="center"/>
              <w:ind w:left="1697"/>
              <w:spacing w:after="0"/>
              <w:rPr>
                <w:sz w:val="20"/>
                <w:szCs w:val="20"/>
                <w:color w:val="auto"/>
              </w:rPr>
            </w:pPr>
            <w:r>
              <w:rPr>
                <w:rFonts w:ascii="Arial" w:cs="Arial" w:eastAsia="Arial" w:hAnsi="Arial"/>
                <w:sz w:val="14"/>
                <w:szCs w:val="14"/>
                <w:b w:val="1"/>
                <w:bCs w:val="1"/>
                <w:color w:val="FFFFFF"/>
              </w:rPr>
              <w:t>(number of shares)</w:t>
            </w:r>
          </w:p>
        </w:tc>
        <w:tc>
          <w:tcPr>
            <w:tcW w:w="2560" w:type="dxa"/>
            <w:vAlign w:val="bottom"/>
            <w:shd w:val="clear" w:color="auto" w:fill="0071CE"/>
          </w:tcPr>
          <w:p>
            <w:pPr>
              <w:jc w:val="center"/>
              <w:ind w:left="337"/>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30"/>
        </w:trPr>
        <w:tc>
          <w:tcPr>
            <w:tcW w:w="3980" w:type="dxa"/>
            <w:vAlign w:val="bottom"/>
            <w:shd w:val="clear" w:color="auto" w:fill="E5E5E5"/>
          </w:tcPr>
          <w:p>
            <w:pPr>
              <w:ind w:left="120"/>
              <w:spacing w:after="0"/>
              <w:rPr>
                <w:sz w:val="20"/>
                <w:szCs w:val="20"/>
                <w:color w:val="auto"/>
              </w:rPr>
            </w:pPr>
            <w:r>
              <w:rPr>
                <w:rFonts w:ascii="Arial" w:cs="Arial" w:eastAsia="Arial" w:hAnsi="Arial"/>
                <w:sz w:val="18"/>
                <w:szCs w:val="18"/>
                <w:color w:val="auto"/>
              </w:rPr>
              <w:t>Mr. Myszkowski</w:t>
            </w:r>
          </w:p>
        </w:tc>
        <w:tc>
          <w:tcPr>
            <w:tcW w:w="4680" w:type="dxa"/>
            <w:vAlign w:val="bottom"/>
            <w:shd w:val="clear" w:color="auto" w:fill="E5E5E5"/>
          </w:tcPr>
          <w:p>
            <w:pPr>
              <w:jc w:val="center"/>
              <w:ind w:left="1697"/>
              <w:spacing w:after="0"/>
              <w:rPr>
                <w:sz w:val="20"/>
                <w:szCs w:val="20"/>
                <w:color w:val="auto"/>
              </w:rPr>
            </w:pPr>
            <w:r>
              <w:rPr>
                <w:rFonts w:ascii="Arial" w:cs="Arial" w:eastAsia="Arial" w:hAnsi="Arial"/>
                <w:sz w:val="18"/>
                <w:szCs w:val="18"/>
                <w:color w:val="auto"/>
                <w:w w:val="98"/>
              </w:rPr>
              <w:t>75,000</w:t>
            </w:r>
          </w:p>
        </w:tc>
        <w:tc>
          <w:tcPr>
            <w:tcW w:w="2560" w:type="dxa"/>
            <w:vAlign w:val="bottom"/>
            <w:shd w:val="clear" w:color="auto" w:fill="E5E5E5"/>
          </w:tcPr>
          <w:p>
            <w:pPr>
              <w:jc w:val="center"/>
              <w:ind w:left="337"/>
              <w:spacing w:after="0"/>
              <w:rPr>
                <w:sz w:val="20"/>
                <w:szCs w:val="20"/>
                <w:color w:val="auto"/>
              </w:rPr>
            </w:pPr>
            <w:r>
              <w:rPr>
                <w:rFonts w:ascii="Arial" w:cs="Arial" w:eastAsia="Arial" w:hAnsi="Arial"/>
                <w:sz w:val="18"/>
                <w:szCs w:val="18"/>
                <w:color w:val="auto"/>
                <w:w w:val="99"/>
              </w:rPr>
              <w:t>$2,589,750</w:t>
            </w:r>
          </w:p>
        </w:tc>
        <w:tc>
          <w:tcPr>
            <w:tcW w:w="0" w:type="dxa"/>
            <w:vAlign w:val="bottom"/>
          </w:tcPr>
          <w:p>
            <w:pPr>
              <w:spacing w:after="0"/>
              <w:rPr>
                <w:sz w:val="1"/>
                <w:szCs w:val="1"/>
                <w:color w:val="auto"/>
              </w:rPr>
            </w:pPr>
          </w:p>
        </w:tc>
      </w:tr>
      <w:tr>
        <w:trPr>
          <w:trHeight w:val="229"/>
        </w:trPr>
        <w:tc>
          <w:tcPr>
            <w:tcW w:w="3980" w:type="dxa"/>
            <w:vAlign w:val="bottom"/>
          </w:tcPr>
          <w:p>
            <w:pPr>
              <w:ind w:left="120"/>
              <w:spacing w:after="0"/>
              <w:rPr>
                <w:sz w:val="20"/>
                <w:szCs w:val="20"/>
                <w:color w:val="auto"/>
              </w:rPr>
            </w:pPr>
            <w:r>
              <w:rPr>
                <w:rFonts w:ascii="Arial" w:cs="Arial" w:eastAsia="Arial" w:hAnsi="Arial"/>
                <w:sz w:val="18"/>
                <w:szCs w:val="18"/>
                <w:color w:val="auto"/>
              </w:rPr>
              <w:t>Mr. O’Brien</w:t>
            </w:r>
          </w:p>
        </w:tc>
        <w:tc>
          <w:tcPr>
            <w:tcW w:w="4680" w:type="dxa"/>
            <w:vAlign w:val="bottom"/>
          </w:tcPr>
          <w:p>
            <w:pPr>
              <w:jc w:val="center"/>
              <w:ind w:left="1697"/>
              <w:spacing w:after="0"/>
              <w:rPr>
                <w:sz w:val="20"/>
                <w:szCs w:val="20"/>
                <w:color w:val="auto"/>
              </w:rPr>
            </w:pPr>
            <w:r>
              <w:rPr>
                <w:rFonts w:ascii="Arial" w:cs="Arial" w:eastAsia="Arial" w:hAnsi="Arial"/>
                <w:sz w:val="18"/>
                <w:szCs w:val="18"/>
                <w:color w:val="auto"/>
                <w:w w:val="98"/>
              </w:rPr>
              <w:t>85,000</w:t>
            </w:r>
          </w:p>
        </w:tc>
        <w:tc>
          <w:tcPr>
            <w:tcW w:w="2560" w:type="dxa"/>
            <w:vAlign w:val="bottom"/>
          </w:tcPr>
          <w:p>
            <w:pPr>
              <w:jc w:val="center"/>
              <w:ind w:left="337"/>
              <w:spacing w:after="0"/>
              <w:rPr>
                <w:sz w:val="20"/>
                <w:szCs w:val="20"/>
                <w:color w:val="auto"/>
              </w:rPr>
            </w:pPr>
            <w:r>
              <w:rPr>
                <w:rFonts w:ascii="Arial" w:cs="Arial" w:eastAsia="Arial" w:hAnsi="Arial"/>
                <w:sz w:val="18"/>
                <w:szCs w:val="18"/>
                <w:color w:val="auto"/>
                <w:w w:val="99"/>
              </w:rPr>
              <w:t>$2,935,050</w:t>
            </w:r>
          </w:p>
        </w:tc>
        <w:tc>
          <w:tcPr>
            <w:tcW w:w="0" w:type="dxa"/>
            <w:vAlign w:val="bottom"/>
          </w:tcPr>
          <w:p>
            <w:pPr>
              <w:spacing w:after="0"/>
              <w:rPr>
                <w:sz w:val="1"/>
                <w:szCs w:val="1"/>
                <w:color w:val="auto"/>
              </w:rPr>
            </w:pPr>
          </w:p>
        </w:tc>
      </w:tr>
      <w:tr>
        <w:trPr>
          <w:trHeight w:val="229"/>
        </w:trPr>
        <w:tc>
          <w:tcPr>
            <w:tcW w:w="3980" w:type="dxa"/>
            <w:vAlign w:val="bottom"/>
            <w:shd w:val="clear" w:color="auto" w:fill="E5E5E5"/>
          </w:tcPr>
          <w:p>
            <w:pPr>
              <w:ind w:left="120"/>
              <w:spacing w:after="0"/>
              <w:rPr>
                <w:sz w:val="20"/>
                <w:szCs w:val="20"/>
                <w:color w:val="auto"/>
              </w:rPr>
            </w:pPr>
            <w:r>
              <w:rPr>
                <w:rFonts w:ascii="Arial" w:cs="Arial" w:eastAsia="Arial" w:hAnsi="Arial"/>
                <w:sz w:val="18"/>
                <w:szCs w:val="18"/>
                <w:color w:val="auto"/>
              </w:rPr>
              <w:t>Dr. Hamilton</w:t>
            </w:r>
          </w:p>
        </w:tc>
        <w:tc>
          <w:tcPr>
            <w:tcW w:w="4680" w:type="dxa"/>
            <w:vAlign w:val="bottom"/>
            <w:shd w:val="clear" w:color="auto" w:fill="E5E5E5"/>
          </w:tcPr>
          <w:p>
            <w:pPr>
              <w:jc w:val="center"/>
              <w:ind w:left="1697"/>
              <w:spacing w:after="0"/>
              <w:rPr>
                <w:sz w:val="20"/>
                <w:szCs w:val="20"/>
                <w:color w:val="auto"/>
              </w:rPr>
            </w:pPr>
            <w:r>
              <w:rPr>
                <w:rFonts w:ascii="Arial" w:cs="Arial" w:eastAsia="Arial" w:hAnsi="Arial"/>
                <w:sz w:val="18"/>
                <w:szCs w:val="18"/>
                <w:color w:val="auto"/>
                <w:w w:val="98"/>
              </w:rPr>
              <w:t>75,000</w:t>
            </w:r>
          </w:p>
        </w:tc>
        <w:tc>
          <w:tcPr>
            <w:tcW w:w="2560" w:type="dxa"/>
            <w:vAlign w:val="bottom"/>
            <w:shd w:val="clear" w:color="auto" w:fill="E5E5E5"/>
          </w:tcPr>
          <w:p>
            <w:pPr>
              <w:jc w:val="center"/>
              <w:ind w:left="337"/>
              <w:spacing w:after="0"/>
              <w:rPr>
                <w:sz w:val="20"/>
                <w:szCs w:val="20"/>
                <w:color w:val="auto"/>
              </w:rPr>
            </w:pPr>
            <w:r>
              <w:rPr>
                <w:rFonts w:ascii="Arial" w:cs="Arial" w:eastAsia="Arial" w:hAnsi="Arial"/>
                <w:sz w:val="18"/>
                <w:szCs w:val="18"/>
                <w:color w:val="auto"/>
                <w:w w:val="99"/>
              </w:rPr>
              <w:t>$2,589,750</w:t>
            </w:r>
          </w:p>
        </w:tc>
        <w:tc>
          <w:tcPr>
            <w:tcW w:w="0" w:type="dxa"/>
            <w:vAlign w:val="bottom"/>
          </w:tcPr>
          <w:p>
            <w:pPr>
              <w:spacing w:after="0"/>
              <w:rPr>
                <w:sz w:val="1"/>
                <w:szCs w:val="1"/>
                <w:color w:val="auto"/>
              </w:rPr>
            </w:pPr>
          </w:p>
        </w:tc>
      </w:tr>
      <w:tr>
        <w:trPr>
          <w:trHeight w:val="230"/>
        </w:trPr>
        <w:tc>
          <w:tcPr>
            <w:tcW w:w="3980" w:type="dxa"/>
            <w:vAlign w:val="bottom"/>
          </w:tcPr>
          <w:p>
            <w:pPr>
              <w:ind w:left="120"/>
              <w:spacing w:after="0"/>
              <w:rPr>
                <w:sz w:val="20"/>
                <w:szCs w:val="20"/>
                <w:color w:val="auto"/>
              </w:rPr>
            </w:pPr>
            <w:r>
              <w:rPr>
                <w:rFonts w:ascii="Arial" w:cs="Arial" w:eastAsia="Arial" w:hAnsi="Arial"/>
                <w:sz w:val="18"/>
                <w:szCs w:val="18"/>
                <w:color w:val="auto"/>
              </w:rPr>
              <w:t>Dr. San Martin</w:t>
            </w:r>
          </w:p>
        </w:tc>
        <w:tc>
          <w:tcPr>
            <w:tcW w:w="4680" w:type="dxa"/>
            <w:vAlign w:val="bottom"/>
          </w:tcPr>
          <w:p>
            <w:pPr>
              <w:jc w:val="right"/>
              <w:ind w:right="1197"/>
              <w:spacing w:after="0"/>
              <w:rPr>
                <w:sz w:val="20"/>
                <w:szCs w:val="20"/>
                <w:color w:val="auto"/>
              </w:rPr>
            </w:pPr>
            <w:r>
              <w:rPr>
                <w:rFonts w:ascii="Arial" w:cs="Arial" w:eastAsia="Arial" w:hAnsi="Arial"/>
                <w:sz w:val="18"/>
                <w:szCs w:val="18"/>
                <w:color w:val="auto"/>
              </w:rPr>
              <w:t>75,000</w:t>
            </w:r>
          </w:p>
        </w:tc>
        <w:tc>
          <w:tcPr>
            <w:tcW w:w="2560" w:type="dxa"/>
            <w:vAlign w:val="bottom"/>
          </w:tcPr>
          <w:p>
            <w:pPr>
              <w:jc w:val="right"/>
              <w:ind w:right="637"/>
              <w:spacing w:after="0"/>
              <w:rPr>
                <w:sz w:val="20"/>
                <w:szCs w:val="20"/>
                <w:color w:val="auto"/>
              </w:rPr>
            </w:pPr>
            <w:r>
              <w:rPr>
                <w:rFonts w:ascii="Arial" w:cs="Arial" w:eastAsia="Arial" w:hAnsi="Arial"/>
                <w:sz w:val="18"/>
                <w:szCs w:val="18"/>
                <w:color w:val="auto"/>
              </w:rPr>
              <w:t>$2,589,750</w:t>
            </w:r>
          </w:p>
        </w:tc>
        <w:tc>
          <w:tcPr>
            <w:tcW w:w="0" w:type="dxa"/>
            <w:vAlign w:val="bottom"/>
          </w:tcPr>
          <w:p>
            <w:pPr>
              <w:spacing w:after="0"/>
              <w:rPr>
                <w:sz w:val="1"/>
                <w:szCs w:val="1"/>
                <w:color w:val="auto"/>
              </w:rPr>
            </w:pPr>
          </w:p>
        </w:tc>
      </w:tr>
      <w:tr>
        <w:trPr>
          <w:trHeight w:val="229"/>
        </w:trPr>
        <w:tc>
          <w:tcPr>
            <w:tcW w:w="3980" w:type="dxa"/>
            <w:vAlign w:val="bottom"/>
            <w:tcBorders>
              <w:bottom w:val="single" w:sz="8" w:color="0071CE"/>
            </w:tcBorders>
            <w:shd w:val="clear" w:color="auto" w:fill="E5E5E5"/>
          </w:tcPr>
          <w:p>
            <w:pPr>
              <w:ind w:left="120"/>
              <w:spacing w:after="0"/>
              <w:rPr>
                <w:sz w:val="20"/>
                <w:szCs w:val="20"/>
                <w:color w:val="auto"/>
              </w:rPr>
            </w:pPr>
            <w:r>
              <w:rPr>
                <w:rFonts w:ascii="Arial" w:cs="Arial" w:eastAsia="Arial" w:hAnsi="Arial"/>
                <w:sz w:val="18"/>
                <w:szCs w:val="18"/>
                <w:color w:val="auto"/>
              </w:rPr>
              <w:t>Ms. Tracie Oliver</w:t>
            </w:r>
          </w:p>
        </w:tc>
        <w:tc>
          <w:tcPr>
            <w:tcW w:w="4680" w:type="dxa"/>
            <w:vAlign w:val="bottom"/>
            <w:tcBorders>
              <w:bottom w:val="single" w:sz="8" w:color="0071CE"/>
            </w:tcBorders>
            <w:shd w:val="clear" w:color="auto" w:fill="E5E5E5"/>
          </w:tcPr>
          <w:p>
            <w:pPr>
              <w:jc w:val="right"/>
              <w:ind w:right="1197"/>
              <w:spacing w:after="0"/>
              <w:rPr>
                <w:sz w:val="20"/>
                <w:szCs w:val="20"/>
                <w:color w:val="auto"/>
              </w:rPr>
            </w:pPr>
            <w:r>
              <w:rPr>
                <w:rFonts w:ascii="Arial" w:cs="Arial" w:eastAsia="Arial" w:hAnsi="Arial"/>
                <w:sz w:val="18"/>
                <w:szCs w:val="18"/>
                <w:color w:val="auto"/>
              </w:rPr>
              <w:t>75,000</w:t>
            </w:r>
          </w:p>
        </w:tc>
        <w:tc>
          <w:tcPr>
            <w:tcW w:w="2560" w:type="dxa"/>
            <w:vAlign w:val="bottom"/>
            <w:tcBorders>
              <w:bottom w:val="single" w:sz="8" w:color="0071CE"/>
            </w:tcBorders>
            <w:shd w:val="clear" w:color="auto" w:fill="E5E5E5"/>
          </w:tcPr>
          <w:p>
            <w:pPr>
              <w:jc w:val="right"/>
              <w:ind w:right="637"/>
              <w:spacing w:after="0"/>
              <w:rPr>
                <w:sz w:val="20"/>
                <w:szCs w:val="20"/>
                <w:color w:val="auto"/>
              </w:rPr>
            </w:pPr>
            <w:r>
              <w:rPr>
                <w:rFonts w:ascii="Arial" w:cs="Arial" w:eastAsia="Arial" w:hAnsi="Arial"/>
                <w:sz w:val="18"/>
                <w:szCs w:val="18"/>
                <w:color w:val="auto"/>
              </w:rPr>
              <w:t>$2,589,750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RSUs granted to our NEOs in fiscal 2024 vest over four years in equal annual installments, subject to the NEO’s continued employment on each applicable vesting date. Dr. San Martin and Ms. Oliver forfeited their fiscal 2024 equity awards upon their respective departures.</w:t>
      </w:r>
    </w:p>
    <w:p>
      <w:pPr>
        <w:spacing w:after="0" w:line="156"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The equity awards granted to our NEOs in fiscal 2024 are set forth in the “Fiscal 2024 Summary Compensation Table” and the “Fiscal 2024 Grants of Plan-Based Awards Table”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Welfare and Health Benefits</w:t>
      </w:r>
    </w:p>
    <w:p>
      <w:pPr>
        <w:spacing w:after="0" w:line="228"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Our executive officers, including our NEOs, are eligible to participate in all of our employee benefit plans, including medical, dental, vision, life and disability insurance, in each case on the same basis as our other employees, subject to applicable law. In addition, we provide an additional life insurance benefit to our CEO for the benefit of his heirs. We also provide vacation and other paid holidays to all our employees, including our executive officers, all of which we believe to be comparable to those provided the companies in our compensation peer group. These benefit programs are designed to enable us to attract and retain our workforce in a competitive marketplace. Our health, welfare and vacation benefits are designed to ensure that we have a productive and focused workforce through reliable and competitive health and other benefits.</w:t>
      </w:r>
    </w:p>
    <w:p>
      <w:pPr>
        <w:spacing w:after="0" w:line="176"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Our retirement savings plan (“401(k) plan”) is a tax-qualified retirement savings plan, pursuant to which qualified employees, including our NEOs, are able to contribute certain amounts of their annual compensation, subject to limits prescribed by the Internal Revenue Service. Historically, we have made matching contributions of 100% of the first 3% of base salary and of 50% of the next 2% of base salary contributed to the plan. The value of these benefits for each of our NEOs is reflected in the “All Other Compensation” column of the “Fiscal 2024 Summary Compensation Table”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 and Other Personal Benefits</w:t>
      </w:r>
    </w:p>
    <w:p>
      <w:pPr>
        <w:spacing w:after="0" w:line="201"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Currently, we do not view perquisites or other personal benefits as a significant component of our executive compensation program. Accordingly, we do not provide significant perquisites or other personal benefits to our executive officers, including our NEOs, except as generally made available to our employees, or in situations where we believe it is appropriate to assist an individual in the performance of his or her duties, to make our executive officers more efficient and effective and for recruitment and retention purposes.</w:t>
      </w:r>
    </w:p>
    <w:p>
      <w:pPr>
        <w:spacing w:after="0" w:line="186"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In the future, we may provide perquisites or other personal benefits in limited circumstances, such as those described in the preceding paragraph. All future practices with respect to perquisites or other personal benefits will be approved and subject to periodic review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476250</wp:posOffset>
            </wp:positionV>
            <wp:extent cx="986155" cy="2057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12"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Employment Arrangements</w:t>
      </w:r>
    </w:p>
    <w:p>
      <w:pPr>
        <w:spacing w:after="0" w:line="12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entered into a written employment agreement with our CEO and have written employment offer letters with our other executive officers. In filling each of our executive positions, we recognized the need to develop competitive compensation packages to attract qualified candidates in a dynamic labor market. At the same time, in formulating these compensation packages, we were sensitive to the need to integrate new executive officers into the executive compensation structure that we were seeking to develop, balancing both competitive and internal equity considerations. Each of these arrangements provides for “at will” employment.</w:t>
      </w:r>
    </w:p>
    <w:p>
      <w:pPr>
        <w:spacing w:after="0" w:line="17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For detailed descriptions of the employment arrangements we maintained with our NEOs during fiscal 2024, see “Termination Benefits — Potential Payments Upon Termination or Change in Control” below.</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Post-Employment Compensation Arrangements</w:t>
      </w:r>
    </w:p>
    <w:p>
      <w:pPr>
        <w:spacing w:after="0" w:line="12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have entered into a written employment agreement with our CEO, and we also have agreements with our CFO and Chief Operating Officer &amp; General Counsel that provide for certain payments and benefits in the event of certain involuntary terminations of employment. We believe that having in place reasonable and competitive post-employment compensation arrangements are essential to attracting and retaining highly-qualified executive officers. These agreements are designed to provide reasonable compensation these to executive officers if they were to leave our employ under certain circumstances to facilitate their transition to new employment. Further, in some instances we seek to mitigate any potential employer liability and avoid future disputes or litigation by requiring a departing executive officer to sign a separation and release agreement acceptable to us as a condition to receiving post-employment compensation payments or benefits.</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Compensation Committee does not consider the specific amounts payable under these agreements when establishing annual compensation. We do believe, however, that these arrangements are necessary to offer compensation packages that are competitive.</w:t>
      </w:r>
    </w:p>
    <w:p>
      <w:pPr>
        <w:spacing w:after="0" w:line="16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our 2013 Incentive Plan and our 2021 Incentive Plan each provides for the acceleration of vesting of outstanding and unvested equity awards in the event of a change in control of the Company, as defined in the plans, except as otherwise determined by our Board. However, the agreements for equity awards granted to our CEO pursuant to our 2013 Incentive Plan and our 2021 Incentive Plan provide that, upon a change in control of the Company, the vesting of such awards will accelerate only in the event of a subsequent involuntary termination of employment (a “double-trigger” arrangement).</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detailed descriptions of the post-employment compensation arrangements we maintained with our NEOs during fiscal 2024, as well as an estimate of the potential payments and benefits payable under these arrangements, see “Termination Benefits — Potential Payments Upon Termination or Change in Control” below.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Other Compensation Policies and Practices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Awards Grant Policy</w:t>
      </w:r>
    </w:p>
    <w:p>
      <w:pPr>
        <w:spacing w:after="0" w:line="12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do not have any program, plan, or obligation that requires us to grant equity awards on specified dates, although historically we have granted such awards to our existing executive officers and employees at least annually and to newly-hired employees upon the commencement of their employment. We do not have any program, plan or practice to grant equity awards of our common stock to our executive officers in coordination with the release of material nonpublic information. Equity awards may occasionally be granted following a significant change in job responsibilities or to meet other special retention or performance objectives.</w:t>
      </w:r>
    </w:p>
    <w:p>
      <w:pPr>
        <w:spacing w:after="0" w:line="17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Authority to grant equity awards to our employees rests with the Compensation Committee, although the Compensation Committee has delegated authority to our CEO to grant equity awards to non-executive employees within prescribed limits set by the Compensation Committee. With respect to our executive officers, except for our CEO, recommendations for equity awards are made by our CEO and reviewed and approved by the Compensation Committee.</w:t>
      </w:r>
    </w:p>
    <w:p>
      <w:pPr>
        <w:spacing w:after="0" w:line="17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Under the terms of our 2021 Incentive Plan, pursuant to which new equity awards are granted, the exercise price of any option to purchase shares of our common stock awarded under the plan must be equal to at least 100%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476250</wp:posOffset>
            </wp:positionV>
            <wp:extent cx="986155" cy="2057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E"/>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fair market value of our common stock (which is determined based on the closing sales price of our common stock on the Nasdaq Global Market) on the date of grant.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Policy</w:t>
      </w:r>
    </w:p>
    <w:p>
      <w:pPr>
        <w:spacing w:after="0" w:line="22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maintain a stock ownership policy for our CEO and CFO to further align their respective interests with the interests of our stockholders, and to further promote our commitment to sound corporate governance. This policy requires our CEO to own a minimum number of shares of our common stock equal to a value of six times his annualized base salary and our CFO to own a minimum number of shares of our common stock equal to a value of twice his annualized base salary. Our CEO and CFO have each achieved the respective required ownership level.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Recovery (“Clawback”) Policy</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November 2023, we updated our compensation recovery (“Clawback”) policy, in accordance with new Nasdaq listing rules. The updated policy allows for the Company to recover incentive compensation from our executive officers, on a non-fault basis, in the event a financial restatement is required to correct any accounting errors made by any such executive officer.</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Additionally, our 2013 Incentive Plan and our 2021 Incentive Plan each provides for the recovery of awards made under the plan in accordance with any applicable compensation recovery or recoupment policy, including as required by law, regulation or national securities exchange rule.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Insider Trading Policy</w:t>
      </w:r>
    </w:p>
    <w:p>
      <w:pPr>
        <w:spacing w:after="0" w:line="228"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Our insider trading policy governs the purchase, sale and other transactions in our securities by our directors, officers and employees, and other covered persons, as well as the Company itself, and is designed to promote compliance with insider trading laws, rules and regulations, and Nasdaq listing rules, as applicable. As part of this policy, we prohibit our directors, officers, and employees from engaging in (a) short-term trading; (b) short sales; (c) options trading; (d) trading on margin; (e) pledging our common stock as collateral (except as noted below); and (f) all hedging transactions with respect to our securities. Subject to approval of our Board, directors and executive officers may pledge up to 75% owned and vested stock as collateral for a loan.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Tax and Accounting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25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Section 162(m) of the Internal Revenue Code limits the federal income tax deductibility of certain compensation amounts in excess of $1 million paid to certain executive officers. While the Compensation Committee generally seeks to pay compensation that is tax-deductible, it reserves the right to pay non-deductible compensation to the extent it deems appropriate.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follow the Financial Accounting Standard Board’s Accounting Standards Codification Topic 718 (“FASB ASC Topic 718”) for our stock-based compensation awards. FASB ASC Topic 718 requires us to measure the compensation expense for all share-based payment awards made to our employees and non-employee members of our Board, including options to purchase shares of our common stock and other stock awards, based on the grant date “fair value” of these awards. This calculation is performed for accounting purposes and reported in the executive compensation tables required by the federal securities laws, even though the recipient of the awards may never realize any value from their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756285</wp:posOffset>
            </wp:positionV>
            <wp:extent cx="986155" cy="2057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Compensation Risk Assessment</w:t>
      </w:r>
    </w:p>
    <w:p>
      <w:pPr>
        <w:spacing w:after="0" w:line="36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reviewing our various compensation programs, the Compensation Committee considers how our compensation policies and practices may affect our risk profile and whether such policies and practices may encourage undue risk-taking by our employees. More specifically, the Compensation Committee considers the general design philosophy of our policies and practices for our employees whose conduct would be most affected by incentives established pursuant to these compensation policies. In considering these issues, the Compensation Committee concluded that the use of a performance-based annual incentive compensation plan and long-term incentive compensation opportunities in the form of equity awards did not appear to create undue risks for us or encourage excessive risk-taking behavior on the part of our NEOs.</w:t>
      </w:r>
    </w:p>
    <w:p>
      <w:pPr>
        <w:spacing w:after="0" w:line="19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With respect to the annual incentive awards for our executive officers, the amount of an individual’s award depends principally on overall Company performance, as determined by the Compensation Committee, which reduces the ability and incentive for an individual to take undue risks at the expense of our performance in an effort to increase the amount of his or her annual incentive award. Our performance objectives are reviewed regularly by the Compensation Committee and our Board and are considered to be generally of the nature that promote the steady progression of our development programs and would not encourage or reward excessive risk-taking. In addition, our Board has the ability to intervene in instances where actions by our executive officers vis-à-vis Company performance objective attainment would be considered unduly risky to prevent or penalize such actions.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Compensation Committee Report</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Compensation Committee of the Company has reviewed and discussed with management the Compensation Discussion and Analysis required by Item 402(b) of Regulation S-K. Based on this review and discussion, the Compensation Committee recommended to our Board that the foregoing Compensation Discussion and Analysis be included in this proxy statement.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Submitted by the Compensation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Committee of the Board of Directors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Michael Perry, Committee Chair</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Hongbo Lu</w:t>
      </w:r>
    </w:p>
    <w:p>
      <w:pPr>
        <w:spacing w:after="0"/>
        <w:rPr>
          <w:sz w:val="20"/>
          <w:szCs w:val="20"/>
          <w:color w:val="auto"/>
        </w:rPr>
      </w:pPr>
      <w:r>
        <w:rPr>
          <w:rFonts w:ascii="Arial" w:cs="Arial" w:eastAsia="Arial" w:hAnsi="Arial"/>
          <w:sz w:val="16"/>
          <w:szCs w:val="16"/>
          <w:color w:val="auto"/>
        </w:rPr>
        <w:t>William Waddill</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C4C4C"/>
        </w:rPr>
        <w:t>Compensation Committee Interlocks and Insider Participation</w:t>
      </w:r>
    </w:p>
    <w:p>
      <w:pPr>
        <w:spacing w:after="0" w:line="241"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During fiscal year 2024, Mr. Waddill, Dr. Ferrari, and Dr. Perry, served on the Compensation Committee. During fiscal year 2024 and through December 2024, there were no compensation committee interlocks between the Company and other entities involving the Company’s executive officers and directors. For information regarding a transaction involving the brother of Dr. Douglass Given, the Company's former Director and Chairman of the Board,which is required to be disclosed under Item 404 of Regulation S-K, see “Certain Relationships and Related Transactions, and Director Independence”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494665</wp:posOffset>
            </wp:positionV>
            <wp:extent cx="986155" cy="2057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E"/>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Fiscal 2024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following table summarizes compensation earned for services rendered during fiscal 2024, 2023, and 2022 by our Chief Executive Officer, our Chief Financial Officer, our Chief Operating Officer and General Counsel, our Chief of Discovery and Translational Medicine, and our former Chief Medical Officer and former Chief Commercial Officer, collectively our “Named Executive Officers”:</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60" w:type="dxa"/>
            <w:vAlign w:val="bottom"/>
            <w:shd w:val="clear" w:color="auto" w:fill="0071CE"/>
          </w:tcPr>
          <w:p>
            <w:pPr>
              <w:spacing w:after="0"/>
              <w:rPr>
                <w:sz w:val="14"/>
                <w:szCs w:val="14"/>
                <w:color w:val="auto"/>
              </w:rPr>
            </w:pPr>
          </w:p>
        </w:tc>
        <w:tc>
          <w:tcPr>
            <w:tcW w:w="720" w:type="dxa"/>
            <w:vAlign w:val="bottom"/>
            <w:shd w:val="clear" w:color="auto" w:fill="0071CE"/>
          </w:tcPr>
          <w:p>
            <w:pPr>
              <w:spacing w:after="0"/>
              <w:rPr>
                <w:sz w:val="14"/>
                <w:szCs w:val="14"/>
                <w:color w:val="auto"/>
              </w:rPr>
            </w:pPr>
          </w:p>
        </w:tc>
        <w:tc>
          <w:tcPr>
            <w:tcW w:w="1020" w:type="dxa"/>
            <w:vAlign w:val="bottom"/>
            <w:shd w:val="clear" w:color="auto" w:fill="0071CE"/>
          </w:tcPr>
          <w:p>
            <w:pPr>
              <w:spacing w:after="0"/>
              <w:rPr>
                <w:sz w:val="14"/>
                <w:szCs w:val="14"/>
                <w:color w:val="auto"/>
              </w:rPr>
            </w:pPr>
          </w:p>
        </w:tc>
        <w:tc>
          <w:tcPr>
            <w:tcW w:w="840" w:type="dxa"/>
            <w:vAlign w:val="bottom"/>
            <w:shd w:val="clear" w:color="auto" w:fill="0071CE"/>
          </w:tcPr>
          <w:p>
            <w:pPr>
              <w:spacing w:after="0"/>
              <w:rPr>
                <w:sz w:val="14"/>
                <w:szCs w:val="14"/>
                <w:color w:val="auto"/>
              </w:rPr>
            </w:pPr>
          </w:p>
        </w:tc>
        <w:tc>
          <w:tcPr>
            <w:tcW w:w="1040" w:type="dxa"/>
            <w:vAlign w:val="bottom"/>
            <w:shd w:val="clear" w:color="auto" w:fill="0071CE"/>
          </w:tcPr>
          <w:p>
            <w:pPr>
              <w:spacing w:after="0"/>
              <w:rPr>
                <w:sz w:val="14"/>
                <w:szCs w:val="14"/>
                <w:color w:val="auto"/>
              </w:rPr>
            </w:pPr>
          </w:p>
        </w:tc>
        <w:tc>
          <w:tcPr>
            <w:tcW w:w="360" w:type="dxa"/>
            <w:vAlign w:val="bottom"/>
            <w:shd w:val="clear" w:color="auto" w:fill="0071CE"/>
          </w:tcPr>
          <w:p>
            <w:pPr>
              <w:spacing w:after="0"/>
              <w:rPr>
                <w:sz w:val="14"/>
                <w:szCs w:val="14"/>
                <w:color w:val="auto"/>
              </w:rPr>
            </w:pPr>
          </w:p>
        </w:tc>
        <w:tc>
          <w:tcPr>
            <w:tcW w:w="1180" w:type="dxa"/>
            <w:vAlign w:val="bottom"/>
            <w:shd w:val="clear" w:color="auto" w:fill="0071CE"/>
          </w:tcPr>
          <w:p>
            <w:pPr>
              <w:jc w:val="center"/>
              <w:ind w:left="1"/>
              <w:spacing w:after="0"/>
              <w:rPr>
                <w:sz w:val="20"/>
                <w:szCs w:val="20"/>
                <w:color w:val="auto"/>
              </w:rPr>
            </w:pPr>
            <w:r>
              <w:rPr>
                <w:rFonts w:ascii="Arial" w:cs="Arial" w:eastAsia="Arial" w:hAnsi="Arial"/>
                <w:sz w:val="14"/>
                <w:szCs w:val="14"/>
                <w:b w:val="1"/>
                <w:bCs w:val="1"/>
                <w:color w:val="FFFFFF"/>
              </w:rPr>
              <w:t>Non-Equity</w:t>
            </w:r>
          </w:p>
        </w:tc>
        <w:tc>
          <w:tcPr>
            <w:tcW w:w="300" w:type="dxa"/>
            <w:vAlign w:val="bottom"/>
            <w:shd w:val="clear" w:color="auto" w:fill="0071CE"/>
          </w:tcPr>
          <w:p>
            <w:pPr>
              <w:spacing w:after="0"/>
              <w:rPr>
                <w:sz w:val="14"/>
                <w:szCs w:val="14"/>
                <w:color w:val="auto"/>
              </w:rPr>
            </w:pPr>
          </w:p>
        </w:tc>
        <w:tc>
          <w:tcPr>
            <w:tcW w:w="1420" w:type="dxa"/>
            <w:vAlign w:val="bottom"/>
            <w:shd w:val="clear" w:color="auto" w:fill="0071CE"/>
          </w:tcPr>
          <w:p>
            <w:pPr>
              <w:spacing w:after="0"/>
              <w:rPr>
                <w:sz w:val="14"/>
                <w:szCs w:val="14"/>
                <w:color w:val="auto"/>
              </w:rPr>
            </w:pPr>
          </w:p>
        </w:tc>
        <w:tc>
          <w:tcPr>
            <w:tcW w:w="104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0071CE"/>
          </w:tcPr>
          <w:p>
            <w:pPr>
              <w:spacing w:after="0"/>
              <w:rPr>
                <w:sz w:val="12"/>
                <w:szCs w:val="12"/>
                <w:color w:val="auto"/>
              </w:rPr>
            </w:pPr>
          </w:p>
        </w:tc>
        <w:tc>
          <w:tcPr>
            <w:tcW w:w="720" w:type="dxa"/>
            <w:vAlign w:val="bottom"/>
            <w:shd w:val="clear" w:color="auto" w:fill="0071CE"/>
          </w:tcPr>
          <w:p>
            <w:pPr>
              <w:spacing w:after="0"/>
              <w:rPr>
                <w:sz w:val="12"/>
                <w:szCs w:val="12"/>
                <w:color w:val="auto"/>
              </w:rPr>
            </w:pPr>
          </w:p>
        </w:tc>
        <w:tc>
          <w:tcPr>
            <w:tcW w:w="1020" w:type="dxa"/>
            <w:vAlign w:val="bottom"/>
            <w:shd w:val="clear" w:color="auto" w:fill="0071CE"/>
          </w:tcPr>
          <w:p>
            <w:pPr>
              <w:spacing w:after="0"/>
              <w:rPr>
                <w:sz w:val="12"/>
                <w:szCs w:val="12"/>
                <w:color w:val="auto"/>
              </w:rPr>
            </w:pPr>
          </w:p>
        </w:tc>
        <w:tc>
          <w:tcPr>
            <w:tcW w:w="840" w:type="dxa"/>
            <w:vAlign w:val="bottom"/>
            <w:shd w:val="clear" w:color="auto" w:fill="0071CE"/>
          </w:tcPr>
          <w:p>
            <w:pPr>
              <w:spacing w:after="0"/>
              <w:rPr>
                <w:sz w:val="12"/>
                <w:szCs w:val="12"/>
                <w:color w:val="auto"/>
              </w:rPr>
            </w:pPr>
          </w:p>
        </w:tc>
        <w:tc>
          <w:tcPr>
            <w:tcW w:w="104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Stock</w:t>
            </w:r>
          </w:p>
        </w:tc>
        <w:tc>
          <w:tcPr>
            <w:tcW w:w="360" w:type="dxa"/>
            <w:vAlign w:val="bottom"/>
            <w:shd w:val="clear" w:color="auto" w:fill="0071CE"/>
          </w:tcPr>
          <w:p>
            <w:pPr>
              <w:spacing w:after="0"/>
              <w:rPr>
                <w:sz w:val="12"/>
                <w:szCs w:val="12"/>
                <w:color w:val="auto"/>
              </w:rPr>
            </w:pPr>
          </w:p>
        </w:tc>
        <w:tc>
          <w:tcPr>
            <w:tcW w:w="1180" w:type="dxa"/>
            <w:vAlign w:val="bottom"/>
            <w:shd w:val="clear" w:color="auto" w:fill="0071CE"/>
          </w:tcPr>
          <w:p>
            <w:pPr>
              <w:jc w:val="center"/>
              <w:ind w:left="1"/>
              <w:spacing w:after="0" w:line="149" w:lineRule="exact"/>
              <w:rPr>
                <w:sz w:val="20"/>
                <w:szCs w:val="20"/>
                <w:color w:val="auto"/>
              </w:rPr>
            </w:pPr>
            <w:r>
              <w:rPr>
                <w:rFonts w:ascii="Arial" w:cs="Arial" w:eastAsia="Arial" w:hAnsi="Arial"/>
                <w:sz w:val="14"/>
                <w:szCs w:val="14"/>
                <w:b w:val="1"/>
                <w:bCs w:val="1"/>
                <w:color w:val="FFFFFF"/>
              </w:rPr>
              <w:t>Incentive Plan</w:t>
            </w:r>
          </w:p>
        </w:tc>
        <w:tc>
          <w:tcPr>
            <w:tcW w:w="300" w:type="dxa"/>
            <w:vAlign w:val="bottom"/>
            <w:shd w:val="clear" w:color="auto" w:fill="0071CE"/>
          </w:tcPr>
          <w:p>
            <w:pPr>
              <w:spacing w:after="0"/>
              <w:rPr>
                <w:sz w:val="12"/>
                <w:szCs w:val="12"/>
                <w:color w:val="auto"/>
              </w:rPr>
            </w:pPr>
          </w:p>
        </w:tc>
        <w:tc>
          <w:tcPr>
            <w:tcW w:w="1420" w:type="dxa"/>
            <w:vAlign w:val="bottom"/>
            <w:vMerge w:val="restart"/>
            <w:shd w:val="clear" w:color="auto" w:fill="0071CE"/>
          </w:tcPr>
          <w:p>
            <w:pPr>
              <w:jc w:val="center"/>
              <w:ind w:right="20"/>
              <w:spacing w:after="0"/>
              <w:rPr>
                <w:sz w:val="20"/>
                <w:szCs w:val="20"/>
                <w:color w:val="auto"/>
              </w:rPr>
            </w:pPr>
            <w:r>
              <w:rPr>
                <w:rFonts w:ascii="Arial" w:cs="Arial" w:eastAsia="Arial" w:hAnsi="Arial"/>
                <w:sz w:val="14"/>
                <w:szCs w:val="14"/>
                <w:b w:val="1"/>
                <w:bCs w:val="1"/>
                <w:color w:val="FFFFFF"/>
              </w:rPr>
              <w:t>All Other</w:t>
            </w:r>
          </w:p>
        </w:tc>
        <w:tc>
          <w:tcPr>
            <w:tcW w:w="1040" w:type="dxa"/>
            <w:vAlign w:val="bottom"/>
            <w:shd w:val="clear" w:color="auto" w:fill="0071C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60" w:type="dxa"/>
            <w:vAlign w:val="bottom"/>
            <w:shd w:val="clear" w:color="auto" w:fill="0071CE"/>
          </w:tcPr>
          <w:p>
            <w:pPr>
              <w:spacing w:after="0"/>
              <w:rPr>
                <w:sz w:val="12"/>
                <w:szCs w:val="12"/>
                <w:color w:val="auto"/>
              </w:rPr>
            </w:pPr>
          </w:p>
        </w:tc>
        <w:tc>
          <w:tcPr>
            <w:tcW w:w="720" w:type="dxa"/>
            <w:vAlign w:val="bottom"/>
            <w:shd w:val="clear" w:color="auto" w:fill="0071CE"/>
          </w:tcPr>
          <w:p>
            <w:pPr>
              <w:spacing w:after="0"/>
              <w:rPr>
                <w:sz w:val="12"/>
                <w:szCs w:val="12"/>
                <w:color w:val="auto"/>
              </w:rPr>
            </w:pPr>
          </w:p>
        </w:tc>
        <w:tc>
          <w:tcPr>
            <w:tcW w:w="1020" w:type="dxa"/>
            <w:vAlign w:val="bottom"/>
            <w:shd w:val="clear" w:color="auto" w:fill="0071CE"/>
          </w:tcPr>
          <w:p>
            <w:pPr>
              <w:spacing w:after="0"/>
              <w:rPr>
                <w:sz w:val="12"/>
                <w:szCs w:val="12"/>
                <w:color w:val="auto"/>
              </w:rPr>
            </w:pPr>
          </w:p>
        </w:tc>
        <w:tc>
          <w:tcPr>
            <w:tcW w:w="840" w:type="dxa"/>
            <w:vAlign w:val="bottom"/>
            <w:shd w:val="clear" w:color="auto" w:fill="0071CE"/>
          </w:tcPr>
          <w:p>
            <w:pPr>
              <w:spacing w:after="0"/>
              <w:rPr>
                <w:sz w:val="12"/>
                <w:szCs w:val="12"/>
                <w:color w:val="auto"/>
              </w:rPr>
            </w:pPr>
          </w:p>
        </w:tc>
        <w:tc>
          <w:tcPr>
            <w:tcW w:w="1040" w:type="dxa"/>
            <w:vAlign w:val="bottom"/>
            <w:vMerge w:val="continue"/>
            <w:shd w:val="clear" w:color="auto" w:fill="0071CE"/>
          </w:tcPr>
          <w:p>
            <w:pPr>
              <w:spacing w:after="0"/>
              <w:rPr>
                <w:sz w:val="12"/>
                <w:szCs w:val="12"/>
                <w:color w:val="auto"/>
              </w:rPr>
            </w:pPr>
          </w:p>
        </w:tc>
        <w:tc>
          <w:tcPr>
            <w:tcW w:w="360" w:type="dxa"/>
            <w:vAlign w:val="bottom"/>
            <w:shd w:val="clear" w:color="auto" w:fill="0071CE"/>
          </w:tcPr>
          <w:p>
            <w:pPr>
              <w:spacing w:after="0"/>
              <w:rPr>
                <w:sz w:val="12"/>
                <w:szCs w:val="12"/>
                <w:color w:val="auto"/>
              </w:rPr>
            </w:pPr>
          </w:p>
        </w:tc>
        <w:tc>
          <w:tcPr>
            <w:tcW w:w="1180" w:type="dxa"/>
            <w:vAlign w:val="bottom"/>
            <w:shd w:val="clear" w:color="auto" w:fill="0071CE"/>
          </w:tcPr>
          <w:p>
            <w:pPr>
              <w:jc w:val="center"/>
              <w:spacing w:after="0" w:line="145" w:lineRule="exact"/>
              <w:rPr>
                <w:sz w:val="20"/>
                <w:szCs w:val="20"/>
                <w:color w:val="auto"/>
              </w:rPr>
            </w:pPr>
            <w:r>
              <w:rPr>
                <w:rFonts w:ascii="Arial" w:cs="Arial" w:eastAsia="Arial" w:hAnsi="Arial"/>
                <w:sz w:val="14"/>
                <w:szCs w:val="14"/>
                <w:b w:val="1"/>
                <w:bCs w:val="1"/>
                <w:color w:val="FFFFFF"/>
              </w:rPr>
              <w:t>Compensation</w:t>
            </w:r>
          </w:p>
        </w:tc>
        <w:tc>
          <w:tcPr>
            <w:tcW w:w="300" w:type="dxa"/>
            <w:vAlign w:val="bottom"/>
            <w:shd w:val="clear" w:color="auto" w:fill="0071CE"/>
          </w:tcPr>
          <w:p>
            <w:pPr>
              <w:spacing w:after="0"/>
              <w:rPr>
                <w:sz w:val="12"/>
                <w:szCs w:val="12"/>
                <w:color w:val="auto"/>
              </w:rPr>
            </w:pPr>
          </w:p>
        </w:tc>
        <w:tc>
          <w:tcPr>
            <w:tcW w:w="1420" w:type="dxa"/>
            <w:vAlign w:val="bottom"/>
            <w:vMerge w:val="continue"/>
            <w:shd w:val="clear" w:color="auto" w:fill="0071CE"/>
          </w:tcPr>
          <w:p>
            <w:pPr>
              <w:spacing w:after="0"/>
              <w:rPr>
                <w:sz w:val="12"/>
                <w:szCs w:val="12"/>
                <w:color w:val="auto"/>
              </w:rPr>
            </w:pPr>
          </w:p>
        </w:tc>
        <w:tc>
          <w:tcPr>
            <w:tcW w:w="1040" w:type="dxa"/>
            <w:vAlign w:val="bottom"/>
            <w:shd w:val="clear" w:color="auto" w:fill="0071C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0071CE"/>
          </w:tcPr>
          <w:p>
            <w:pPr>
              <w:ind w:left="120"/>
              <w:spacing w:after="0"/>
              <w:rPr>
                <w:sz w:val="20"/>
                <w:szCs w:val="20"/>
                <w:color w:val="auto"/>
              </w:rPr>
            </w:pPr>
            <w:r>
              <w:rPr>
                <w:rFonts w:ascii="Arial" w:cs="Arial" w:eastAsia="Arial" w:hAnsi="Arial"/>
                <w:sz w:val="14"/>
                <w:szCs w:val="14"/>
                <w:b w:val="1"/>
                <w:bCs w:val="1"/>
                <w:color w:val="FFFFFF"/>
              </w:rPr>
              <w:t>Name and</w:t>
            </w:r>
          </w:p>
        </w:tc>
        <w:tc>
          <w:tcPr>
            <w:tcW w:w="72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Year</w:t>
            </w:r>
          </w:p>
        </w:tc>
        <w:tc>
          <w:tcPr>
            <w:tcW w:w="1020" w:type="dxa"/>
            <w:vAlign w:val="bottom"/>
            <w:shd w:val="clear" w:color="auto" w:fill="0071CE"/>
          </w:tcPr>
          <w:p>
            <w:pPr>
              <w:ind w:left="320"/>
              <w:spacing w:after="0"/>
              <w:rPr>
                <w:sz w:val="20"/>
                <w:szCs w:val="20"/>
                <w:color w:val="auto"/>
              </w:rPr>
            </w:pPr>
            <w:r>
              <w:rPr>
                <w:rFonts w:ascii="Arial" w:cs="Arial" w:eastAsia="Arial" w:hAnsi="Arial"/>
                <w:sz w:val="14"/>
                <w:szCs w:val="14"/>
                <w:b w:val="1"/>
                <w:bCs w:val="1"/>
                <w:color w:val="FFFFFF"/>
              </w:rPr>
              <w:t>Salary</w:t>
            </w:r>
          </w:p>
        </w:tc>
        <w:tc>
          <w:tcPr>
            <w:tcW w:w="8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Bonus</w:t>
            </w:r>
          </w:p>
        </w:tc>
        <w:tc>
          <w:tcPr>
            <w:tcW w:w="10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Awards (1)</w:t>
            </w:r>
          </w:p>
        </w:tc>
        <w:tc>
          <w:tcPr>
            <w:tcW w:w="360" w:type="dxa"/>
            <w:vAlign w:val="bottom"/>
            <w:shd w:val="clear" w:color="auto" w:fill="0071CE"/>
          </w:tcPr>
          <w:p>
            <w:pPr>
              <w:spacing w:after="0"/>
              <w:rPr>
                <w:sz w:val="14"/>
                <w:szCs w:val="14"/>
                <w:color w:val="auto"/>
              </w:rPr>
            </w:pPr>
          </w:p>
        </w:tc>
        <w:tc>
          <w:tcPr>
            <w:tcW w:w="1180" w:type="dxa"/>
            <w:vAlign w:val="bottom"/>
            <w:shd w:val="clear" w:color="auto" w:fill="0071CE"/>
          </w:tcPr>
          <w:p>
            <w:pPr>
              <w:jc w:val="center"/>
              <w:ind w:left="1"/>
              <w:spacing w:after="0"/>
              <w:rPr>
                <w:sz w:val="20"/>
                <w:szCs w:val="20"/>
                <w:color w:val="auto"/>
              </w:rPr>
            </w:pPr>
            <w:r>
              <w:rPr>
                <w:rFonts w:ascii="Arial" w:cs="Arial" w:eastAsia="Arial" w:hAnsi="Arial"/>
                <w:sz w:val="14"/>
                <w:szCs w:val="14"/>
                <w:b w:val="1"/>
                <w:bCs w:val="1"/>
                <w:color w:val="FFFFFF"/>
              </w:rPr>
              <w:t>(2)</w:t>
            </w:r>
          </w:p>
        </w:tc>
        <w:tc>
          <w:tcPr>
            <w:tcW w:w="300" w:type="dxa"/>
            <w:vAlign w:val="bottom"/>
            <w:shd w:val="clear" w:color="auto" w:fill="0071CE"/>
          </w:tcPr>
          <w:p>
            <w:pPr>
              <w:spacing w:after="0"/>
              <w:rPr>
                <w:sz w:val="14"/>
                <w:szCs w:val="14"/>
                <w:color w:val="auto"/>
              </w:rPr>
            </w:pPr>
          </w:p>
        </w:tc>
        <w:tc>
          <w:tcPr>
            <w:tcW w:w="1420" w:type="dxa"/>
            <w:vAlign w:val="bottom"/>
            <w:shd w:val="clear" w:color="auto" w:fill="0071CE"/>
          </w:tcPr>
          <w:p>
            <w:pPr>
              <w:jc w:val="center"/>
              <w:ind w:right="20"/>
              <w:spacing w:after="0"/>
              <w:rPr>
                <w:sz w:val="20"/>
                <w:szCs w:val="20"/>
                <w:color w:val="auto"/>
              </w:rPr>
            </w:pPr>
            <w:r>
              <w:rPr>
                <w:rFonts w:ascii="Arial" w:cs="Arial" w:eastAsia="Arial" w:hAnsi="Arial"/>
                <w:sz w:val="14"/>
                <w:szCs w:val="14"/>
                <w:b w:val="1"/>
                <w:bCs w:val="1"/>
                <w:color w:val="FFFFFF"/>
              </w:rPr>
              <w:t>Compensation (3)</w:t>
            </w:r>
          </w:p>
        </w:tc>
        <w:tc>
          <w:tcPr>
            <w:tcW w:w="1040" w:type="dxa"/>
            <w:vAlign w:val="bottom"/>
            <w:vMerge w:val="restart"/>
            <w:shd w:val="clear" w:color="auto" w:fill="0071CE"/>
          </w:tcPr>
          <w:p>
            <w:pPr>
              <w:jc w:val="right"/>
              <w:ind w:right="179"/>
              <w:spacing w:after="0"/>
              <w:rPr>
                <w:sz w:val="20"/>
                <w:szCs w:val="20"/>
                <w:color w:val="auto"/>
              </w:rPr>
            </w:pPr>
            <w:r>
              <w:rPr>
                <w:rFonts w:ascii="Arial" w:cs="Arial" w:eastAsia="Arial" w:hAnsi="Arial"/>
                <w:sz w:val="14"/>
                <w:szCs w:val="14"/>
                <w:b w:val="1"/>
                <w:bCs w:val="1"/>
                <w:color w:val="FFFFFF"/>
              </w:rPr>
              <w:t>Total ($)</w:t>
            </w:r>
          </w:p>
        </w:tc>
        <w:tc>
          <w:tcPr>
            <w:tcW w:w="0" w:type="dxa"/>
            <w:vAlign w:val="bottom"/>
          </w:tcPr>
          <w:p>
            <w:pPr>
              <w:spacing w:after="0"/>
              <w:rPr>
                <w:sz w:val="1"/>
                <w:szCs w:val="1"/>
                <w:color w:val="auto"/>
              </w:rPr>
            </w:pPr>
          </w:p>
        </w:tc>
      </w:tr>
      <w:tr>
        <w:trPr>
          <w:trHeight w:val="189"/>
        </w:trPr>
        <w:tc>
          <w:tcPr>
            <w:tcW w:w="3260" w:type="dxa"/>
            <w:vAlign w:val="bottom"/>
            <w:shd w:val="clear" w:color="auto" w:fill="0071CE"/>
          </w:tcPr>
          <w:p>
            <w:pPr>
              <w:ind w:left="120"/>
              <w:spacing w:after="0"/>
              <w:rPr>
                <w:sz w:val="20"/>
                <w:szCs w:val="20"/>
                <w:color w:val="auto"/>
              </w:rPr>
            </w:pPr>
            <w:r>
              <w:rPr>
                <w:rFonts w:ascii="Arial" w:cs="Arial" w:eastAsia="Arial" w:hAnsi="Arial"/>
                <w:sz w:val="14"/>
                <w:szCs w:val="14"/>
                <w:b w:val="1"/>
                <w:bCs w:val="1"/>
                <w:color w:val="FFFFFF"/>
              </w:rPr>
              <w:t>Principal Position</w:t>
            </w:r>
          </w:p>
        </w:tc>
        <w:tc>
          <w:tcPr>
            <w:tcW w:w="720" w:type="dxa"/>
            <w:vAlign w:val="bottom"/>
            <w:vMerge w:val="continue"/>
            <w:shd w:val="clear" w:color="auto" w:fill="0071CE"/>
          </w:tcPr>
          <w:p>
            <w:pPr>
              <w:spacing w:after="0"/>
              <w:rPr>
                <w:sz w:val="16"/>
                <w:szCs w:val="16"/>
                <w:color w:val="auto"/>
              </w:rPr>
            </w:pPr>
          </w:p>
        </w:tc>
        <w:tc>
          <w:tcPr>
            <w:tcW w:w="102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3"/>
              </w:rPr>
              <w:t>($)</w:t>
            </w:r>
          </w:p>
        </w:tc>
        <w:tc>
          <w:tcPr>
            <w:tcW w:w="8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6"/>
              </w:rPr>
              <w:t>(S)</w:t>
            </w:r>
          </w:p>
        </w:tc>
        <w:tc>
          <w:tcPr>
            <w:tcW w:w="104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w w:val="93"/>
              </w:rPr>
              <w:t>($)</w:t>
            </w:r>
          </w:p>
        </w:tc>
        <w:tc>
          <w:tcPr>
            <w:tcW w:w="360" w:type="dxa"/>
            <w:vAlign w:val="bottom"/>
            <w:shd w:val="clear" w:color="auto" w:fill="0071CE"/>
          </w:tcPr>
          <w:p>
            <w:pPr>
              <w:spacing w:after="0"/>
              <w:rPr>
                <w:sz w:val="16"/>
                <w:szCs w:val="16"/>
                <w:color w:val="auto"/>
              </w:rPr>
            </w:pPr>
          </w:p>
        </w:tc>
        <w:tc>
          <w:tcPr>
            <w:tcW w:w="1180" w:type="dxa"/>
            <w:vAlign w:val="bottom"/>
            <w:shd w:val="clear" w:color="auto" w:fill="0071CE"/>
          </w:tcPr>
          <w:p>
            <w:pPr>
              <w:jc w:val="center"/>
              <w:ind w:left="1"/>
              <w:spacing w:after="0"/>
              <w:rPr>
                <w:sz w:val="20"/>
                <w:szCs w:val="20"/>
                <w:color w:val="auto"/>
              </w:rPr>
            </w:pPr>
            <w:r>
              <w:rPr>
                <w:rFonts w:ascii="Arial" w:cs="Arial" w:eastAsia="Arial" w:hAnsi="Arial"/>
                <w:sz w:val="14"/>
                <w:szCs w:val="14"/>
                <w:b w:val="1"/>
                <w:bCs w:val="1"/>
                <w:color w:val="FFFFFF"/>
              </w:rPr>
              <w:t>($)</w:t>
            </w:r>
          </w:p>
        </w:tc>
        <w:tc>
          <w:tcPr>
            <w:tcW w:w="300" w:type="dxa"/>
            <w:vAlign w:val="bottom"/>
            <w:shd w:val="clear" w:color="auto" w:fill="0071CE"/>
          </w:tcPr>
          <w:p>
            <w:pPr>
              <w:spacing w:after="0"/>
              <w:rPr>
                <w:sz w:val="16"/>
                <w:szCs w:val="16"/>
                <w:color w:val="auto"/>
              </w:rPr>
            </w:pPr>
          </w:p>
        </w:tc>
        <w:tc>
          <w:tcPr>
            <w:tcW w:w="1420" w:type="dxa"/>
            <w:vAlign w:val="bottom"/>
            <w:shd w:val="clear" w:color="auto" w:fill="0071CE"/>
          </w:tcPr>
          <w:p>
            <w:pPr>
              <w:jc w:val="center"/>
              <w:ind w:right="20"/>
              <w:spacing w:after="0"/>
              <w:rPr>
                <w:sz w:val="20"/>
                <w:szCs w:val="20"/>
                <w:color w:val="auto"/>
              </w:rPr>
            </w:pPr>
            <w:r>
              <w:rPr>
                <w:rFonts w:ascii="Arial" w:cs="Arial" w:eastAsia="Arial" w:hAnsi="Arial"/>
                <w:sz w:val="14"/>
                <w:szCs w:val="14"/>
                <w:b w:val="1"/>
                <w:bCs w:val="1"/>
                <w:color w:val="FFFFFF"/>
                <w:w w:val="93"/>
              </w:rPr>
              <w:t>($)</w:t>
            </w:r>
          </w:p>
        </w:tc>
        <w:tc>
          <w:tcPr>
            <w:tcW w:w="1040" w:type="dxa"/>
            <w:vAlign w:val="bottom"/>
            <w:vMerge w:val="continue"/>
            <w:shd w:val="clear" w:color="auto" w:fill="0071C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260" w:type="dxa"/>
            <w:vAlign w:val="bottom"/>
            <w:shd w:val="clear" w:color="auto" w:fill="E5E5E5"/>
          </w:tcPr>
          <w:p>
            <w:pPr>
              <w:ind w:left="100"/>
              <w:spacing w:after="0"/>
              <w:rPr>
                <w:sz w:val="20"/>
                <w:szCs w:val="20"/>
                <w:color w:val="auto"/>
              </w:rPr>
            </w:pPr>
            <w:r>
              <w:rPr>
                <w:rFonts w:ascii="Arial" w:cs="Arial" w:eastAsia="Arial" w:hAnsi="Arial"/>
                <w:sz w:val="16"/>
                <w:szCs w:val="16"/>
                <w:b w:val="1"/>
                <w:bCs w:val="1"/>
                <w:color w:val="0071CE"/>
              </w:rPr>
              <w:t>Christopher Anzalone</w:t>
            </w:r>
          </w:p>
        </w:tc>
        <w:tc>
          <w:tcPr>
            <w:tcW w:w="7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2024</w:t>
            </w:r>
          </w:p>
        </w:tc>
        <w:tc>
          <w:tcPr>
            <w:tcW w:w="10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951,012</w:t>
            </w:r>
          </w:p>
        </w:tc>
        <w:tc>
          <w:tcPr>
            <w:tcW w:w="8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10,319,000</w:t>
            </w:r>
          </w:p>
        </w:tc>
        <w:tc>
          <w:tcPr>
            <w:tcW w:w="36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(4)</w:t>
            </w:r>
          </w:p>
        </w:tc>
        <w:tc>
          <w:tcPr>
            <w:tcW w:w="118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1,152,000</w:t>
            </w:r>
          </w:p>
        </w:tc>
        <w:tc>
          <w:tcPr>
            <w:tcW w:w="300" w:type="dxa"/>
            <w:vAlign w:val="bottom"/>
            <w:shd w:val="clear" w:color="auto" w:fill="E5E5E5"/>
          </w:tcPr>
          <w:p>
            <w:pPr>
              <w:spacing w:after="0"/>
              <w:rPr>
                <w:sz w:val="23"/>
                <w:szCs w:val="23"/>
                <w:color w:val="auto"/>
              </w:rPr>
            </w:pPr>
          </w:p>
        </w:tc>
        <w:tc>
          <w:tcPr>
            <w:tcW w:w="1420" w:type="dxa"/>
            <w:vAlign w:val="bottom"/>
            <w:shd w:val="clear" w:color="auto" w:fill="E5E5E5"/>
          </w:tcPr>
          <w:p>
            <w:pPr>
              <w:jc w:val="center"/>
              <w:ind w:right="20"/>
              <w:spacing w:after="0"/>
              <w:rPr>
                <w:sz w:val="20"/>
                <w:szCs w:val="20"/>
                <w:color w:val="auto"/>
              </w:rPr>
            </w:pPr>
            <w:r>
              <w:rPr>
                <w:rFonts w:ascii="Arial" w:cs="Arial" w:eastAsia="Arial" w:hAnsi="Arial"/>
                <w:sz w:val="16"/>
                <w:szCs w:val="16"/>
                <w:color w:val="auto"/>
                <w:w w:val="99"/>
              </w:rPr>
              <w:t>1,461</w:t>
            </w: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12,423,473</w:t>
            </w:r>
          </w:p>
        </w:tc>
        <w:tc>
          <w:tcPr>
            <w:tcW w:w="0" w:type="dxa"/>
            <w:vAlign w:val="bottom"/>
          </w:tcPr>
          <w:p>
            <w:pPr>
              <w:spacing w:after="0"/>
              <w:rPr>
                <w:sz w:val="1"/>
                <w:szCs w:val="1"/>
                <w:color w:val="auto"/>
              </w:rPr>
            </w:pPr>
          </w:p>
        </w:tc>
      </w:tr>
      <w:tr>
        <w:trPr>
          <w:trHeight w:val="215"/>
        </w:trPr>
        <w:tc>
          <w:tcPr>
            <w:tcW w:w="3260" w:type="dxa"/>
            <w:vAlign w:val="bottom"/>
            <w:shd w:val="clear" w:color="auto" w:fill="E5E5E5"/>
          </w:tcPr>
          <w:p>
            <w:pPr>
              <w:ind w:left="100"/>
              <w:spacing w:after="0"/>
              <w:rPr>
                <w:sz w:val="20"/>
                <w:szCs w:val="20"/>
                <w:color w:val="auto"/>
              </w:rPr>
            </w:pPr>
            <w:r>
              <w:rPr>
                <w:rFonts w:ascii="Arial" w:cs="Arial" w:eastAsia="Arial" w:hAnsi="Arial"/>
                <w:sz w:val="16"/>
                <w:szCs w:val="16"/>
                <w:color w:val="auto"/>
              </w:rPr>
              <w:t>President and Chief Executive Officer</w:t>
            </w:r>
          </w:p>
        </w:tc>
        <w:tc>
          <w:tcPr>
            <w:tcW w:w="7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2023</w:t>
            </w:r>
          </w:p>
        </w:tc>
        <w:tc>
          <w:tcPr>
            <w:tcW w:w="10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902,522</w:t>
            </w:r>
          </w:p>
        </w:tc>
        <w:tc>
          <w:tcPr>
            <w:tcW w:w="8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8,314,056</w:t>
            </w:r>
          </w:p>
        </w:tc>
        <w:tc>
          <w:tcPr>
            <w:tcW w:w="36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(5)</w:t>
            </w:r>
          </w:p>
        </w:tc>
        <w:tc>
          <w:tcPr>
            <w:tcW w:w="1180" w:type="dxa"/>
            <w:vAlign w:val="bottom"/>
            <w:shd w:val="clear" w:color="auto" w:fill="E5E5E5"/>
          </w:tcPr>
          <w:p>
            <w:pPr>
              <w:jc w:val="center"/>
              <w:ind w:left="1"/>
              <w:spacing w:after="0"/>
              <w:rPr>
                <w:sz w:val="20"/>
                <w:szCs w:val="20"/>
                <w:color w:val="auto"/>
              </w:rPr>
            </w:pPr>
            <w:r>
              <w:rPr>
                <w:rFonts w:ascii="Arial" w:cs="Arial" w:eastAsia="Arial" w:hAnsi="Arial"/>
                <w:sz w:val="16"/>
                <w:szCs w:val="16"/>
                <w:color w:val="auto"/>
              </w:rPr>
              <w:t>700,000</w:t>
            </w:r>
          </w:p>
        </w:tc>
        <w:tc>
          <w:tcPr>
            <w:tcW w:w="300" w:type="dxa"/>
            <w:vAlign w:val="bottom"/>
            <w:shd w:val="clear" w:color="auto" w:fill="E5E5E5"/>
          </w:tcPr>
          <w:p>
            <w:pPr>
              <w:spacing w:after="0"/>
              <w:rPr>
                <w:sz w:val="18"/>
                <w:szCs w:val="18"/>
                <w:color w:val="auto"/>
              </w:rPr>
            </w:pPr>
          </w:p>
        </w:tc>
        <w:tc>
          <w:tcPr>
            <w:tcW w:w="1420" w:type="dxa"/>
            <w:vAlign w:val="bottom"/>
            <w:shd w:val="clear" w:color="auto" w:fill="E5E5E5"/>
          </w:tcPr>
          <w:p>
            <w:pPr>
              <w:jc w:val="center"/>
              <w:ind w:right="20"/>
              <w:spacing w:after="0"/>
              <w:rPr>
                <w:sz w:val="20"/>
                <w:szCs w:val="20"/>
                <w:color w:val="auto"/>
              </w:rPr>
            </w:pPr>
            <w:r>
              <w:rPr>
                <w:rFonts w:ascii="Arial" w:cs="Arial" w:eastAsia="Arial" w:hAnsi="Arial"/>
                <w:sz w:val="16"/>
                <w:szCs w:val="16"/>
                <w:color w:val="auto"/>
                <w:w w:val="99"/>
              </w:rPr>
              <w:t>1,515</w:t>
            </w: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9,918,093</w:t>
            </w:r>
          </w:p>
        </w:tc>
        <w:tc>
          <w:tcPr>
            <w:tcW w:w="0" w:type="dxa"/>
            <w:vAlign w:val="bottom"/>
          </w:tcPr>
          <w:p>
            <w:pPr>
              <w:spacing w:after="0"/>
              <w:rPr>
                <w:sz w:val="1"/>
                <w:szCs w:val="1"/>
                <w:color w:val="auto"/>
              </w:rPr>
            </w:pPr>
          </w:p>
        </w:tc>
      </w:tr>
      <w:tr>
        <w:trPr>
          <w:trHeight w:val="217"/>
        </w:trPr>
        <w:tc>
          <w:tcPr>
            <w:tcW w:w="3260" w:type="dxa"/>
            <w:vAlign w:val="bottom"/>
            <w:shd w:val="clear" w:color="auto" w:fill="E5E5E5"/>
          </w:tcPr>
          <w:p>
            <w:pPr>
              <w:spacing w:after="0"/>
              <w:rPr>
                <w:sz w:val="18"/>
                <w:szCs w:val="18"/>
                <w:color w:val="auto"/>
              </w:rPr>
            </w:pPr>
          </w:p>
        </w:tc>
        <w:tc>
          <w:tcPr>
            <w:tcW w:w="7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2022</w:t>
            </w:r>
          </w:p>
        </w:tc>
        <w:tc>
          <w:tcPr>
            <w:tcW w:w="10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863,417</w:t>
            </w:r>
          </w:p>
        </w:tc>
        <w:tc>
          <w:tcPr>
            <w:tcW w:w="8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10,382,549</w:t>
            </w:r>
          </w:p>
        </w:tc>
        <w:tc>
          <w:tcPr>
            <w:tcW w:w="36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(7)</w:t>
            </w:r>
          </w:p>
        </w:tc>
        <w:tc>
          <w:tcPr>
            <w:tcW w:w="1180" w:type="dxa"/>
            <w:vAlign w:val="bottom"/>
            <w:shd w:val="clear" w:color="auto" w:fill="E5E5E5"/>
          </w:tcPr>
          <w:p>
            <w:pPr>
              <w:jc w:val="center"/>
              <w:ind w:left="1"/>
              <w:spacing w:after="0"/>
              <w:rPr>
                <w:sz w:val="20"/>
                <w:szCs w:val="20"/>
                <w:color w:val="auto"/>
              </w:rPr>
            </w:pPr>
            <w:r>
              <w:rPr>
                <w:rFonts w:ascii="Arial" w:cs="Arial" w:eastAsia="Arial" w:hAnsi="Arial"/>
                <w:sz w:val="16"/>
                <w:szCs w:val="16"/>
                <w:color w:val="auto"/>
              </w:rPr>
              <w:t>783,315</w:t>
            </w:r>
          </w:p>
        </w:tc>
        <w:tc>
          <w:tcPr>
            <w:tcW w:w="3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w:t>
            </w:r>
          </w:p>
        </w:tc>
        <w:tc>
          <w:tcPr>
            <w:tcW w:w="1420" w:type="dxa"/>
            <w:vAlign w:val="bottom"/>
            <w:shd w:val="clear" w:color="auto" w:fill="E5E5E5"/>
          </w:tcPr>
          <w:p>
            <w:pPr>
              <w:jc w:val="center"/>
              <w:ind w:right="20"/>
              <w:spacing w:after="0"/>
              <w:rPr>
                <w:sz w:val="20"/>
                <w:szCs w:val="20"/>
                <w:color w:val="auto"/>
              </w:rPr>
            </w:pPr>
            <w:r>
              <w:rPr>
                <w:rFonts w:ascii="Arial" w:cs="Arial" w:eastAsia="Arial" w:hAnsi="Arial"/>
                <w:sz w:val="16"/>
                <w:szCs w:val="16"/>
                <w:color w:val="auto"/>
                <w:w w:val="99"/>
              </w:rPr>
              <w:t>2,688</w:t>
            </w: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12,031,969</w:t>
            </w:r>
          </w:p>
        </w:tc>
        <w:tc>
          <w:tcPr>
            <w:tcW w:w="0" w:type="dxa"/>
            <w:vAlign w:val="bottom"/>
          </w:tcPr>
          <w:p>
            <w:pPr>
              <w:spacing w:after="0"/>
              <w:rPr>
                <w:sz w:val="1"/>
                <w:szCs w:val="1"/>
                <w:color w:val="auto"/>
              </w:rPr>
            </w:pPr>
          </w:p>
        </w:tc>
      </w:tr>
      <w:tr>
        <w:trPr>
          <w:trHeight w:val="256"/>
        </w:trPr>
        <w:tc>
          <w:tcPr>
            <w:tcW w:w="3260" w:type="dxa"/>
            <w:vAlign w:val="bottom"/>
          </w:tcPr>
          <w:p>
            <w:pPr>
              <w:ind w:left="100"/>
              <w:spacing w:after="0"/>
              <w:rPr>
                <w:sz w:val="20"/>
                <w:szCs w:val="20"/>
                <w:color w:val="auto"/>
              </w:rPr>
            </w:pPr>
            <w:r>
              <w:rPr>
                <w:rFonts w:ascii="Arial" w:cs="Arial" w:eastAsia="Arial" w:hAnsi="Arial"/>
                <w:sz w:val="16"/>
                <w:szCs w:val="16"/>
                <w:b w:val="1"/>
                <w:bCs w:val="1"/>
                <w:color w:val="0071CE"/>
              </w:rPr>
              <w:t>Kenneth Myszkowski</w:t>
            </w:r>
          </w:p>
        </w:tc>
        <w:tc>
          <w:tcPr>
            <w:tcW w:w="720" w:type="dxa"/>
            <w:vAlign w:val="bottom"/>
          </w:tcPr>
          <w:p>
            <w:pPr>
              <w:jc w:val="center"/>
              <w:spacing w:after="0"/>
              <w:rPr>
                <w:sz w:val="20"/>
                <w:szCs w:val="20"/>
                <w:color w:val="auto"/>
              </w:rPr>
            </w:pPr>
            <w:r>
              <w:rPr>
                <w:rFonts w:ascii="Arial" w:cs="Arial" w:eastAsia="Arial" w:hAnsi="Arial"/>
                <w:sz w:val="16"/>
                <w:szCs w:val="16"/>
                <w:color w:val="auto"/>
              </w:rPr>
              <w:t>2024</w:t>
            </w:r>
          </w:p>
        </w:tc>
        <w:tc>
          <w:tcPr>
            <w:tcW w:w="1020" w:type="dxa"/>
            <w:vAlign w:val="bottom"/>
          </w:tcPr>
          <w:p>
            <w:pPr>
              <w:jc w:val="center"/>
              <w:spacing w:after="0"/>
              <w:rPr>
                <w:sz w:val="20"/>
                <w:szCs w:val="20"/>
                <w:color w:val="auto"/>
              </w:rPr>
            </w:pPr>
            <w:r>
              <w:rPr>
                <w:rFonts w:ascii="Arial" w:cs="Arial" w:eastAsia="Arial" w:hAnsi="Arial"/>
                <w:sz w:val="16"/>
                <w:szCs w:val="16"/>
                <w:color w:val="auto"/>
              </w:rPr>
              <w:t>592,369</w:t>
            </w:r>
          </w:p>
        </w:tc>
        <w:tc>
          <w:tcPr>
            <w:tcW w:w="840" w:type="dxa"/>
            <w:vAlign w:val="bottom"/>
          </w:tcPr>
          <w:p>
            <w:pPr>
              <w:jc w:val="center"/>
              <w:spacing w:after="0"/>
              <w:rPr>
                <w:sz w:val="20"/>
                <w:szCs w:val="20"/>
                <w:color w:val="auto"/>
              </w:rPr>
            </w:pPr>
            <w:r>
              <w:rPr>
                <w:rFonts w:ascii="Arial" w:cs="Arial" w:eastAsia="Arial" w:hAnsi="Arial"/>
                <w:sz w:val="16"/>
                <w:szCs w:val="16"/>
                <w:color w:val="auto"/>
              </w:rPr>
              <w:t>—</w:t>
            </w:r>
          </w:p>
        </w:tc>
        <w:tc>
          <w:tcPr>
            <w:tcW w:w="1040" w:type="dxa"/>
            <w:vAlign w:val="bottom"/>
          </w:tcPr>
          <w:p>
            <w:pPr>
              <w:jc w:val="center"/>
              <w:spacing w:after="0"/>
              <w:rPr>
                <w:sz w:val="20"/>
                <w:szCs w:val="20"/>
                <w:color w:val="auto"/>
              </w:rPr>
            </w:pPr>
            <w:r>
              <w:rPr>
                <w:rFonts w:ascii="Arial" w:cs="Arial" w:eastAsia="Arial" w:hAnsi="Arial"/>
                <w:sz w:val="16"/>
                <w:szCs w:val="16"/>
                <w:color w:val="auto"/>
              </w:rPr>
              <w:t>2,589,750</w:t>
            </w:r>
          </w:p>
        </w:tc>
        <w:tc>
          <w:tcPr>
            <w:tcW w:w="360" w:type="dxa"/>
            <w:vAlign w:val="bottom"/>
          </w:tcPr>
          <w:p>
            <w:pPr>
              <w:spacing w:after="0"/>
              <w:rPr>
                <w:sz w:val="22"/>
                <w:szCs w:val="22"/>
                <w:color w:val="auto"/>
              </w:rPr>
            </w:pPr>
          </w:p>
        </w:tc>
        <w:tc>
          <w:tcPr>
            <w:tcW w:w="1180" w:type="dxa"/>
            <w:vAlign w:val="bottom"/>
          </w:tcPr>
          <w:p>
            <w:pPr>
              <w:jc w:val="center"/>
              <w:ind w:left="1"/>
              <w:spacing w:after="0"/>
              <w:rPr>
                <w:sz w:val="20"/>
                <w:szCs w:val="20"/>
                <w:color w:val="auto"/>
              </w:rPr>
            </w:pPr>
            <w:r>
              <w:rPr>
                <w:rFonts w:ascii="Arial" w:cs="Arial" w:eastAsia="Arial" w:hAnsi="Arial"/>
                <w:sz w:val="16"/>
                <w:szCs w:val="16"/>
                <w:color w:val="auto"/>
              </w:rPr>
              <w:t>314,496</w:t>
            </w:r>
          </w:p>
        </w:tc>
        <w:tc>
          <w:tcPr>
            <w:tcW w:w="300" w:type="dxa"/>
            <w:vAlign w:val="bottom"/>
          </w:tcPr>
          <w:p>
            <w:pPr>
              <w:spacing w:after="0"/>
              <w:rPr>
                <w:sz w:val="22"/>
                <w:szCs w:val="22"/>
                <w:color w:val="auto"/>
              </w:rPr>
            </w:pPr>
          </w:p>
        </w:tc>
        <w:tc>
          <w:tcPr>
            <w:tcW w:w="1420" w:type="dxa"/>
            <w:vAlign w:val="bottom"/>
          </w:tcPr>
          <w:p>
            <w:pPr>
              <w:jc w:val="center"/>
              <w:ind w:right="20"/>
              <w:spacing w:after="0"/>
              <w:rPr>
                <w:sz w:val="20"/>
                <w:szCs w:val="20"/>
                <w:color w:val="auto"/>
              </w:rPr>
            </w:pPr>
            <w:r>
              <w:rPr>
                <w:rFonts w:ascii="Arial" w:cs="Arial" w:eastAsia="Arial" w:hAnsi="Arial"/>
                <w:sz w:val="16"/>
                <w:szCs w:val="16"/>
                <w:color w:val="auto"/>
                <w:w w:val="98"/>
              </w:rPr>
              <w:t>15,761</w:t>
            </w:r>
          </w:p>
        </w:tc>
        <w:tc>
          <w:tcPr>
            <w:tcW w:w="1040" w:type="dxa"/>
            <w:vAlign w:val="bottom"/>
          </w:tcPr>
          <w:p>
            <w:pPr>
              <w:jc w:val="right"/>
              <w:spacing w:after="0"/>
              <w:rPr>
                <w:sz w:val="20"/>
                <w:szCs w:val="20"/>
                <w:color w:val="auto"/>
              </w:rPr>
            </w:pPr>
            <w:r>
              <w:rPr>
                <w:rFonts w:ascii="Arial" w:cs="Arial" w:eastAsia="Arial" w:hAnsi="Arial"/>
                <w:sz w:val="16"/>
                <w:szCs w:val="16"/>
                <w:color w:val="auto"/>
              </w:rPr>
              <w:t>3,512,376</w:t>
            </w:r>
          </w:p>
        </w:tc>
        <w:tc>
          <w:tcPr>
            <w:tcW w:w="0" w:type="dxa"/>
            <w:vAlign w:val="bottom"/>
          </w:tcPr>
          <w:p>
            <w:pPr>
              <w:spacing w:after="0"/>
              <w:rPr>
                <w:sz w:val="1"/>
                <w:szCs w:val="1"/>
                <w:color w:val="auto"/>
              </w:rPr>
            </w:pPr>
          </w:p>
        </w:tc>
      </w:tr>
      <w:tr>
        <w:trPr>
          <w:trHeight w:val="215"/>
        </w:trPr>
        <w:tc>
          <w:tcPr>
            <w:tcW w:w="3260" w:type="dxa"/>
            <w:vAlign w:val="bottom"/>
          </w:tcPr>
          <w:p>
            <w:pPr>
              <w:ind w:left="100"/>
              <w:spacing w:after="0"/>
              <w:rPr>
                <w:sz w:val="20"/>
                <w:szCs w:val="20"/>
                <w:color w:val="auto"/>
              </w:rPr>
            </w:pPr>
            <w:r>
              <w:rPr>
                <w:rFonts w:ascii="Arial" w:cs="Arial" w:eastAsia="Arial" w:hAnsi="Arial"/>
                <w:sz w:val="16"/>
                <w:szCs w:val="16"/>
                <w:color w:val="auto"/>
              </w:rPr>
              <w:t>Chief Financial Officer</w:t>
            </w:r>
          </w:p>
        </w:tc>
        <w:tc>
          <w:tcPr>
            <w:tcW w:w="720" w:type="dxa"/>
            <w:vAlign w:val="bottom"/>
          </w:tcPr>
          <w:p>
            <w:pPr>
              <w:jc w:val="center"/>
              <w:spacing w:after="0"/>
              <w:rPr>
                <w:sz w:val="20"/>
                <w:szCs w:val="20"/>
                <w:color w:val="auto"/>
              </w:rPr>
            </w:pPr>
            <w:r>
              <w:rPr>
                <w:rFonts w:ascii="Arial" w:cs="Arial" w:eastAsia="Arial" w:hAnsi="Arial"/>
                <w:sz w:val="16"/>
                <w:szCs w:val="16"/>
                <w:color w:val="auto"/>
              </w:rPr>
              <w:t>2023</w:t>
            </w:r>
          </w:p>
        </w:tc>
        <w:tc>
          <w:tcPr>
            <w:tcW w:w="1020" w:type="dxa"/>
            <w:vAlign w:val="bottom"/>
          </w:tcPr>
          <w:p>
            <w:pPr>
              <w:jc w:val="center"/>
              <w:spacing w:after="0"/>
              <w:rPr>
                <w:sz w:val="20"/>
                <w:szCs w:val="20"/>
                <w:color w:val="auto"/>
              </w:rPr>
            </w:pPr>
            <w:r>
              <w:rPr>
                <w:rFonts w:ascii="Arial" w:cs="Arial" w:eastAsia="Arial" w:hAnsi="Arial"/>
                <w:sz w:val="16"/>
                <w:szCs w:val="16"/>
                <w:color w:val="auto"/>
              </w:rPr>
              <w:t>568,128</w:t>
            </w:r>
          </w:p>
        </w:tc>
        <w:tc>
          <w:tcPr>
            <w:tcW w:w="840" w:type="dxa"/>
            <w:vAlign w:val="bottom"/>
          </w:tcPr>
          <w:p>
            <w:pPr>
              <w:jc w:val="center"/>
              <w:spacing w:after="0"/>
              <w:rPr>
                <w:sz w:val="20"/>
                <w:szCs w:val="20"/>
                <w:color w:val="auto"/>
              </w:rPr>
            </w:pPr>
            <w:r>
              <w:rPr>
                <w:rFonts w:ascii="Arial" w:cs="Arial" w:eastAsia="Arial" w:hAnsi="Arial"/>
                <w:sz w:val="16"/>
                <w:szCs w:val="16"/>
                <w:color w:val="auto"/>
              </w:rPr>
              <w:t>—</w:t>
            </w:r>
          </w:p>
        </w:tc>
        <w:tc>
          <w:tcPr>
            <w:tcW w:w="1040" w:type="dxa"/>
            <w:vAlign w:val="bottom"/>
          </w:tcPr>
          <w:p>
            <w:pPr>
              <w:jc w:val="center"/>
              <w:spacing w:after="0"/>
              <w:rPr>
                <w:sz w:val="20"/>
                <w:szCs w:val="20"/>
                <w:color w:val="auto"/>
              </w:rPr>
            </w:pPr>
            <w:r>
              <w:rPr>
                <w:rFonts w:ascii="Arial" w:cs="Arial" w:eastAsia="Arial" w:hAnsi="Arial"/>
                <w:sz w:val="16"/>
                <w:szCs w:val="16"/>
                <w:color w:val="auto"/>
              </w:rPr>
              <w:t>2,284,800</w:t>
            </w:r>
          </w:p>
        </w:tc>
        <w:tc>
          <w:tcPr>
            <w:tcW w:w="360" w:type="dxa"/>
            <w:vAlign w:val="bottom"/>
          </w:tcPr>
          <w:p>
            <w:pPr>
              <w:spacing w:after="0"/>
              <w:rPr>
                <w:sz w:val="18"/>
                <w:szCs w:val="18"/>
                <w:color w:val="auto"/>
              </w:rPr>
            </w:pPr>
          </w:p>
        </w:tc>
        <w:tc>
          <w:tcPr>
            <w:tcW w:w="1180" w:type="dxa"/>
            <w:vAlign w:val="bottom"/>
          </w:tcPr>
          <w:p>
            <w:pPr>
              <w:jc w:val="center"/>
              <w:ind w:left="1"/>
              <w:spacing w:after="0"/>
              <w:rPr>
                <w:sz w:val="20"/>
                <w:szCs w:val="20"/>
                <w:color w:val="auto"/>
              </w:rPr>
            </w:pPr>
            <w:r>
              <w:rPr>
                <w:rFonts w:ascii="Arial" w:cs="Arial" w:eastAsia="Arial" w:hAnsi="Arial"/>
                <w:sz w:val="16"/>
                <w:szCs w:val="16"/>
                <w:color w:val="auto"/>
              </w:rPr>
              <w:t>252,000</w:t>
            </w:r>
          </w:p>
        </w:tc>
        <w:tc>
          <w:tcPr>
            <w:tcW w:w="300" w:type="dxa"/>
            <w:vAlign w:val="bottom"/>
          </w:tcPr>
          <w:p>
            <w:pPr>
              <w:spacing w:after="0"/>
              <w:rPr>
                <w:sz w:val="18"/>
                <w:szCs w:val="18"/>
                <w:color w:val="auto"/>
              </w:rPr>
            </w:pPr>
          </w:p>
        </w:tc>
        <w:tc>
          <w:tcPr>
            <w:tcW w:w="1420" w:type="dxa"/>
            <w:vAlign w:val="bottom"/>
          </w:tcPr>
          <w:p>
            <w:pPr>
              <w:jc w:val="center"/>
              <w:ind w:right="20"/>
              <w:spacing w:after="0"/>
              <w:rPr>
                <w:sz w:val="20"/>
                <w:szCs w:val="20"/>
                <w:color w:val="auto"/>
              </w:rPr>
            </w:pPr>
            <w:r>
              <w:rPr>
                <w:rFonts w:ascii="Arial" w:cs="Arial" w:eastAsia="Arial" w:hAnsi="Arial"/>
                <w:sz w:val="16"/>
                <w:szCs w:val="16"/>
                <w:color w:val="auto"/>
                <w:w w:val="98"/>
              </w:rPr>
              <w:t>14,215</w:t>
            </w:r>
          </w:p>
        </w:tc>
        <w:tc>
          <w:tcPr>
            <w:tcW w:w="1040" w:type="dxa"/>
            <w:vAlign w:val="bottom"/>
          </w:tcPr>
          <w:p>
            <w:pPr>
              <w:jc w:val="right"/>
              <w:spacing w:after="0"/>
              <w:rPr>
                <w:sz w:val="20"/>
                <w:szCs w:val="20"/>
                <w:color w:val="auto"/>
              </w:rPr>
            </w:pPr>
            <w:r>
              <w:rPr>
                <w:rFonts w:ascii="Arial" w:cs="Arial" w:eastAsia="Arial" w:hAnsi="Arial"/>
                <w:sz w:val="16"/>
                <w:szCs w:val="16"/>
                <w:color w:val="auto"/>
              </w:rPr>
              <w:t>3,119,143</w:t>
            </w:r>
          </w:p>
        </w:tc>
        <w:tc>
          <w:tcPr>
            <w:tcW w:w="0" w:type="dxa"/>
            <w:vAlign w:val="bottom"/>
          </w:tcPr>
          <w:p>
            <w:pPr>
              <w:spacing w:after="0"/>
              <w:rPr>
                <w:sz w:val="1"/>
                <w:szCs w:val="1"/>
                <w:color w:val="auto"/>
              </w:rPr>
            </w:pPr>
          </w:p>
        </w:tc>
      </w:tr>
      <w:tr>
        <w:trPr>
          <w:trHeight w:val="217"/>
        </w:trPr>
        <w:tc>
          <w:tcPr>
            <w:tcW w:w="32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rPr>
              <w:t>2022</w:t>
            </w:r>
          </w:p>
        </w:tc>
        <w:tc>
          <w:tcPr>
            <w:tcW w:w="1020" w:type="dxa"/>
            <w:vAlign w:val="bottom"/>
          </w:tcPr>
          <w:p>
            <w:pPr>
              <w:jc w:val="center"/>
              <w:spacing w:after="0"/>
              <w:rPr>
                <w:sz w:val="20"/>
                <w:szCs w:val="20"/>
                <w:color w:val="auto"/>
              </w:rPr>
            </w:pPr>
            <w:r>
              <w:rPr>
                <w:rFonts w:ascii="Arial" w:cs="Arial" w:eastAsia="Arial" w:hAnsi="Arial"/>
                <w:sz w:val="16"/>
                <w:szCs w:val="16"/>
                <w:color w:val="auto"/>
              </w:rPr>
              <w:t>509,648</w:t>
            </w:r>
          </w:p>
        </w:tc>
        <w:tc>
          <w:tcPr>
            <w:tcW w:w="840" w:type="dxa"/>
            <w:vAlign w:val="bottom"/>
          </w:tcPr>
          <w:p>
            <w:pPr>
              <w:jc w:val="center"/>
              <w:spacing w:after="0"/>
              <w:rPr>
                <w:sz w:val="20"/>
                <w:szCs w:val="20"/>
                <w:color w:val="auto"/>
              </w:rPr>
            </w:pPr>
            <w:r>
              <w:rPr>
                <w:rFonts w:ascii="Arial" w:cs="Arial" w:eastAsia="Arial" w:hAnsi="Arial"/>
                <w:sz w:val="16"/>
                <w:szCs w:val="16"/>
                <w:color w:val="auto"/>
              </w:rPr>
              <w:t>—</w:t>
            </w:r>
          </w:p>
        </w:tc>
        <w:tc>
          <w:tcPr>
            <w:tcW w:w="1040" w:type="dxa"/>
            <w:vAlign w:val="bottom"/>
          </w:tcPr>
          <w:p>
            <w:pPr>
              <w:jc w:val="center"/>
              <w:spacing w:after="0"/>
              <w:rPr>
                <w:sz w:val="20"/>
                <w:szCs w:val="20"/>
                <w:color w:val="auto"/>
              </w:rPr>
            </w:pPr>
            <w:r>
              <w:rPr>
                <w:rFonts w:ascii="Arial" w:cs="Arial" w:eastAsia="Arial" w:hAnsi="Arial"/>
                <w:sz w:val="16"/>
                <w:szCs w:val="16"/>
                <w:color w:val="auto"/>
              </w:rPr>
              <w:t>3,978,000</w:t>
            </w:r>
          </w:p>
        </w:tc>
        <w:tc>
          <w:tcPr>
            <w:tcW w:w="360" w:type="dxa"/>
            <w:vAlign w:val="bottom"/>
          </w:tcPr>
          <w:p>
            <w:pPr>
              <w:spacing w:after="0"/>
              <w:rPr>
                <w:sz w:val="18"/>
                <w:szCs w:val="18"/>
                <w:color w:val="auto"/>
              </w:rPr>
            </w:pPr>
          </w:p>
        </w:tc>
        <w:tc>
          <w:tcPr>
            <w:tcW w:w="1180" w:type="dxa"/>
            <w:vAlign w:val="bottom"/>
          </w:tcPr>
          <w:p>
            <w:pPr>
              <w:jc w:val="center"/>
              <w:ind w:left="1"/>
              <w:spacing w:after="0"/>
              <w:rPr>
                <w:sz w:val="20"/>
                <w:szCs w:val="20"/>
                <w:color w:val="auto"/>
              </w:rPr>
            </w:pPr>
            <w:r>
              <w:rPr>
                <w:rFonts w:ascii="Arial" w:cs="Arial" w:eastAsia="Arial" w:hAnsi="Arial"/>
                <w:sz w:val="16"/>
                <w:szCs w:val="16"/>
                <w:color w:val="auto"/>
              </w:rPr>
              <w:t>238,106</w:t>
            </w:r>
          </w:p>
        </w:tc>
        <w:tc>
          <w:tcPr>
            <w:tcW w:w="300" w:type="dxa"/>
            <w:vAlign w:val="bottom"/>
          </w:tcPr>
          <w:p>
            <w:pPr>
              <w:spacing w:after="0"/>
              <w:rPr>
                <w:sz w:val="18"/>
                <w:szCs w:val="18"/>
                <w:color w:val="auto"/>
              </w:rPr>
            </w:pPr>
          </w:p>
        </w:tc>
        <w:tc>
          <w:tcPr>
            <w:tcW w:w="1420" w:type="dxa"/>
            <w:vAlign w:val="bottom"/>
          </w:tcPr>
          <w:p>
            <w:pPr>
              <w:jc w:val="center"/>
              <w:ind w:right="20"/>
              <w:spacing w:after="0"/>
              <w:rPr>
                <w:sz w:val="20"/>
                <w:szCs w:val="20"/>
                <w:color w:val="auto"/>
              </w:rPr>
            </w:pPr>
            <w:r>
              <w:rPr>
                <w:rFonts w:ascii="Arial" w:cs="Arial" w:eastAsia="Arial" w:hAnsi="Arial"/>
                <w:sz w:val="16"/>
                <w:szCs w:val="16"/>
                <w:color w:val="auto"/>
                <w:w w:val="98"/>
              </w:rPr>
              <w:t>13,798</w:t>
            </w:r>
          </w:p>
        </w:tc>
        <w:tc>
          <w:tcPr>
            <w:tcW w:w="1040" w:type="dxa"/>
            <w:vAlign w:val="bottom"/>
          </w:tcPr>
          <w:p>
            <w:pPr>
              <w:jc w:val="right"/>
              <w:spacing w:after="0"/>
              <w:rPr>
                <w:sz w:val="20"/>
                <w:szCs w:val="20"/>
                <w:color w:val="auto"/>
              </w:rPr>
            </w:pPr>
            <w:r>
              <w:rPr>
                <w:rFonts w:ascii="Arial" w:cs="Arial" w:eastAsia="Arial" w:hAnsi="Arial"/>
                <w:sz w:val="16"/>
                <w:szCs w:val="16"/>
                <w:color w:val="auto"/>
              </w:rPr>
              <w:t>4,739,552</w:t>
            </w:r>
          </w:p>
        </w:tc>
        <w:tc>
          <w:tcPr>
            <w:tcW w:w="0" w:type="dxa"/>
            <w:vAlign w:val="bottom"/>
          </w:tcPr>
          <w:p>
            <w:pPr>
              <w:spacing w:after="0"/>
              <w:rPr>
                <w:sz w:val="1"/>
                <w:szCs w:val="1"/>
                <w:color w:val="auto"/>
              </w:rPr>
            </w:pPr>
          </w:p>
        </w:tc>
      </w:tr>
      <w:tr>
        <w:trPr>
          <w:trHeight w:val="263"/>
        </w:trPr>
        <w:tc>
          <w:tcPr>
            <w:tcW w:w="3260" w:type="dxa"/>
            <w:vAlign w:val="bottom"/>
            <w:shd w:val="clear" w:color="auto" w:fill="E5E5E5"/>
          </w:tcPr>
          <w:p>
            <w:pPr>
              <w:ind w:left="100"/>
              <w:spacing w:after="0"/>
              <w:rPr>
                <w:sz w:val="20"/>
                <w:szCs w:val="20"/>
                <w:color w:val="auto"/>
              </w:rPr>
            </w:pPr>
            <w:r>
              <w:rPr>
                <w:rFonts w:ascii="Arial" w:cs="Arial" w:eastAsia="Arial" w:hAnsi="Arial"/>
                <w:sz w:val="16"/>
                <w:szCs w:val="16"/>
                <w:b w:val="1"/>
                <w:bCs w:val="1"/>
                <w:color w:val="0071CE"/>
              </w:rPr>
              <w:t>Patrick O’Brien</w:t>
            </w:r>
          </w:p>
        </w:tc>
        <w:tc>
          <w:tcPr>
            <w:tcW w:w="7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2024</w:t>
            </w:r>
          </w:p>
        </w:tc>
        <w:tc>
          <w:tcPr>
            <w:tcW w:w="10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605,259</w:t>
            </w:r>
          </w:p>
        </w:tc>
        <w:tc>
          <w:tcPr>
            <w:tcW w:w="8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2,935,050</w:t>
            </w:r>
          </w:p>
        </w:tc>
        <w:tc>
          <w:tcPr>
            <w:tcW w:w="360" w:type="dxa"/>
            <w:vAlign w:val="bottom"/>
            <w:shd w:val="clear" w:color="auto" w:fill="E5E5E5"/>
          </w:tcPr>
          <w:p>
            <w:pPr>
              <w:spacing w:after="0"/>
              <w:rPr>
                <w:sz w:val="22"/>
                <w:szCs w:val="22"/>
                <w:color w:val="auto"/>
              </w:rPr>
            </w:pPr>
          </w:p>
        </w:tc>
        <w:tc>
          <w:tcPr>
            <w:tcW w:w="1180" w:type="dxa"/>
            <w:vAlign w:val="bottom"/>
            <w:shd w:val="clear" w:color="auto" w:fill="E5E5E5"/>
          </w:tcPr>
          <w:p>
            <w:pPr>
              <w:jc w:val="center"/>
              <w:ind w:left="1"/>
              <w:spacing w:after="0"/>
              <w:rPr>
                <w:sz w:val="20"/>
                <w:szCs w:val="20"/>
                <w:color w:val="auto"/>
              </w:rPr>
            </w:pPr>
            <w:r>
              <w:rPr>
                <w:rFonts w:ascii="Arial" w:cs="Arial" w:eastAsia="Arial" w:hAnsi="Arial"/>
                <w:sz w:val="16"/>
                <w:szCs w:val="16"/>
                <w:color w:val="auto"/>
              </w:rPr>
              <w:t>378,000</w:t>
            </w:r>
          </w:p>
        </w:tc>
        <w:tc>
          <w:tcPr>
            <w:tcW w:w="300" w:type="dxa"/>
            <w:vAlign w:val="bottom"/>
            <w:shd w:val="clear" w:color="auto" w:fill="E5E5E5"/>
          </w:tcPr>
          <w:p>
            <w:pPr>
              <w:spacing w:after="0"/>
              <w:rPr>
                <w:sz w:val="22"/>
                <w:szCs w:val="22"/>
                <w:color w:val="auto"/>
              </w:rPr>
            </w:pPr>
          </w:p>
        </w:tc>
        <w:tc>
          <w:tcPr>
            <w:tcW w:w="1420" w:type="dxa"/>
            <w:vAlign w:val="bottom"/>
            <w:shd w:val="clear" w:color="auto" w:fill="E5E5E5"/>
          </w:tcPr>
          <w:p>
            <w:pPr>
              <w:jc w:val="center"/>
              <w:ind w:right="20"/>
              <w:spacing w:after="0"/>
              <w:rPr>
                <w:sz w:val="20"/>
                <w:szCs w:val="20"/>
                <w:color w:val="auto"/>
              </w:rPr>
            </w:pPr>
            <w:r>
              <w:rPr>
                <w:rFonts w:ascii="Arial" w:cs="Arial" w:eastAsia="Arial" w:hAnsi="Arial"/>
                <w:sz w:val="16"/>
                <w:szCs w:val="16"/>
                <w:color w:val="auto"/>
                <w:w w:val="98"/>
              </w:rPr>
              <w:t>15,261</w:t>
            </w: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3,933,570</w:t>
            </w:r>
          </w:p>
        </w:tc>
        <w:tc>
          <w:tcPr>
            <w:tcW w:w="0" w:type="dxa"/>
            <w:vAlign w:val="bottom"/>
          </w:tcPr>
          <w:p>
            <w:pPr>
              <w:spacing w:after="0"/>
              <w:rPr>
                <w:sz w:val="1"/>
                <w:szCs w:val="1"/>
                <w:color w:val="auto"/>
              </w:rPr>
            </w:pPr>
          </w:p>
        </w:tc>
      </w:tr>
      <w:tr>
        <w:trPr>
          <w:trHeight w:val="413"/>
        </w:trPr>
        <w:tc>
          <w:tcPr>
            <w:tcW w:w="3260" w:type="dxa"/>
            <w:vAlign w:val="bottom"/>
            <w:shd w:val="clear" w:color="auto" w:fill="E5E5E5"/>
          </w:tcPr>
          <w:p>
            <w:pPr>
              <w:ind w:left="100"/>
              <w:spacing w:after="0"/>
              <w:rPr>
                <w:sz w:val="20"/>
                <w:szCs w:val="20"/>
                <w:color w:val="auto"/>
              </w:rPr>
            </w:pPr>
            <w:r>
              <w:rPr>
                <w:rFonts w:ascii="Arial" w:cs="Arial" w:eastAsia="Arial" w:hAnsi="Arial"/>
                <w:sz w:val="16"/>
                <w:szCs w:val="16"/>
                <w:color w:val="auto"/>
              </w:rPr>
              <w:t>Chief Operating Officer and General</w:t>
            </w:r>
          </w:p>
        </w:tc>
        <w:tc>
          <w:tcPr>
            <w:tcW w:w="7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2023</w:t>
            </w:r>
          </w:p>
        </w:tc>
        <w:tc>
          <w:tcPr>
            <w:tcW w:w="10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568,422</w:t>
            </w:r>
          </w:p>
        </w:tc>
        <w:tc>
          <w:tcPr>
            <w:tcW w:w="8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2,475,200</w:t>
            </w:r>
          </w:p>
        </w:tc>
        <w:tc>
          <w:tcPr>
            <w:tcW w:w="360" w:type="dxa"/>
            <w:vAlign w:val="bottom"/>
            <w:shd w:val="clear" w:color="auto" w:fill="E5E5E5"/>
          </w:tcPr>
          <w:p>
            <w:pPr>
              <w:spacing w:after="0"/>
              <w:rPr>
                <w:sz w:val="24"/>
                <w:szCs w:val="24"/>
                <w:color w:val="auto"/>
              </w:rPr>
            </w:pPr>
          </w:p>
        </w:tc>
        <w:tc>
          <w:tcPr>
            <w:tcW w:w="1180" w:type="dxa"/>
            <w:vAlign w:val="bottom"/>
            <w:shd w:val="clear" w:color="auto" w:fill="E5E5E5"/>
          </w:tcPr>
          <w:p>
            <w:pPr>
              <w:jc w:val="center"/>
              <w:ind w:left="1"/>
              <w:spacing w:after="0"/>
              <w:rPr>
                <w:sz w:val="20"/>
                <w:szCs w:val="20"/>
                <w:color w:val="auto"/>
              </w:rPr>
            </w:pPr>
            <w:r>
              <w:rPr>
                <w:rFonts w:ascii="Arial" w:cs="Arial" w:eastAsia="Arial" w:hAnsi="Arial"/>
                <w:sz w:val="16"/>
                <w:szCs w:val="16"/>
                <w:color w:val="auto"/>
              </w:rPr>
              <w:t>252,000</w:t>
            </w:r>
          </w:p>
        </w:tc>
        <w:tc>
          <w:tcPr>
            <w:tcW w:w="300" w:type="dxa"/>
            <w:vAlign w:val="bottom"/>
            <w:shd w:val="clear" w:color="auto" w:fill="E5E5E5"/>
          </w:tcPr>
          <w:p>
            <w:pPr>
              <w:spacing w:after="0"/>
              <w:rPr>
                <w:sz w:val="24"/>
                <w:szCs w:val="24"/>
                <w:color w:val="auto"/>
              </w:rPr>
            </w:pPr>
          </w:p>
        </w:tc>
        <w:tc>
          <w:tcPr>
            <w:tcW w:w="1420" w:type="dxa"/>
            <w:vAlign w:val="bottom"/>
            <w:shd w:val="clear" w:color="auto" w:fill="E5E5E5"/>
          </w:tcPr>
          <w:p>
            <w:pPr>
              <w:jc w:val="center"/>
              <w:ind w:right="20"/>
              <w:spacing w:after="0"/>
              <w:rPr>
                <w:sz w:val="20"/>
                <w:szCs w:val="20"/>
                <w:color w:val="auto"/>
              </w:rPr>
            </w:pPr>
            <w:r>
              <w:rPr>
                <w:rFonts w:ascii="Arial" w:cs="Arial" w:eastAsia="Arial" w:hAnsi="Arial"/>
                <w:sz w:val="16"/>
                <w:szCs w:val="16"/>
                <w:color w:val="auto"/>
                <w:w w:val="98"/>
              </w:rPr>
              <w:t>14,715</w:t>
            </w: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3,310,337</w:t>
            </w:r>
          </w:p>
        </w:tc>
        <w:tc>
          <w:tcPr>
            <w:tcW w:w="0" w:type="dxa"/>
            <w:vAlign w:val="bottom"/>
          </w:tcPr>
          <w:p>
            <w:pPr>
              <w:spacing w:after="0"/>
              <w:rPr>
                <w:sz w:val="1"/>
                <w:szCs w:val="1"/>
                <w:color w:val="auto"/>
              </w:rPr>
            </w:pPr>
          </w:p>
        </w:tc>
      </w:tr>
      <w:tr>
        <w:trPr>
          <w:trHeight w:val="215"/>
        </w:trPr>
        <w:tc>
          <w:tcPr>
            <w:tcW w:w="3260" w:type="dxa"/>
            <w:vAlign w:val="bottom"/>
            <w:shd w:val="clear" w:color="auto" w:fill="E5E5E5"/>
          </w:tcPr>
          <w:p>
            <w:pPr>
              <w:ind w:left="100"/>
              <w:spacing w:after="0"/>
              <w:rPr>
                <w:sz w:val="20"/>
                <w:szCs w:val="20"/>
                <w:color w:val="auto"/>
              </w:rPr>
            </w:pPr>
            <w:r>
              <w:rPr>
                <w:rFonts w:ascii="Arial" w:cs="Arial" w:eastAsia="Arial" w:hAnsi="Arial"/>
                <w:sz w:val="16"/>
                <w:szCs w:val="16"/>
                <w:color w:val="auto"/>
              </w:rPr>
              <w:t>Counsel</w:t>
            </w:r>
          </w:p>
        </w:tc>
        <w:tc>
          <w:tcPr>
            <w:tcW w:w="72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18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142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60" w:type="dxa"/>
            <w:vAlign w:val="bottom"/>
            <w:shd w:val="clear" w:color="auto" w:fill="E5E5E5"/>
          </w:tcPr>
          <w:p>
            <w:pPr>
              <w:spacing w:after="0"/>
              <w:rPr>
                <w:sz w:val="18"/>
                <w:szCs w:val="18"/>
                <w:color w:val="auto"/>
              </w:rPr>
            </w:pPr>
          </w:p>
        </w:tc>
        <w:tc>
          <w:tcPr>
            <w:tcW w:w="7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2022</w:t>
            </w:r>
          </w:p>
        </w:tc>
        <w:tc>
          <w:tcPr>
            <w:tcW w:w="10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500,466</w:t>
            </w:r>
          </w:p>
        </w:tc>
        <w:tc>
          <w:tcPr>
            <w:tcW w:w="8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3,978,000</w:t>
            </w:r>
          </w:p>
        </w:tc>
        <w:tc>
          <w:tcPr>
            <w:tcW w:w="360" w:type="dxa"/>
            <w:vAlign w:val="bottom"/>
            <w:shd w:val="clear" w:color="auto" w:fill="E5E5E5"/>
          </w:tcPr>
          <w:p>
            <w:pPr>
              <w:spacing w:after="0"/>
              <w:rPr>
                <w:sz w:val="18"/>
                <w:szCs w:val="18"/>
                <w:color w:val="auto"/>
              </w:rPr>
            </w:pPr>
          </w:p>
        </w:tc>
        <w:tc>
          <w:tcPr>
            <w:tcW w:w="1180" w:type="dxa"/>
            <w:vAlign w:val="bottom"/>
            <w:shd w:val="clear" w:color="auto" w:fill="E5E5E5"/>
          </w:tcPr>
          <w:p>
            <w:pPr>
              <w:jc w:val="center"/>
              <w:ind w:left="1"/>
              <w:spacing w:after="0"/>
              <w:rPr>
                <w:sz w:val="20"/>
                <w:szCs w:val="20"/>
                <w:color w:val="auto"/>
              </w:rPr>
            </w:pPr>
            <w:r>
              <w:rPr>
                <w:rFonts w:ascii="Arial" w:cs="Arial" w:eastAsia="Arial" w:hAnsi="Arial"/>
                <w:sz w:val="16"/>
                <w:szCs w:val="16"/>
                <w:color w:val="auto"/>
              </w:rPr>
              <w:t>235,599</w:t>
            </w:r>
          </w:p>
        </w:tc>
        <w:tc>
          <w:tcPr>
            <w:tcW w:w="300" w:type="dxa"/>
            <w:vAlign w:val="bottom"/>
            <w:shd w:val="clear" w:color="auto" w:fill="E5E5E5"/>
          </w:tcPr>
          <w:p>
            <w:pPr>
              <w:spacing w:after="0"/>
              <w:rPr>
                <w:sz w:val="18"/>
                <w:szCs w:val="18"/>
                <w:color w:val="auto"/>
              </w:rPr>
            </w:pPr>
          </w:p>
        </w:tc>
        <w:tc>
          <w:tcPr>
            <w:tcW w:w="1420" w:type="dxa"/>
            <w:vAlign w:val="bottom"/>
            <w:shd w:val="clear" w:color="auto" w:fill="E5E5E5"/>
          </w:tcPr>
          <w:p>
            <w:pPr>
              <w:jc w:val="center"/>
              <w:ind w:right="20"/>
              <w:spacing w:after="0"/>
              <w:rPr>
                <w:sz w:val="20"/>
                <w:szCs w:val="20"/>
                <w:color w:val="auto"/>
              </w:rPr>
            </w:pPr>
            <w:r>
              <w:rPr>
                <w:rFonts w:ascii="Arial" w:cs="Arial" w:eastAsia="Arial" w:hAnsi="Arial"/>
                <w:sz w:val="16"/>
                <w:szCs w:val="16"/>
                <w:color w:val="auto"/>
                <w:w w:val="98"/>
              </w:rPr>
              <w:t>13,798</w:t>
            </w: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4,727,863</w:t>
            </w:r>
          </w:p>
        </w:tc>
        <w:tc>
          <w:tcPr>
            <w:tcW w:w="0" w:type="dxa"/>
            <w:vAlign w:val="bottom"/>
          </w:tcPr>
          <w:p>
            <w:pPr>
              <w:spacing w:after="0"/>
              <w:rPr>
                <w:sz w:val="1"/>
                <w:szCs w:val="1"/>
                <w:color w:val="auto"/>
              </w:rPr>
            </w:pPr>
          </w:p>
        </w:tc>
      </w:tr>
      <w:tr>
        <w:trPr>
          <w:trHeight w:val="256"/>
        </w:trPr>
        <w:tc>
          <w:tcPr>
            <w:tcW w:w="3260" w:type="dxa"/>
            <w:vAlign w:val="bottom"/>
          </w:tcPr>
          <w:p>
            <w:pPr>
              <w:ind w:left="100"/>
              <w:spacing w:after="0"/>
              <w:rPr>
                <w:sz w:val="20"/>
                <w:szCs w:val="20"/>
                <w:color w:val="auto"/>
              </w:rPr>
            </w:pPr>
            <w:r>
              <w:rPr>
                <w:rFonts w:ascii="Arial" w:cs="Arial" w:eastAsia="Arial" w:hAnsi="Arial"/>
                <w:sz w:val="16"/>
                <w:szCs w:val="16"/>
                <w:b w:val="1"/>
                <w:bCs w:val="1"/>
                <w:color w:val="0071CE"/>
              </w:rPr>
              <w:t>James Hamilton</w:t>
            </w:r>
          </w:p>
        </w:tc>
        <w:tc>
          <w:tcPr>
            <w:tcW w:w="720" w:type="dxa"/>
            <w:vAlign w:val="bottom"/>
          </w:tcPr>
          <w:p>
            <w:pPr>
              <w:jc w:val="center"/>
              <w:spacing w:after="0"/>
              <w:rPr>
                <w:sz w:val="20"/>
                <w:szCs w:val="20"/>
                <w:color w:val="auto"/>
              </w:rPr>
            </w:pPr>
            <w:r>
              <w:rPr>
                <w:rFonts w:ascii="Arial" w:cs="Arial" w:eastAsia="Arial" w:hAnsi="Arial"/>
                <w:sz w:val="16"/>
                <w:szCs w:val="16"/>
                <w:color w:val="auto"/>
              </w:rPr>
              <w:t>2024</w:t>
            </w:r>
          </w:p>
        </w:tc>
        <w:tc>
          <w:tcPr>
            <w:tcW w:w="1020" w:type="dxa"/>
            <w:vAlign w:val="bottom"/>
          </w:tcPr>
          <w:p>
            <w:pPr>
              <w:jc w:val="center"/>
              <w:spacing w:after="0"/>
              <w:rPr>
                <w:sz w:val="20"/>
                <w:szCs w:val="20"/>
                <w:color w:val="auto"/>
              </w:rPr>
            </w:pPr>
            <w:r>
              <w:rPr>
                <w:rFonts w:ascii="Arial" w:cs="Arial" w:eastAsia="Arial" w:hAnsi="Arial"/>
                <w:sz w:val="16"/>
                <w:szCs w:val="16"/>
                <w:color w:val="auto"/>
              </w:rPr>
              <w:t>567,937</w:t>
            </w:r>
          </w:p>
        </w:tc>
        <w:tc>
          <w:tcPr>
            <w:tcW w:w="840" w:type="dxa"/>
            <w:vAlign w:val="bottom"/>
          </w:tcPr>
          <w:p>
            <w:pPr>
              <w:jc w:val="center"/>
              <w:spacing w:after="0"/>
              <w:rPr>
                <w:sz w:val="20"/>
                <w:szCs w:val="20"/>
                <w:color w:val="auto"/>
              </w:rPr>
            </w:pPr>
            <w:r>
              <w:rPr>
                <w:rFonts w:ascii="Arial" w:cs="Arial" w:eastAsia="Arial" w:hAnsi="Arial"/>
                <w:sz w:val="16"/>
                <w:szCs w:val="16"/>
                <w:color w:val="auto"/>
              </w:rPr>
              <w:t>—</w:t>
            </w:r>
          </w:p>
        </w:tc>
        <w:tc>
          <w:tcPr>
            <w:tcW w:w="1040" w:type="dxa"/>
            <w:vAlign w:val="bottom"/>
          </w:tcPr>
          <w:p>
            <w:pPr>
              <w:jc w:val="center"/>
              <w:spacing w:after="0"/>
              <w:rPr>
                <w:sz w:val="20"/>
                <w:szCs w:val="20"/>
                <w:color w:val="auto"/>
              </w:rPr>
            </w:pPr>
            <w:r>
              <w:rPr>
                <w:rFonts w:ascii="Arial" w:cs="Arial" w:eastAsia="Arial" w:hAnsi="Arial"/>
                <w:sz w:val="16"/>
                <w:szCs w:val="16"/>
                <w:color w:val="auto"/>
              </w:rPr>
              <w:t>2,589,750</w:t>
            </w:r>
          </w:p>
        </w:tc>
        <w:tc>
          <w:tcPr>
            <w:tcW w:w="360" w:type="dxa"/>
            <w:vAlign w:val="bottom"/>
          </w:tcPr>
          <w:p>
            <w:pPr>
              <w:spacing w:after="0"/>
              <w:rPr>
                <w:sz w:val="22"/>
                <w:szCs w:val="22"/>
                <w:color w:val="auto"/>
              </w:rPr>
            </w:pPr>
          </w:p>
        </w:tc>
        <w:tc>
          <w:tcPr>
            <w:tcW w:w="1180" w:type="dxa"/>
            <w:vAlign w:val="bottom"/>
          </w:tcPr>
          <w:p>
            <w:pPr>
              <w:jc w:val="center"/>
              <w:ind w:left="1"/>
              <w:spacing w:after="0"/>
              <w:rPr>
                <w:sz w:val="20"/>
                <w:szCs w:val="20"/>
                <w:color w:val="auto"/>
              </w:rPr>
            </w:pPr>
            <w:r>
              <w:rPr>
                <w:rFonts w:ascii="Arial" w:cs="Arial" w:eastAsia="Arial" w:hAnsi="Arial"/>
                <w:sz w:val="16"/>
                <w:szCs w:val="16"/>
                <w:color w:val="auto"/>
              </w:rPr>
              <w:t>314,496</w:t>
            </w:r>
          </w:p>
        </w:tc>
        <w:tc>
          <w:tcPr>
            <w:tcW w:w="300" w:type="dxa"/>
            <w:vAlign w:val="bottom"/>
          </w:tcPr>
          <w:p>
            <w:pPr>
              <w:spacing w:after="0"/>
              <w:rPr>
                <w:sz w:val="22"/>
                <w:szCs w:val="22"/>
                <w:color w:val="auto"/>
              </w:rPr>
            </w:pPr>
          </w:p>
        </w:tc>
        <w:tc>
          <w:tcPr>
            <w:tcW w:w="1420" w:type="dxa"/>
            <w:vAlign w:val="bottom"/>
          </w:tcPr>
          <w:p>
            <w:pPr>
              <w:jc w:val="center"/>
              <w:ind w:right="20"/>
              <w:spacing w:after="0"/>
              <w:rPr>
                <w:sz w:val="20"/>
                <w:szCs w:val="20"/>
                <w:color w:val="auto"/>
              </w:rPr>
            </w:pPr>
            <w:r>
              <w:rPr>
                <w:rFonts w:ascii="Arial" w:cs="Arial" w:eastAsia="Arial" w:hAnsi="Arial"/>
                <w:sz w:val="16"/>
                <w:szCs w:val="16"/>
                <w:color w:val="auto"/>
                <w:w w:val="98"/>
              </w:rPr>
              <w:t>15,261</w:t>
            </w:r>
          </w:p>
        </w:tc>
        <w:tc>
          <w:tcPr>
            <w:tcW w:w="1040" w:type="dxa"/>
            <w:vAlign w:val="bottom"/>
          </w:tcPr>
          <w:p>
            <w:pPr>
              <w:jc w:val="right"/>
              <w:spacing w:after="0"/>
              <w:rPr>
                <w:sz w:val="20"/>
                <w:szCs w:val="20"/>
                <w:color w:val="auto"/>
              </w:rPr>
            </w:pPr>
            <w:r>
              <w:rPr>
                <w:rFonts w:ascii="Arial" w:cs="Arial" w:eastAsia="Arial" w:hAnsi="Arial"/>
                <w:sz w:val="16"/>
                <w:szCs w:val="16"/>
                <w:color w:val="auto"/>
              </w:rPr>
              <w:t>3,487,444</w:t>
            </w:r>
          </w:p>
        </w:tc>
        <w:tc>
          <w:tcPr>
            <w:tcW w:w="0" w:type="dxa"/>
            <w:vAlign w:val="bottom"/>
          </w:tcPr>
          <w:p>
            <w:pPr>
              <w:spacing w:after="0"/>
              <w:rPr>
                <w:sz w:val="1"/>
                <w:szCs w:val="1"/>
                <w:color w:val="auto"/>
              </w:rPr>
            </w:pPr>
          </w:p>
        </w:tc>
      </w:tr>
      <w:tr>
        <w:trPr>
          <w:trHeight w:val="163"/>
        </w:trPr>
        <w:tc>
          <w:tcPr>
            <w:tcW w:w="3260" w:type="dxa"/>
            <w:vAlign w:val="bottom"/>
          </w:tcPr>
          <w:p>
            <w:pPr>
              <w:ind w:left="100"/>
              <w:spacing w:after="0" w:line="163" w:lineRule="exact"/>
              <w:rPr>
                <w:sz w:val="20"/>
                <w:szCs w:val="20"/>
                <w:color w:val="auto"/>
              </w:rPr>
            </w:pPr>
            <w:r>
              <w:rPr>
                <w:rFonts w:ascii="Arial" w:cs="Arial" w:eastAsia="Arial" w:hAnsi="Arial"/>
                <w:sz w:val="16"/>
                <w:szCs w:val="16"/>
                <w:color w:val="auto"/>
              </w:rPr>
              <w:t>Chief of Discovery and Translational</w:t>
            </w:r>
          </w:p>
        </w:tc>
        <w:tc>
          <w:tcPr>
            <w:tcW w:w="720" w:type="dxa"/>
            <w:vAlign w:val="bottom"/>
          </w:tcPr>
          <w:p>
            <w:pPr>
              <w:jc w:val="center"/>
              <w:spacing w:after="0" w:line="163" w:lineRule="exact"/>
              <w:rPr>
                <w:sz w:val="20"/>
                <w:szCs w:val="20"/>
                <w:color w:val="auto"/>
              </w:rPr>
            </w:pPr>
            <w:r>
              <w:rPr>
                <w:rFonts w:ascii="Arial" w:cs="Arial" w:eastAsia="Arial" w:hAnsi="Arial"/>
                <w:sz w:val="16"/>
                <w:szCs w:val="16"/>
                <w:color w:val="auto"/>
              </w:rPr>
              <w:t>2023</w:t>
            </w:r>
          </w:p>
        </w:tc>
        <w:tc>
          <w:tcPr>
            <w:tcW w:w="1020" w:type="dxa"/>
            <w:vAlign w:val="bottom"/>
          </w:tcPr>
          <w:p>
            <w:pPr>
              <w:jc w:val="center"/>
              <w:spacing w:after="0" w:line="163" w:lineRule="exact"/>
              <w:rPr>
                <w:sz w:val="20"/>
                <w:szCs w:val="20"/>
                <w:color w:val="auto"/>
              </w:rPr>
            </w:pPr>
            <w:r>
              <w:rPr>
                <w:rFonts w:ascii="Arial" w:cs="Arial" w:eastAsia="Arial" w:hAnsi="Arial"/>
                <w:sz w:val="16"/>
                <w:szCs w:val="16"/>
                <w:color w:val="auto"/>
                <w:w w:val="96"/>
              </w:rPr>
              <w:t>511,178</w:t>
            </w:r>
          </w:p>
        </w:tc>
        <w:tc>
          <w:tcPr>
            <w:tcW w:w="840" w:type="dxa"/>
            <w:vAlign w:val="bottom"/>
          </w:tcPr>
          <w:p>
            <w:pPr>
              <w:jc w:val="center"/>
              <w:spacing w:after="0" w:line="163" w:lineRule="exact"/>
              <w:rPr>
                <w:sz w:val="20"/>
                <w:szCs w:val="20"/>
                <w:color w:val="auto"/>
              </w:rPr>
            </w:pPr>
            <w:r>
              <w:rPr>
                <w:rFonts w:ascii="Arial" w:cs="Arial" w:eastAsia="Arial" w:hAnsi="Arial"/>
                <w:sz w:val="16"/>
                <w:szCs w:val="16"/>
                <w:color w:val="auto"/>
              </w:rPr>
              <w:t>—</w:t>
            </w:r>
          </w:p>
        </w:tc>
        <w:tc>
          <w:tcPr>
            <w:tcW w:w="1040" w:type="dxa"/>
            <w:vAlign w:val="bottom"/>
          </w:tcPr>
          <w:p>
            <w:pPr>
              <w:jc w:val="center"/>
              <w:spacing w:after="0" w:line="163" w:lineRule="exact"/>
              <w:rPr>
                <w:sz w:val="20"/>
                <w:szCs w:val="20"/>
                <w:color w:val="auto"/>
              </w:rPr>
            </w:pPr>
            <w:r>
              <w:rPr>
                <w:rFonts w:ascii="Arial" w:cs="Arial" w:eastAsia="Arial" w:hAnsi="Arial"/>
                <w:sz w:val="16"/>
                <w:szCs w:val="16"/>
                <w:color w:val="auto"/>
              </w:rPr>
              <w:t>2,284,800</w:t>
            </w:r>
          </w:p>
        </w:tc>
        <w:tc>
          <w:tcPr>
            <w:tcW w:w="360" w:type="dxa"/>
            <w:vAlign w:val="bottom"/>
          </w:tcPr>
          <w:p>
            <w:pPr>
              <w:spacing w:after="0"/>
              <w:rPr>
                <w:sz w:val="14"/>
                <w:szCs w:val="14"/>
                <w:color w:val="auto"/>
              </w:rPr>
            </w:pPr>
          </w:p>
        </w:tc>
        <w:tc>
          <w:tcPr>
            <w:tcW w:w="1180" w:type="dxa"/>
            <w:vAlign w:val="bottom"/>
          </w:tcPr>
          <w:p>
            <w:pPr>
              <w:jc w:val="center"/>
              <w:ind w:left="1"/>
              <w:spacing w:after="0" w:line="163" w:lineRule="exact"/>
              <w:rPr>
                <w:sz w:val="20"/>
                <w:szCs w:val="20"/>
                <w:color w:val="auto"/>
              </w:rPr>
            </w:pPr>
            <w:r>
              <w:rPr>
                <w:rFonts w:ascii="Arial" w:cs="Arial" w:eastAsia="Arial" w:hAnsi="Arial"/>
                <w:sz w:val="16"/>
                <w:szCs w:val="16"/>
                <w:color w:val="auto"/>
              </w:rPr>
              <w:t>236,250</w:t>
            </w:r>
          </w:p>
        </w:tc>
        <w:tc>
          <w:tcPr>
            <w:tcW w:w="300" w:type="dxa"/>
            <w:vAlign w:val="bottom"/>
          </w:tcPr>
          <w:p>
            <w:pPr>
              <w:spacing w:after="0"/>
              <w:rPr>
                <w:sz w:val="14"/>
                <w:szCs w:val="14"/>
                <w:color w:val="auto"/>
              </w:rPr>
            </w:pPr>
          </w:p>
        </w:tc>
        <w:tc>
          <w:tcPr>
            <w:tcW w:w="1420" w:type="dxa"/>
            <w:vAlign w:val="bottom"/>
          </w:tcPr>
          <w:p>
            <w:pPr>
              <w:jc w:val="center"/>
              <w:ind w:right="20"/>
              <w:spacing w:after="0" w:line="163" w:lineRule="exact"/>
              <w:rPr>
                <w:sz w:val="20"/>
                <w:szCs w:val="20"/>
                <w:color w:val="auto"/>
              </w:rPr>
            </w:pPr>
            <w:r>
              <w:rPr>
                <w:rFonts w:ascii="Arial" w:cs="Arial" w:eastAsia="Arial" w:hAnsi="Arial"/>
                <w:sz w:val="16"/>
                <w:szCs w:val="16"/>
                <w:color w:val="auto"/>
                <w:w w:val="98"/>
              </w:rPr>
              <w:t>14,715</w:t>
            </w:r>
          </w:p>
        </w:tc>
        <w:tc>
          <w:tcPr>
            <w:tcW w:w="1040" w:type="dxa"/>
            <w:vAlign w:val="bottom"/>
          </w:tcPr>
          <w:p>
            <w:pPr>
              <w:jc w:val="right"/>
              <w:spacing w:after="0" w:line="163" w:lineRule="exact"/>
              <w:rPr>
                <w:sz w:val="20"/>
                <w:szCs w:val="20"/>
                <w:color w:val="auto"/>
              </w:rPr>
            </w:pPr>
            <w:r>
              <w:rPr>
                <w:rFonts w:ascii="Arial" w:cs="Arial" w:eastAsia="Arial" w:hAnsi="Arial"/>
                <w:sz w:val="16"/>
                <w:szCs w:val="16"/>
                <w:color w:val="auto"/>
              </w:rPr>
              <w:t>3,046,943</w:t>
            </w:r>
          </w:p>
        </w:tc>
        <w:tc>
          <w:tcPr>
            <w:tcW w:w="0" w:type="dxa"/>
            <w:vAlign w:val="bottom"/>
          </w:tcPr>
          <w:p>
            <w:pPr>
              <w:spacing w:after="0"/>
              <w:rPr>
                <w:sz w:val="1"/>
                <w:szCs w:val="1"/>
                <w:color w:val="auto"/>
              </w:rPr>
            </w:pPr>
          </w:p>
        </w:tc>
      </w:tr>
      <w:tr>
        <w:trPr>
          <w:trHeight w:val="215"/>
        </w:trPr>
        <w:tc>
          <w:tcPr>
            <w:tcW w:w="3260" w:type="dxa"/>
            <w:vAlign w:val="bottom"/>
          </w:tcPr>
          <w:p>
            <w:pPr>
              <w:ind w:left="100"/>
              <w:spacing w:after="0"/>
              <w:rPr>
                <w:sz w:val="20"/>
                <w:szCs w:val="20"/>
                <w:color w:val="auto"/>
              </w:rPr>
            </w:pPr>
            <w:r>
              <w:rPr>
                <w:rFonts w:ascii="Arial" w:cs="Arial" w:eastAsia="Arial" w:hAnsi="Arial"/>
                <w:sz w:val="16"/>
                <w:szCs w:val="16"/>
                <w:color w:val="auto"/>
              </w:rPr>
              <w:t>Medicine</w:t>
            </w: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rPr>
              <w:t>2022</w:t>
            </w:r>
          </w:p>
        </w:tc>
        <w:tc>
          <w:tcPr>
            <w:tcW w:w="1020" w:type="dxa"/>
            <w:vAlign w:val="bottom"/>
          </w:tcPr>
          <w:p>
            <w:pPr>
              <w:jc w:val="center"/>
              <w:spacing w:after="0"/>
              <w:rPr>
                <w:sz w:val="20"/>
                <w:szCs w:val="20"/>
                <w:color w:val="auto"/>
              </w:rPr>
            </w:pPr>
            <w:r>
              <w:rPr>
                <w:rFonts w:ascii="Arial" w:cs="Arial" w:eastAsia="Arial" w:hAnsi="Arial"/>
                <w:sz w:val="16"/>
                <w:szCs w:val="16"/>
                <w:color w:val="auto"/>
              </w:rPr>
              <w:t>450,436</w:t>
            </w:r>
          </w:p>
        </w:tc>
        <w:tc>
          <w:tcPr>
            <w:tcW w:w="840" w:type="dxa"/>
            <w:vAlign w:val="bottom"/>
          </w:tcPr>
          <w:p>
            <w:pPr>
              <w:jc w:val="center"/>
              <w:spacing w:after="0"/>
              <w:rPr>
                <w:sz w:val="20"/>
                <w:szCs w:val="20"/>
                <w:color w:val="auto"/>
              </w:rPr>
            </w:pPr>
            <w:r>
              <w:rPr>
                <w:rFonts w:ascii="Arial" w:cs="Arial" w:eastAsia="Arial" w:hAnsi="Arial"/>
                <w:sz w:val="16"/>
                <w:szCs w:val="16"/>
                <w:color w:val="auto"/>
              </w:rPr>
              <w:t>—</w:t>
            </w:r>
          </w:p>
        </w:tc>
        <w:tc>
          <w:tcPr>
            <w:tcW w:w="1040" w:type="dxa"/>
            <w:vAlign w:val="bottom"/>
          </w:tcPr>
          <w:p>
            <w:pPr>
              <w:jc w:val="center"/>
              <w:spacing w:after="0"/>
              <w:rPr>
                <w:sz w:val="20"/>
                <w:szCs w:val="20"/>
                <w:color w:val="auto"/>
              </w:rPr>
            </w:pPr>
            <w:r>
              <w:rPr>
                <w:rFonts w:ascii="Arial" w:cs="Arial" w:eastAsia="Arial" w:hAnsi="Arial"/>
                <w:sz w:val="16"/>
                <w:szCs w:val="16"/>
                <w:color w:val="auto"/>
              </w:rPr>
              <w:t>3,646,500</w:t>
            </w:r>
          </w:p>
        </w:tc>
        <w:tc>
          <w:tcPr>
            <w:tcW w:w="360" w:type="dxa"/>
            <w:vAlign w:val="bottom"/>
          </w:tcPr>
          <w:p>
            <w:pPr>
              <w:spacing w:after="0"/>
              <w:rPr>
                <w:sz w:val="18"/>
                <w:szCs w:val="18"/>
                <w:color w:val="auto"/>
              </w:rPr>
            </w:pPr>
          </w:p>
        </w:tc>
        <w:tc>
          <w:tcPr>
            <w:tcW w:w="1180" w:type="dxa"/>
            <w:vAlign w:val="bottom"/>
          </w:tcPr>
          <w:p>
            <w:pPr>
              <w:jc w:val="center"/>
              <w:ind w:left="1"/>
              <w:spacing w:after="0"/>
              <w:rPr>
                <w:sz w:val="20"/>
                <w:szCs w:val="20"/>
                <w:color w:val="auto"/>
              </w:rPr>
            </w:pPr>
            <w:r>
              <w:rPr>
                <w:rFonts w:ascii="Arial" w:cs="Arial" w:eastAsia="Arial" w:hAnsi="Arial"/>
                <w:sz w:val="16"/>
                <w:szCs w:val="16"/>
                <w:color w:val="auto"/>
              </w:rPr>
              <w:t>212,580</w:t>
            </w:r>
          </w:p>
        </w:tc>
        <w:tc>
          <w:tcPr>
            <w:tcW w:w="300" w:type="dxa"/>
            <w:vAlign w:val="bottom"/>
          </w:tcPr>
          <w:p>
            <w:pPr>
              <w:spacing w:after="0"/>
              <w:rPr>
                <w:sz w:val="18"/>
                <w:szCs w:val="18"/>
                <w:color w:val="auto"/>
              </w:rPr>
            </w:pPr>
          </w:p>
        </w:tc>
        <w:tc>
          <w:tcPr>
            <w:tcW w:w="1420" w:type="dxa"/>
            <w:vAlign w:val="bottom"/>
          </w:tcPr>
          <w:p>
            <w:pPr>
              <w:jc w:val="center"/>
              <w:ind w:right="20"/>
              <w:spacing w:after="0"/>
              <w:rPr>
                <w:sz w:val="20"/>
                <w:szCs w:val="20"/>
                <w:color w:val="auto"/>
              </w:rPr>
            </w:pPr>
            <w:r>
              <w:rPr>
                <w:rFonts w:ascii="Arial" w:cs="Arial" w:eastAsia="Arial" w:hAnsi="Arial"/>
                <w:sz w:val="16"/>
                <w:szCs w:val="16"/>
                <w:color w:val="auto"/>
                <w:w w:val="98"/>
              </w:rPr>
              <w:t>13,798</w:t>
            </w:r>
          </w:p>
        </w:tc>
        <w:tc>
          <w:tcPr>
            <w:tcW w:w="1040" w:type="dxa"/>
            <w:vAlign w:val="bottom"/>
          </w:tcPr>
          <w:p>
            <w:pPr>
              <w:jc w:val="right"/>
              <w:spacing w:after="0"/>
              <w:rPr>
                <w:sz w:val="20"/>
                <w:szCs w:val="20"/>
                <w:color w:val="auto"/>
              </w:rPr>
            </w:pPr>
            <w:r>
              <w:rPr>
                <w:rFonts w:ascii="Arial" w:cs="Arial" w:eastAsia="Arial" w:hAnsi="Arial"/>
                <w:sz w:val="16"/>
                <w:szCs w:val="16"/>
                <w:color w:val="auto"/>
              </w:rPr>
              <w:t>4,323,314</w:t>
            </w:r>
          </w:p>
        </w:tc>
        <w:tc>
          <w:tcPr>
            <w:tcW w:w="0" w:type="dxa"/>
            <w:vAlign w:val="bottom"/>
          </w:tcPr>
          <w:p>
            <w:pPr>
              <w:spacing w:after="0"/>
              <w:rPr>
                <w:sz w:val="1"/>
                <w:szCs w:val="1"/>
                <w:color w:val="auto"/>
              </w:rPr>
            </w:pPr>
          </w:p>
        </w:tc>
      </w:tr>
      <w:tr>
        <w:trPr>
          <w:trHeight w:val="217"/>
        </w:trPr>
        <w:tc>
          <w:tcPr>
            <w:tcW w:w="3260" w:type="dxa"/>
            <w:vAlign w:val="bottom"/>
            <w:shd w:val="clear" w:color="auto" w:fill="DBDBDB"/>
          </w:tcPr>
          <w:p>
            <w:pPr>
              <w:ind w:left="100"/>
              <w:spacing w:after="0"/>
              <w:rPr>
                <w:sz w:val="20"/>
                <w:szCs w:val="20"/>
                <w:color w:val="auto"/>
              </w:rPr>
            </w:pPr>
            <w:r>
              <w:rPr>
                <w:rFonts w:ascii="Arial" w:cs="Arial" w:eastAsia="Arial" w:hAnsi="Arial"/>
                <w:sz w:val="16"/>
                <w:szCs w:val="16"/>
                <w:b w:val="1"/>
                <w:bCs w:val="1"/>
                <w:color w:val="0071CE"/>
              </w:rPr>
              <w:t>Javier San Martin (8)</w:t>
            </w:r>
          </w:p>
        </w:tc>
        <w:tc>
          <w:tcPr>
            <w:tcW w:w="7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2024</w:t>
            </w:r>
          </w:p>
        </w:tc>
        <w:tc>
          <w:tcPr>
            <w:tcW w:w="10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260,529</w:t>
            </w:r>
          </w:p>
        </w:tc>
        <w:tc>
          <w:tcPr>
            <w:tcW w:w="84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2,589,750</w:t>
            </w:r>
          </w:p>
        </w:tc>
        <w:tc>
          <w:tcPr>
            <w:tcW w:w="360" w:type="dxa"/>
            <w:vAlign w:val="bottom"/>
            <w:shd w:val="clear" w:color="auto" w:fill="DBDBDB"/>
          </w:tcPr>
          <w:p>
            <w:pPr>
              <w:spacing w:after="0"/>
              <w:rPr>
                <w:sz w:val="18"/>
                <w:szCs w:val="18"/>
                <w:color w:val="auto"/>
              </w:rPr>
            </w:pPr>
          </w:p>
        </w:tc>
        <w:tc>
          <w:tcPr>
            <w:tcW w:w="11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DBDBDB"/>
          </w:tcPr>
          <w:p>
            <w:pPr>
              <w:spacing w:after="0"/>
              <w:rPr>
                <w:sz w:val="18"/>
                <w:szCs w:val="18"/>
                <w:color w:val="auto"/>
              </w:rPr>
            </w:pPr>
          </w:p>
        </w:tc>
        <w:tc>
          <w:tcPr>
            <w:tcW w:w="1420" w:type="dxa"/>
            <w:vAlign w:val="bottom"/>
            <w:shd w:val="clear" w:color="auto" w:fill="DBDBDB"/>
          </w:tcPr>
          <w:p>
            <w:pPr>
              <w:jc w:val="center"/>
              <w:ind w:right="20"/>
              <w:spacing w:after="0"/>
              <w:rPr>
                <w:sz w:val="20"/>
                <w:szCs w:val="20"/>
                <w:color w:val="auto"/>
              </w:rPr>
            </w:pPr>
            <w:r>
              <w:rPr>
                <w:rFonts w:ascii="Arial" w:cs="Arial" w:eastAsia="Arial" w:hAnsi="Arial"/>
                <w:sz w:val="16"/>
                <w:szCs w:val="16"/>
                <w:color w:val="auto"/>
              </w:rPr>
              <w:t>606,285</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3,456,564</w:t>
            </w:r>
          </w:p>
        </w:tc>
        <w:tc>
          <w:tcPr>
            <w:tcW w:w="0" w:type="dxa"/>
            <w:vAlign w:val="bottom"/>
          </w:tcPr>
          <w:p>
            <w:pPr>
              <w:spacing w:after="0"/>
              <w:rPr>
                <w:sz w:val="1"/>
                <w:szCs w:val="1"/>
                <w:color w:val="auto"/>
              </w:rPr>
            </w:pPr>
          </w:p>
        </w:tc>
      </w:tr>
      <w:tr>
        <w:trPr>
          <w:trHeight w:val="215"/>
        </w:trPr>
        <w:tc>
          <w:tcPr>
            <w:tcW w:w="3260" w:type="dxa"/>
            <w:vAlign w:val="bottom"/>
            <w:shd w:val="clear" w:color="auto" w:fill="DBDBDB"/>
          </w:tcPr>
          <w:p>
            <w:pPr>
              <w:ind w:left="100"/>
              <w:spacing w:after="0"/>
              <w:rPr>
                <w:sz w:val="20"/>
                <w:szCs w:val="20"/>
                <w:color w:val="auto"/>
              </w:rPr>
            </w:pPr>
            <w:r>
              <w:rPr>
                <w:rFonts w:ascii="Arial" w:cs="Arial" w:eastAsia="Arial" w:hAnsi="Arial"/>
                <w:sz w:val="16"/>
                <w:szCs w:val="16"/>
                <w:color w:val="auto"/>
              </w:rPr>
              <w:t>Former Chief Medical Officer</w:t>
            </w:r>
          </w:p>
        </w:tc>
        <w:tc>
          <w:tcPr>
            <w:tcW w:w="7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2023</w:t>
            </w:r>
          </w:p>
        </w:tc>
        <w:tc>
          <w:tcPr>
            <w:tcW w:w="10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544,467</w:t>
            </w:r>
          </w:p>
        </w:tc>
        <w:tc>
          <w:tcPr>
            <w:tcW w:w="84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2,284,800</w:t>
            </w:r>
          </w:p>
        </w:tc>
        <w:tc>
          <w:tcPr>
            <w:tcW w:w="360" w:type="dxa"/>
            <w:vAlign w:val="bottom"/>
            <w:shd w:val="clear" w:color="auto" w:fill="DBDBDB"/>
          </w:tcPr>
          <w:p>
            <w:pPr>
              <w:spacing w:after="0"/>
              <w:rPr>
                <w:sz w:val="18"/>
                <w:szCs w:val="18"/>
                <w:color w:val="auto"/>
              </w:rPr>
            </w:pPr>
          </w:p>
        </w:tc>
        <w:tc>
          <w:tcPr>
            <w:tcW w:w="1180" w:type="dxa"/>
            <w:vAlign w:val="bottom"/>
            <w:shd w:val="clear" w:color="auto" w:fill="DBDBDB"/>
          </w:tcPr>
          <w:p>
            <w:pPr>
              <w:jc w:val="center"/>
              <w:ind w:left="1"/>
              <w:spacing w:after="0"/>
              <w:rPr>
                <w:sz w:val="20"/>
                <w:szCs w:val="20"/>
                <w:color w:val="auto"/>
              </w:rPr>
            </w:pPr>
            <w:r>
              <w:rPr>
                <w:rFonts w:ascii="Arial" w:cs="Arial" w:eastAsia="Arial" w:hAnsi="Arial"/>
                <w:sz w:val="16"/>
                <w:szCs w:val="16"/>
                <w:color w:val="auto"/>
              </w:rPr>
              <w:t>252,000</w:t>
            </w:r>
          </w:p>
        </w:tc>
        <w:tc>
          <w:tcPr>
            <w:tcW w:w="300" w:type="dxa"/>
            <w:vAlign w:val="bottom"/>
            <w:shd w:val="clear" w:color="auto" w:fill="DBDBDB"/>
          </w:tcPr>
          <w:p>
            <w:pPr>
              <w:spacing w:after="0"/>
              <w:rPr>
                <w:sz w:val="18"/>
                <w:szCs w:val="18"/>
                <w:color w:val="auto"/>
              </w:rPr>
            </w:pPr>
          </w:p>
        </w:tc>
        <w:tc>
          <w:tcPr>
            <w:tcW w:w="1420" w:type="dxa"/>
            <w:vAlign w:val="bottom"/>
            <w:shd w:val="clear" w:color="auto" w:fill="DBDBDB"/>
          </w:tcPr>
          <w:p>
            <w:pPr>
              <w:jc w:val="center"/>
              <w:ind w:right="20"/>
              <w:spacing w:after="0"/>
              <w:rPr>
                <w:sz w:val="20"/>
                <w:szCs w:val="20"/>
                <w:color w:val="auto"/>
              </w:rPr>
            </w:pPr>
            <w:r>
              <w:rPr>
                <w:rFonts w:ascii="Arial" w:cs="Arial" w:eastAsia="Arial" w:hAnsi="Arial"/>
                <w:sz w:val="16"/>
                <w:szCs w:val="16"/>
                <w:color w:val="auto"/>
                <w:w w:val="98"/>
              </w:rPr>
              <w:t>14,715</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3,095,982</w:t>
            </w:r>
          </w:p>
        </w:tc>
        <w:tc>
          <w:tcPr>
            <w:tcW w:w="0" w:type="dxa"/>
            <w:vAlign w:val="bottom"/>
          </w:tcPr>
          <w:p>
            <w:pPr>
              <w:spacing w:after="0"/>
              <w:rPr>
                <w:sz w:val="1"/>
                <w:szCs w:val="1"/>
                <w:color w:val="auto"/>
              </w:rPr>
            </w:pPr>
          </w:p>
        </w:tc>
      </w:tr>
      <w:tr>
        <w:trPr>
          <w:trHeight w:val="217"/>
        </w:trPr>
        <w:tc>
          <w:tcPr>
            <w:tcW w:w="3260" w:type="dxa"/>
            <w:vAlign w:val="bottom"/>
            <w:shd w:val="clear" w:color="auto" w:fill="DBDBDB"/>
          </w:tcPr>
          <w:p>
            <w:pPr>
              <w:spacing w:after="0"/>
              <w:rPr>
                <w:sz w:val="18"/>
                <w:szCs w:val="18"/>
                <w:color w:val="auto"/>
              </w:rPr>
            </w:pPr>
          </w:p>
        </w:tc>
        <w:tc>
          <w:tcPr>
            <w:tcW w:w="7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2022</w:t>
            </w:r>
          </w:p>
        </w:tc>
        <w:tc>
          <w:tcPr>
            <w:tcW w:w="102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479,170</w:t>
            </w:r>
          </w:p>
        </w:tc>
        <w:tc>
          <w:tcPr>
            <w:tcW w:w="84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360" w:type="dxa"/>
            <w:vAlign w:val="bottom"/>
            <w:shd w:val="clear" w:color="auto" w:fill="DBDBDB"/>
          </w:tcPr>
          <w:p>
            <w:pPr>
              <w:spacing w:after="0"/>
              <w:rPr>
                <w:sz w:val="18"/>
                <w:szCs w:val="18"/>
                <w:color w:val="auto"/>
              </w:rPr>
            </w:pPr>
          </w:p>
        </w:tc>
        <w:tc>
          <w:tcPr>
            <w:tcW w:w="1180" w:type="dxa"/>
            <w:vAlign w:val="bottom"/>
            <w:shd w:val="clear" w:color="auto" w:fill="DBDBDB"/>
          </w:tcPr>
          <w:p>
            <w:pPr>
              <w:jc w:val="center"/>
              <w:ind w:left="1"/>
              <w:spacing w:after="0"/>
              <w:rPr>
                <w:sz w:val="20"/>
                <w:szCs w:val="20"/>
                <w:color w:val="auto"/>
              </w:rPr>
            </w:pPr>
            <w:r>
              <w:rPr>
                <w:rFonts w:ascii="Arial" w:cs="Arial" w:eastAsia="Arial" w:hAnsi="Arial"/>
                <w:sz w:val="16"/>
                <w:szCs w:val="16"/>
                <w:color w:val="auto"/>
              </w:rPr>
              <w:t>225,574</w:t>
            </w:r>
          </w:p>
        </w:tc>
        <w:tc>
          <w:tcPr>
            <w:tcW w:w="300" w:type="dxa"/>
            <w:vAlign w:val="bottom"/>
            <w:shd w:val="clear" w:color="auto" w:fill="DBDBDB"/>
          </w:tcPr>
          <w:p>
            <w:pPr>
              <w:spacing w:after="0"/>
              <w:rPr>
                <w:sz w:val="18"/>
                <w:szCs w:val="18"/>
                <w:color w:val="auto"/>
              </w:rPr>
            </w:pPr>
          </w:p>
        </w:tc>
        <w:tc>
          <w:tcPr>
            <w:tcW w:w="1420" w:type="dxa"/>
            <w:vAlign w:val="bottom"/>
            <w:shd w:val="clear" w:color="auto" w:fill="DBDBDB"/>
          </w:tcPr>
          <w:p>
            <w:pPr>
              <w:jc w:val="center"/>
              <w:ind w:right="20"/>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704,744</w:t>
            </w:r>
          </w:p>
        </w:tc>
        <w:tc>
          <w:tcPr>
            <w:tcW w:w="0" w:type="dxa"/>
            <w:vAlign w:val="bottom"/>
          </w:tcPr>
          <w:p>
            <w:pPr>
              <w:spacing w:after="0"/>
              <w:rPr>
                <w:sz w:val="1"/>
                <w:szCs w:val="1"/>
                <w:color w:val="auto"/>
              </w:rPr>
            </w:pPr>
          </w:p>
        </w:tc>
      </w:tr>
      <w:tr>
        <w:trPr>
          <w:trHeight w:val="215"/>
        </w:trPr>
        <w:tc>
          <w:tcPr>
            <w:tcW w:w="3260" w:type="dxa"/>
            <w:vAlign w:val="bottom"/>
          </w:tcPr>
          <w:p>
            <w:pPr>
              <w:ind w:left="100"/>
              <w:spacing w:after="0"/>
              <w:rPr>
                <w:sz w:val="20"/>
                <w:szCs w:val="20"/>
                <w:color w:val="auto"/>
              </w:rPr>
            </w:pPr>
            <w:r>
              <w:rPr>
                <w:rFonts w:ascii="Arial" w:cs="Arial" w:eastAsia="Arial" w:hAnsi="Arial"/>
                <w:sz w:val="16"/>
                <w:szCs w:val="16"/>
                <w:b w:val="1"/>
                <w:bCs w:val="1"/>
                <w:color w:val="0071CE"/>
              </w:rPr>
              <w:t>Tracie Oliver (8)</w:t>
            </w:r>
          </w:p>
        </w:tc>
        <w:tc>
          <w:tcPr>
            <w:tcW w:w="720" w:type="dxa"/>
            <w:vAlign w:val="bottom"/>
          </w:tcPr>
          <w:p>
            <w:pPr>
              <w:jc w:val="center"/>
              <w:spacing w:after="0"/>
              <w:rPr>
                <w:sz w:val="20"/>
                <w:szCs w:val="20"/>
                <w:color w:val="auto"/>
              </w:rPr>
            </w:pPr>
            <w:r>
              <w:rPr>
                <w:rFonts w:ascii="Arial" w:cs="Arial" w:eastAsia="Arial" w:hAnsi="Arial"/>
                <w:sz w:val="16"/>
                <w:szCs w:val="16"/>
                <w:color w:val="auto"/>
              </w:rPr>
              <w:t>2024</w:t>
            </w:r>
          </w:p>
        </w:tc>
        <w:tc>
          <w:tcPr>
            <w:tcW w:w="1020" w:type="dxa"/>
            <w:vAlign w:val="bottom"/>
          </w:tcPr>
          <w:p>
            <w:pPr>
              <w:jc w:val="center"/>
              <w:spacing w:after="0"/>
              <w:rPr>
                <w:sz w:val="20"/>
                <w:szCs w:val="20"/>
                <w:color w:val="auto"/>
              </w:rPr>
            </w:pPr>
            <w:r>
              <w:rPr>
                <w:rFonts w:ascii="Arial" w:cs="Arial" w:eastAsia="Arial" w:hAnsi="Arial"/>
                <w:sz w:val="16"/>
                <w:szCs w:val="16"/>
                <w:color w:val="auto"/>
              </w:rPr>
              <w:t>484,065</w:t>
            </w:r>
          </w:p>
        </w:tc>
        <w:tc>
          <w:tcPr>
            <w:tcW w:w="840" w:type="dxa"/>
            <w:vAlign w:val="bottom"/>
          </w:tcPr>
          <w:p>
            <w:pPr>
              <w:jc w:val="center"/>
              <w:spacing w:after="0"/>
              <w:rPr>
                <w:sz w:val="20"/>
                <w:szCs w:val="20"/>
                <w:color w:val="auto"/>
              </w:rPr>
            </w:pPr>
            <w:r>
              <w:rPr>
                <w:rFonts w:ascii="Arial" w:cs="Arial" w:eastAsia="Arial" w:hAnsi="Arial"/>
                <w:sz w:val="16"/>
                <w:szCs w:val="16"/>
                <w:color w:val="auto"/>
              </w:rPr>
              <w:t>—</w:t>
            </w:r>
          </w:p>
        </w:tc>
        <w:tc>
          <w:tcPr>
            <w:tcW w:w="1040" w:type="dxa"/>
            <w:vAlign w:val="bottom"/>
          </w:tcPr>
          <w:p>
            <w:pPr>
              <w:jc w:val="center"/>
              <w:spacing w:after="0"/>
              <w:rPr>
                <w:sz w:val="20"/>
                <w:szCs w:val="20"/>
                <w:color w:val="auto"/>
              </w:rPr>
            </w:pPr>
            <w:r>
              <w:rPr>
                <w:rFonts w:ascii="Arial" w:cs="Arial" w:eastAsia="Arial" w:hAnsi="Arial"/>
                <w:sz w:val="16"/>
                <w:szCs w:val="16"/>
                <w:color w:val="auto"/>
              </w:rPr>
              <w:t>2,589,750</w:t>
            </w:r>
          </w:p>
        </w:tc>
        <w:tc>
          <w:tcPr>
            <w:tcW w:w="3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tcPr>
          <w:p>
            <w:pPr>
              <w:spacing w:after="0"/>
              <w:rPr>
                <w:sz w:val="18"/>
                <w:szCs w:val="18"/>
                <w:color w:val="auto"/>
              </w:rPr>
            </w:pPr>
          </w:p>
        </w:tc>
        <w:tc>
          <w:tcPr>
            <w:tcW w:w="1420" w:type="dxa"/>
            <w:vAlign w:val="bottom"/>
          </w:tcPr>
          <w:p>
            <w:pPr>
              <w:jc w:val="center"/>
              <w:ind w:right="20"/>
              <w:spacing w:after="0"/>
              <w:rPr>
                <w:sz w:val="20"/>
                <w:szCs w:val="20"/>
                <w:color w:val="auto"/>
              </w:rPr>
            </w:pPr>
            <w:r>
              <w:rPr>
                <w:rFonts w:ascii="Arial" w:cs="Arial" w:eastAsia="Arial" w:hAnsi="Arial"/>
                <w:sz w:val="16"/>
                <w:szCs w:val="16"/>
                <w:color w:val="auto"/>
                <w:w w:val="99"/>
              </w:rPr>
              <w:t>2,965</w:t>
            </w:r>
          </w:p>
        </w:tc>
        <w:tc>
          <w:tcPr>
            <w:tcW w:w="1040" w:type="dxa"/>
            <w:vAlign w:val="bottom"/>
          </w:tcPr>
          <w:p>
            <w:pPr>
              <w:jc w:val="right"/>
              <w:spacing w:after="0"/>
              <w:rPr>
                <w:sz w:val="20"/>
                <w:szCs w:val="20"/>
                <w:color w:val="auto"/>
              </w:rPr>
            </w:pPr>
            <w:r>
              <w:rPr>
                <w:rFonts w:ascii="Arial" w:cs="Arial" w:eastAsia="Arial" w:hAnsi="Arial"/>
                <w:sz w:val="16"/>
                <w:szCs w:val="16"/>
                <w:color w:val="auto"/>
              </w:rPr>
              <w:t>3,076,780</w:t>
            </w:r>
          </w:p>
        </w:tc>
        <w:tc>
          <w:tcPr>
            <w:tcW w:w="0" w:type="dxa"/>
            <w:vAlign w:val="bottom"/>
          </w:tcPr>
          <w:p>
            <w:pPr>
              <w:spacing w:after="0"/>
              <w:rPr>
                <w:sz w:val="1"/>
                <w:szCs w:val="1"/>
                <w:color w:val="auto"/>
              </w:rPr>
            </w:pPr>
          </w:p>
        </w:tc>
      </w:tr>
      <w:tr>
        <w:trPr>
          <w:trHeight w:val="215"/>
        </w:trPr>
        <w:tc>
          <w:tcPr>
            <w:tcW w:w="3260" w:type="dxa"/>
            <w:vAlign w:val="bottom"/>
          </w:tcPr>
          <w:p>
            <w:pPr>
              <w:ind w:left="100"/>
              <w:spacing w:after="0"/>
              <w:rPr>
                <w:sz w:val="20"/>
                <w:szCs w:val="20"/>
                <w:color w:val="auto"/>
              </w:rPr>
            </w:pPr>
            <w:r>
              <w:rPr>
                <w:rFonts w:ascii="Arial" w:cs="Arial" w:eastAsia="Arial" w:hAnsi="Arial"/>
                <w:sz w:val="16"/>
                <w:szCs w:val="16"/>
                <w:color w:val="auto"/>
              </w:rPr>
              <w:t>Former Chief Commercial Officer</w:t>
            </w:r>
          </w:p>
        </w:tc>
        <w:tc>
          <w:tcPr>
            <w:tcW w:w="720" w:type="dxa"/>
            <w:vAlign w:val="bottom"/>
          </w:tcPr>
          <w:p>
            <w:pPr>
              <w:jc w:val="center"/>
              <w:spacing w:after="0"/>
              <w:rPr>
                <w:sz w:val="20"/>
                <w:szCs w:val="20"/>
                <w:color w:val="auto"/>
              </w:rPr>
            </w:pPr>
            <w:r>
              <w:rPr>
                <w:rFonts w:ascii="Arial" w:cs="Arial" w:eastAsia="Arial" w:hAnsi="Arial"/>
                <w:sz w:val="16"/>
                <w:szCs w:val="16"/>
                <w:color w:val="auto"/>
              </w:rPr>
              <w:t>2023</w:t>
            </w:r>
          </w:p>
        </w:tc>
        <w:tc>
          <w:tcPr>
            <w:tcW w:w="1020" w:type="dxa"/>
            <w:vAlign w:val="bottom"/>
          </w:tcPr>
          <w:p>
            <w:pPr>
              <w:jc w:val="center"/>
              <w:spacing w:after="0"/>
              <w:rPr>
                <w:sz w:val="20"/>
                <w:szCs w:val="20"/>
                <w:color w:val="auto"/>
              </w:rPr>
            </w:pPr>
            <w:r>
              <w:rPr>
                <w:rFonts w:ascii="Arial" w:cs="Arial" w:eastAsia="Arial" w:hAnsi="Arial"/>
                <w:sz w:val="16"/>
                <w:szCs w:val="16"/>
                <w:color w:val="auto"/>
              </w:rPr>
              <w:t>647,261</w:t>
            </w:r>
          </w:p>
        </w:tc>
        <w:tc>
          <w:tcPr>
            <w:tcW w:w="840" w:type="dxa"/>
            <w:vAlign w:val="bottom"/>
          </w:tcPr>
          <w:p>
            <w:pPr>
              <w:jc w:val="center"/>
              <w:spacing w:after="0"/>
              <w:rPr>
                <w:sz w:val="20"/>
                <w:szCs w:val="20"/>
                <w:color w:val="auto"/>
              </w:rPr>
            </w:pPr>
            <w:r>
              <w:rPr>
                <w:rFonts w:ascii="Arial" w:cs="Arial" w:eastAsia="Arial" w:hAnsi="Arial"/>
                <w:sz w:val="16"/>
                <w:szCs w:val="16"/>
                <w:color w:val="auto"/>
              </w:rPr>
              <w:t>—</w:t>
            </w:r>
          </w:p>
        </w:tc>
        <w:tc>
          <w:tcPr>
            <w:tcW w:w="1040" w:type="dxa"/>
            <w:vAlign w:val="bottom"/>
          </w:tcPr>
          <w:p>
            <w:pPr>
              <w:jc w:val="center"/>
              <w:spacing w:after="0"/>
              <w:rPr>
                <w:sz w:val="20"/>
                <w:szCs w:val="20"/>
                <w:color w:val="auto"/>
              </w:rPr>
            </w:pPr>
            <w:r>
              <w:rPr>
                <w:rFonts w:ascii="Arial" w:cs="Arial" w:eastAsia="Arial" w:hAnsi="Arial"/>
                <w:sz w:val="16"/>
                <w:szCs w:val="16"/>
                <w:color w:val="auto"/>
                <w:w w:val="98"/>
              </w:rPr>
              <w:t>19,040</w:t>
            </w:r>
          </w:p>
        </w:tc>
        <w:tc>
          <w:tcPr>
            <w:tcW w:w="360" w:type="dxa"/>
            <w:vAlign w:val="bottom"/>
          </w:tcPr>
          <w:p>
            <w:pPr>
              <w:spacing w:after="0"/>
              <w:rPr>
                <w:sz w:val="18"/>
                <w:szCs w:val="18"/>
                <w:color w:val="auto"/>
              </w:rPr>
            </w:pPr>
          </w:p>
        </w:tc>
        <w:tc>
          <w:tcPr>
            <w:tcW w:w="1180" w:type="dxa"/>
            <w:vAlign w:val="bottom"/>
          </w:tcPr>
          <w:p>
            <w:pPr>
              <w:jc w:val="center"/>
              <w:ind w:left="1"/>
              <w:spacing w:after="0"/>
              <w:rPr>
                <w:sz w:val="20"/>
                <w:szCs w:val="20"/>
                <w:color w:val="auto"/>
              </w:rPr>
            </w:pPr>
            <w:r>
              <w:rPr>
                <w:rFonts w:ascii="Arial" w:cs="Arial" w:eastAsia="Arial" w:hAnsi="Arial"/>
                <w:sz w:val="16"/>
                <w:szCs w:val="16"/>
                <w:color w:val="auto"/>
              </w:rPr>
              <w:t>188,000</w:t>
            </w:r>
          </w:p>
        </w:tc>
        <w:tc>
          <w:tcPr>
            <w:tcW w:w="300" w:type="dxa"/>
            <w:vAlign w:val="bottom"/>
          </w:tcPr>
          <w:p>
            <w:pPr>
              <w:spacing w:after="0"/>
              <w:rPr>
                <w:sz w:val="18"/>
                <w:szCs w:val="18"/>
                <w:color w:val="auto"/>
              </w:rPr>
            </w:pPr>
          </w:p>
        </w:tc>
        <w:tc>
          <w:tcPr>
            <w:tcW w:w="1420" w:type="dxa"/>
            <w:vAlign w:val="bottom"/>
          </w:tcPr>
          <w:p>
            <w:pPr>
              <w:jc w:val="center"/>
              <w:ind w:right="20"/>
              <w:spacing w:after="0"/>
              <w:rPr>
                <w:sz w:val="20"/>
                <w:szCs w:val="20"/>
                <w:color w:val="auto"/>
              </w:rPr>
            </w:pPr>
            <w:r>
              <w:rPr>
                <w:rFonts w:ascii="Arial" w:cs="Arial" w:eastAsia="Arial" w:hAnsi="Arial"/>
                <w:sz w:val="16"/>
                <w:szCs w:val="16"/>
                <w:color w:val="auto"/>
                <w:w w:val="98"/>
              </w:rPr>
              <w:t>19,521</w:t>
            </w:r>
          </w:p>
        </w:tc>
        <w:tc>
          <w:tcPr>
            <w:tcW w:w="1040" w:type="dxa"/>
            <w:vAlign w:val="bottom"/>
          </w:tcPr>
          <w:p>
            <w:pPr>
              <w:jc w:val="right"/>
              <w:spacing w:after="0"/>
              <w:rPr>
                <w:sz w:val="20"/>
                <w:szCs w:val="20"/>
                <w:color w:val="auto"/>
              </w:rPr>
            </w:pPr>
            <w:r>
              <w:rPr>
                <w:rFonts w:ascii="Arial" w:cs="Arial" w:eastAsia="Arial" w:hAnsi="Arial"/>
                <w:sz w:val="16"/>
                <w:szCs w:val="16"/>
                <w:color w:val="auto"/>
              </w:rPr>
              <w:t>873,822</w:t>
            </w:r>
          </w:p>
        </w:tc>
        <w:tc>
          <w:tcPr>
            <w:tcW w:w="0" w:type="dxa"/>
            <w:vAlign w:val="bottom"/>
          </w:tcPr>
          <w:p>
            <w:pPr>
              <w:spacing w:after="0"/>
              <w:rPr>
                <w:sz w:val="1"/>
                <w:szCs w:val="1"/>
                <w:color w:val="auto"/>
              </w:rPr>
            </w:pPr>
          </w:p>
        </w:tc>
      </w:tr>
      <w:tr>
        <w:trPr>
          <w:trHeight w:val="217"/>
        </w:trPr>
        <w:tc>
          <w:tcPr>
            <w:tcW w:w="3260" w:type="dxa"/>
            <w:vAlign w:val="bottom"/>
            <w:tcBorders>
              <w:bottom w:val="single" w:sz="8" w:color="0071CE"/>
            </w:tcBorders>
          </w:tcPr>
          <w:p>
            <w:pPr>
              <w:spacing w:after="0"/>
              <w:rPr>
                <w:sz w:val="18"/>
                <w:szCs w:val="18"/>
                <w:color w:val="auto"/>
              </w:rPr>
            </w:pPr>
          </w:p>
        </w:tc>
        <w:tc>
          <w:tcPr>
            <w:tcW w:w="720" w:type="dxa"/>
            <w:vAlign w:val="bottom"/>
            <w:tcBorders>
              <w:bottom w:val="single" w:sz="8" w:color="0071CE"/>
            </w:tcBorders>
          </w:tcPr>
          <w:p>
            <w:pPr>
              <w:jc w:val="center"/>
              <w:spacing w:after="0"/>
              <w:rPr>
                <w:sz w:val="20"/>
                <w:szCs w:val="20"/>
                <w:color w:val="auto"/>
              </w:rPr>
            </w:pPr>
            <w:r>
              <w:rPr>
                <w:rFonts w:ascii="Arial" w:cs="Arial" w:eastAsia="Arial" w:hAnsi="Arial"/>
                <w:sz w:val="16"/>
                <w:szCs w:val="16"/>
                <w:color w:val="auto"/>
              </w:rPr>
              <w:t>2022</w:t>
            </w:r>
          </w:p>
        </w:tc>
        <w:tc>
          <w:tcPr>
            <w:tcW w:w="1020" w:type="dxa"/>
            <w:vAlign w:val="bottom"/>
            <w:tcBorders>
              <w:bottom w:val="single" w:sz="8" w:color="0071CE"/>
            </w:tcBorders>
          </w:tcPr>
          <w:p>
            <w:pPr>
              <w:jc w:val="center"/>
              <w:spacing w:after="0"/>
              <w:rPr>
                <w:sz w:val="20"/>
                <w:szCs w:val="20"/>
                <w:color w:val="auto"/>
              </w:rPr>
            </w:pPr>
            <w:r>
              <w:rPr>
                <w:rFonts w:ascii="Arial" w:cs="Arial" w:eastAsia="Arial" w:hAnsi="Arial"/>
                <w:sz w:val="16"/>
                <w:szCs w:val="16"/>
                <w:color w:val="auto"/>
                <w:w w:val="96"/>
              </w:rPr>
              <w:t>111,154</w:t>
            </w:r>
          </w:p>
        </w:tc>
        <w:tc>
          <w:tcPr>
            <w:tcW w:w="840" w:type="dxa"/>
            <w:vAlign w:val="bottom"/>
            <w:tcBorders>
              <w:bottom w:val="single" w:sz="8" w:color="0071CE"/>
            </w:tcBorders>
          </w:tcPr>
          <w:p>
            <w:pPr>
              <w:jc w:val="center"/>
              <w:spacing w:after="0"/>
              <w:rPr>
                <w:sz w:val="20"/>
                <w:szCs w:val="20"/>
                <w:color w:val="auto"/>
              </w:rPr>
            </w:pPr>
            <w:r>
              <w:rPr>
                <w:rFonts w:ascii="Arial" w:cs="Arial" w:eastAsia="Arial" w:hAnsi="Arial"/>
                <w:sz w:val="16"/>
                <w:szCs w:val="16"/>
                <w:color w:val="auto"/>
              </w:rPr>
              <w:t>16,344</w:t>
            </w:r>
          </w:p>
        </w:tc>
        <w:tc>
          <w:tcPr>
            <w:tcW w:w="1040" w:type="dxa"/>
            <w:vAlign w:val="bottom"/>
            <w:tcBorders>
              <w:bottom w:val="single" w:sz="8" w:color="0071CE"/>
            </w:tcBorders>
          </w:tcPr>
          <w:p>
            <w:pPr>
              <w:jc w:val="center"/>
              <w:spacing w:after="0"/>
              <w:rPr>
                <w:sz w:val="20"/>
                <w:szCs w:val="20"/>
                <w:color w:val="auto"/>
              </w:rPr>
            </w:pPr>
            <w:r>
              <w:rPr>
                <w:rFonts w:ascii="Arial" w:cs="Arial" w:eastAsia="Arial" w:hAnsi="Arial"/>
                <w:sz w:val="16"/>
                <w:szCs w:val="16"/>
                <w:color w:val="auto"/>
              </w:rPr>
              <w:t>2,517,200</w:t>
            </w:r>
          </w:p>
        </w:tc>
        <w:tc>
          <w:tcPr>
            <w:tcW w:w="360" w:type="dxa"/>
            <w:vAlign w:val="bottom"/>
            <w:tcBorders>
              <w:bottom w:val="single" w:sz="8" w:color="0071CE"/>
            </w:tcBorders>
          </w:tcPr>
          <w:p>
            <w:pPr>
              <w:spacing w:after="0"/>
              <w:rPr>
                <w:sz w:val="18"/>
                <w:szCs w:val="18"/>
                <w:color w:val="auto"/>
              </w:rPr>
            </w:pPr>
          </w:p>
        </w:tc>
        <w:tc>
          <w:tcPr>
            <w:tcW w:w="1180" w:type="dxa"/>
            <w:vAlign w:val="bottom"/>
            <w:tcBorders>
              <w:bottom w:val="single" w:sz="8" w:color="0071CE"/>
            </w:tcBorders>
          </w:tcPr>
          <w:p>
            <w:pPr>
              <w:jc w:val="center"/>
              <w:ind w:left="1"/>
              <w:spacing w:after="0"/>
              <w:rPr>
                <w:sz w:val="20"/>
                <w:szCs w:val="20"/>
                <w:color w:val="auto"/>
              </w:rPr>
            </w:pPr>
            <w:r>
              <w:rPr>
                <w:rFonts w:ascii="Arial" w:cs="Arial" w:eastAsia="Arial" w:hAnsi="Arial"/>
                <w:sz w:val="16"/>
                <w:szCs w:val="16"/>
                <w:color w:val="auto"/>
              </w:rPr>
              <w:t>94,874</w:t>
            </w:r>
          </w:p>
        </w:tc>
        <w:tc>
          <w:tcPr>
            <w:tcW w:w="300" w:type="dxa"/>
            <w:vAlign w:val="bottom"/>
            <w:tcBorders>
              <w:bottom w:val="single" w:sz="8" w:color="0071CE"/>
            </w:tcBorders>
          </w:tcPr>
          <w:p>
            <w:pPr>
              <w:spacing w:after="0"/>
              <w:rPr>
                <w:sz w:val="18"/>
                <w:szCs w:val="18"/>
                <w:color w:val="auto"/>
              </w:rPr>
            </w:pPr>
          </w:p>
        </w:tc>
        <w:tc>
          <w:tcPr>
            <w:tcW w:w="1420" w:type="dxa"/>
            <w:vAlign w:val="bottom"/>
            <w:tcBorders>
              <w:bottom w:val="single" w:sz="8" w:color="0071CE"/>
            </w:tcBorders>
          </w:tcPr>
          <w:p>
            <w:pPr>
              <w:jc w:val="center"/>
              <w:ind w:right="20"/>
              <w:spacing w:after="0"/>
              <w:rPr>
                <w:sz w:val="20"/>
                <w:szCs w:val="20"/>
                <w:color w:val="auto"/>
              </w:rPr>
            </w:pPr>
            <w:r>
              <w:rPr>
                <w:rFonts w:ascii="Arial" w:cs="Arial" w:eastAsia="Arial" w:hAnsi="Arial"/>
                <w:sz w:val="16"/>
                <w:szCs w:val="16"/>
                <w:color w:val="auto"/>
                <w:w w:val="99"/>
              </w:rPr>
              <w:t>4,899</w:t>
            </w:r>
          </w:p>
        </w:tc>
        <w:tc>
          <w:tcPr>
            <w:tcW w:w="1040" w:type="dxa"/>
            <w:vAlign w:val="bottom"/>
            <w:tcBorders>
              <w:bottom w:val="single" w:sz="8" w:color="0071CE"/>
            </w:tcBorders>
          </w:tcPr>
          <w:p>
            <w:pPr>
              <w:jc w:val="right"/>
              <w:spacing w:after="0"/>
              <w:rPr>
                <w:sz w:val="20"/>
                <w:szCs w:val="20"/>
                <w:color w:val="auto"/>
              </w:rPr>
            </w:pPr>
            <w:r>
              <w:rPr>
                <w:rFonts w:ascii="Arial" w:cs="Arial" w:eastAsia="Arial" w:hAnsi="Arial"/>
                <w:sz w:val="16"/>
                <w:szCs w:val="16"/>
                <w:color w:val="auto"/>
              </w:rPr>
              <w:t>2,744,471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-2956560</wp:posOffset>
            </wp:positionV>
            <wp:extent cx="70980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146" w:lineRule="exact"/>
        <w:rPr>
          <w:sz w:val="20"/>
          <w:szCs w:val="20"/>
          <w:color w:val="auto"/>
        </w:rPr>
      </w:pPr>
    </w:p>
    <w:p>
      <w:pPr>
        <w:jc w:val="both"/>
        <w:ind w:left="420" w:hanging="412"/>
        <w:spacing w:after="0" w:line="283" w:lineRule="auto"/>
        <w:tabs>
          <w:tab w:leader="none" w:pos="407"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This column represents the total grant date fair value, computed in accordance with ASC 718, of RSUs granted during fiscal years 2024, 2023 and 2022. The assumptions used to calculate the value of the stock underlying the RSU awards are set forth in Note 9 of the Notes to the Consolidated Financial Statements included with the Company’s Annual Report on Form 10-K.</w:t>
      </w:r>
    </w:p>
    <w:p>
      <w:pPr>
        <w:spacing w:after="0" w:line="64" w:lineRule="exact"/>
        <w:rPr>
          <w:rFonts w:ascii="Arial" w:cs="Arial" w:eastAsia="Arial" w:hAnsi="Arial"/>
          <w:sz w:val="14"/>
          <w:szCs w:val="14"/>
          <w:color w:val="auto"/>
        </w:rPr>
      </w:pPr>
    </w:p>
    <w:p>
      <w:pPr>
        <w:ind w:left="420" w:hanging="412"/>
        <w:spacing w:after="0" w:line="285" w:lineRule="auto"/>
        <w:tabs>
          <w:tab w:leader="none" w:pos="407"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These bonus amounts represent the amounts earned for performance under the Company’s Annual Bonus Incentive Plan during calendar years 2024, 2023 and 2022 and paid in fiscal years 2025, 2024 and 2023, respectively. The Annual Bonuses are described in more detail in the “Bonus Incentive” section.</w:t>
      </w:r>
    </w:p>
    <w:p>
      <w:pPr>
        <w:spacing w:after="0" w:line="63" w:lineRule="exact"/>
        <w:rPr>
          <w:rFonts w:ascii="Arial" w:cs="Arial" w:eastAsia="Arial" w:hAnsi="Arial"/>
          <w:sz w:val="14"/>
          <w:szCs w:val="14"/>
          <w:color w:val="auto"/>
        </w:rPr>
      </w:pPr>
    </w:p>
    <w:p>
      <w:pPr>
        <w:ind w:left="400" w:hanging="392"/>
        <w:spacing w:after="0"/>
        <w:tabs>
          <w:tab w:leader="none" w:pos="4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Amounts consist of 401(k) matching contribution, as well as life insurance premiums for the benefit of each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581025</wp:posOffset>
            </wp:positionV>
            <wp:extent cx="986155" cy="2057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left="420" w:hanging="412"/>
        <w:spacing w:after="0" w:line="267" w:lineRule="auto"/>
        <w:tabs>
          <w:tab w:leader="none" w:pos="407"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amount reported for Christopher Anzalone in the Stock Awards column includes the grant date fair value of a fiscal 2024 RSU award that is subject to vesting upon the achievement of a specific performance condition. We determined the performance condition was 100% probable of being achieved as of the grant date, as defined under applicable accounting guidance, and assigned a grant date fair value of $10,319,000 based on this evaluation. The amount reported in the Summary Compensation Table for this award may not represent the amount that Christopher Anzalone will realize from the award. Whether, and to what extent, an NEO realizes the value will depend on our actual operating performance, stock price fluctuations and the NEO’s continued employment.</w:t>
      </w:r>
    </w:p>
    <w:p>
      <w:pPr>
        <w:spacing w:after="0" w:line="62" w:lineRule="exact"/>
        <w:rPr>
          <w:rFonts w:ascii="Arial" w:cs="Arial" w:eastAsia="Arial" w:hAnsi="Arial"/>
          <w:sz w:val="14"/>
          <w:szCs w:val="14"/>
          <w:color w:val="auto"/>
        </w:rPr>
      </w:pPr>
    </w:p>
    <w:p>
      <w:pPr>
        <w:jc w:val="both"/>
        <w:ind w:left="420" w:hanging="412"/>
        <w:spacing w:after="0"/>
        <w:tabs>
          <w:tab w:leader="none" w:pos="407"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amount reported for Christopher Anzalone in the Stock Awards column includes the grant date fair value of a fiscal 2023 RSU award that is subject to vesting upon the achievement of specific performance conditions. We determined the performance conditions that were probable and not probable of being achieved as of the grant date, as defined under applicable accounting guidance, and assigned a grant date fair value of $4,625,270 based on this evaluation. If we had determined that as of the date of the grant it was probable that 100% of the performance conditions would be achieved, we would have assigned a grant date fair value of $8,314,056 for the performance-based RSUs. The amount reported in the Summary Compensation Table for this award may not represent the amount that Christopher Anzalone will realize from the award. Whether, and to what extent, an NEO realizes the value will depend on our actual operating performance, stock price fluctuations and the NEO’s continued employment.</w:t>
      </w:r>
    </w:p>
    <w:p>
      <w:pPr>
        <w:spacing w:after="0" w:line="235" w:lineRule="exact"/>
        <w:rPr>
          <w:rFonts w:ascii="Arial" w:cs="Arial" w:eastAsia="Arial" w:hAnsi="Arial"/>
          <w:sz w:val="14"/>
          <w:szCs w:val="14"/>
          <w:color w:val="auto"/>
        </w:rPr>
      </w:pPr>
    </w:p>
    <w:p>
      <w:pPr>
        <w:ind w:left="400" w:hanging="392"/>
        <w:spacing w:after="0"/>
        <w:tabs>
          <w:tab w:leader="none" w:pos="4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Dr. Anzalone's Fiscal Year 2022 bonus, totaling $783,315, was paid as $200,000 cash and the remaining balance as immediately vested Arrowhead stock.</w:t>
      </w:r>
    </w:p>
    <w:p>
      <w:pPr>
        <w:spacing w:after="0" w:line="95" w:lineRule="exact"/>
        <w:rPr>
          <w:rFonts w:ascii="Arial" w:cs="Arial" w:eastAsia="Arial" w:hAnsi="Arial"/>
          <w:sz w:val="14"/>
          <w:szCs w:val="14"/>
          <w:color w:val="auto"/>
        </w:rPr>
      </w:pPr>
    </w:p>
    <w:p>
      <w:pPr>
        <w:ind w:left="420" w:right="20" w:hanging="412"/>
        <w:spacing w:after="0" w:line="244" w:lineRule="auto"/>
        <w:tabs>
          <w:tab w:leader="none" w:pos="407"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 July of 2022, our CEO’s fiscal 2022 compensation was revised by reducing his equity award and re-formulating the equity award to consist 60% of performance-based RSUs and 40% of time-based RSUs. The CEO's Stock Awards are described in more detail in the "Our CEO’s Fiscal 2022 Equity Award" section in our 2023 proxy statement</w:t>
      </w:r>
      <w:r>
        <w:rPr>
          <w:rFonts w:ascii="Arial" w:cs="Arial" w:eastAsia="Arial" w:hAnsi="Arial"/>
          <w:sz w:val="14"/>
          <w:szCs w:val="14"/>
          <w:i w:val="1"/>
          <w:iCs w:val="1"/>
          <w:color w:val="auto"/>
        </w:rPr>
        <w:t>.</w:t>
      </w:r>
      <w:r>
        <w:rPr>
          <w:rFonts w:ascii="Arial" w:cs="Arial" w:eastAsia="Arial" w:hAnsi="Arial"/>
          <w:sz w:val="14"/>
          <w:szCs w:val="14"/>
          <w:color w:val="auto"/>
        </w:rPr>
        <w:t xml:space="preserve"> The amounts reported for Christopher Anzalone in the Stock Awards column reflect the grant date fair value of a July 2022 RSU award that is subject to vesting upon the achievement of specific performance conditions, as described in the Compensation Discussion and Analysis section in our 2023 proxy statement. We determined the performance conditions that were probable and not probable of being achieved as of the grant date, as defined under applicable accounting guidance, and assigned a grant date fair value of $6,229,538 based on this evaluation. The amounts reported in the Summary Compensation Table for these awards may not represent the amounts that Christopher Anzalone will realize from the awards. Whether, and to what extent, an NEO realizes value will depend on our actual operating performance, stock price fluctuations and the NEO’s continued employment.</w:t>
      </w:r>
    </w:p>
    <w:p>
      <w:pPr>
        <w:ind w:left="400" w:hanging="392"/>
        <w:spacing w:after="0"/>
        <w:tabs>
          <w:tab w:leader="none" w:pos="4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Dr. San Martin left the Company on February 1, 2024 and Ms. Oliver served as the Company's Chief Commercial Officer until October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1369060</wp:posOffset>
            </wp:positionV>
            <wp:extent cx="986155" cy="2057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E"/>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Fiscal 2024 Grants of Plan Based Awards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cash bonus and equity grants made to the NEOs in fiscal 2024:</w:t>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100" w:type="dxa"/>
            <w:vAlign w:val="bottom"/>
            <w:shd w:val="clear" w:color="auto" w:fill="0071CE"/>
          </w:tcPr>
          <w:p>
            <w:pPr>
              <w:spacing w:after="0"/>
              <w:rPr>
                <w:sz w:val="19"/>
                <w:szCs w:val="19"/>
                <w:color w:val="auto"/>
              </w:rPr>
            </w:pPr>
          </w:p>
        </w:tc>
        <w:tc>
          <w:tcPr>
            <w:tcW w:w="1240" w:type="dxa"/>
            <w:vAlign w:val="bottom"/>
            <w:shd w:val="clear" w:color="auto" w:fill="0071CE"/>
          </w:tcPr>
          <w:p>
            <w:pPr>
              <w:spacing w:after="0"/>
              <w:rPr>
                <w:sz w:val="19"/>
                <w:szCs w:val="19"/>
                <w:color w:val="auto"/>
              </w:rPr>
            </w:pPr>
          </w:p>
        </w:tc>
        <w:tc>
          <w:tcPr>
            <w:tcW w:w="1620" w:type="dxa"/>
            <w:vAlign w:val="bottom"/>
            <w:shd w:val="clear" w:color="auto" w:fill="0071CE"/>
          </w:tcPr>
          <w:p>
            <w:pPr>
              <w:spacing w:after="0"/>
              <w:rPr>
                <w:sz w:val="19"/>
                <w:szCs w:val="19"/>
                <w:color w:val="auto"/>
              </w:rPr>
            </w:pPr>
          </w:p>
        </w:tc>
        <w:tc>
          <w:tcPr>
            <w:tcW w:w="880" w:type="dxa"/>
            <w:vAlign w:val="bottom"/>
            <w:shd w:val="clear" w:color="auto" w:fill="0071CE"/>
          </w:tcPr>
          <w:p>
            <w:pPr>
              <w:spacing w:after="0"/>
              <w:rPr>
                <w:sz w:val="19"/>
                <w:szCs w:val="19"/>
                <w:color w:val="auto"/>
              </w:rPr>
            </w:pPr>
          </w:p>
        </w:tc>
        <w:tc>
          <w:tcPr>
            <w:tcW w:w="1240" w:type="dxa"/>
            <w:vAlign w:val="bottom"/>
            <w:shd w:val="clear" w:color="auto" w:fill="0071CE"/>
          </w:tcPr>
          <w:p>
            <w:pPr>
              <w:spacing w:after="0"/>
              <w:rPr>
                <w:sz w:val="19"/>
                <w:szCs w:val="19"/>
                <w:color w:val="auto"/>
              </w:rPr>
            </w:pPr>
          </w:p>
        </w:tc>
        <w:tc>
          <w:tcPr>
            <w:tcW w:w="1340" w:type="dxa"/>
            <w:vAlign w:val="bottom"/>
            <w:shd w:val="clear" w:color="auto" w:fill="0071CE"/>
          </w:tcPr>
          <w:p>
            <w:pPr>
              <w:spacing w:after="0"/>
              <w:rPr>
                <w:sz w:val="19"/>
                <w:szCs w:val="19"/>
                <w:color w:val="auto"/>
              </w:rPr>
            </w:pPr>
          </w:p>
        </w:tc>
        <w:tc>
          <w:tcPr>
            <w:tcW w:w="1880" w:type="dxa"/>
            <w:vAlign w:val="bottom"/>
            <w:shd w:val="clear" w:color="auto" w:fill="0071CE"/>
          </w:tcPr>
          <w:p>
            <w:pPr>
              <w:jc w:val="center"/>
              <w:ind w:right="182"/>
              <w:spacing w:after="0"/>
              <w:rPr>
                <w:sz w:val="20"/>
                <w:szCs w:val="20"/>
                <w:color w:val="auto"/>
              </w:rPr>
            </w:pPr>
            <w:r>
              <w:rPr>
                <w:rFonts w:ascii="Arial" w:cs="Arial" w:eastAsia="Arial" w:hAnsi="Arial"/>
                <w:sz w:val="14"/>
                <w:szCs w:val="14"/>
                <w:b w:val="1"/>
                <w:bCs w:val="1"/>
                <w:color w:val="FFFFFF"/>
              </w:rPr>
              <w:t>Estimated</w:t>
            </w:r>
          </w:p>
        </w:tc>
        <w:tc>
          <w:tcPr>
            <w:tcW w:w="1600" w:type="dxa"/>
            <w:vAlign w:val="bottom"/>
            <w:shd w:val="clear" w:color="auto" w:fill="0071CE"/>
          </w:tcPr>
          <w:p>
            <w:pPr>
              <w:spacing w:after="0"/>
              <w:rPr>
                <w:sz w:val="19"/>
                <w:szCs w:val="19"/>
                <w:color w:val="auto"/>
              </w:rPr>
            </w:pPr>
          </w:p>
        </w:tc>
        <w:tc>
          <w:tcPr>
            <w:tcW w:w="1300" w:type="dxa"/>
            <w:vAlign w:val="bottom"/>
            <w:shd w:val="clear" w:color="auto" w:fill="0071CE"/>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100" w:type="dxa"/>
            <w:vAlign w:val="bottom"/>
            <w:shd w:val="clear" w:color="auto" w:fill="0071CE"/>
          </w:tcPr>
          <w:p>
            <w:pPr>
              <w:spacing w:after="0"/>
              <w:rPr>
                <w:sz w:val="12"/>
                <w:szCs w:val="12"/>
                <w:color w:val="auto"/>
              </w:rPr>
            </w:pPr>
          </w:p>
        </w:tc>
        <w:tc>
          <w:tcPr>
            <w:tcW w:w="1240" w:type="dxa"/>
            <w:vAlign w:val="bottom"/>
            <w:shd w:val="clear" w:color="auto" w:fill="0071CE"/>
          </w:tcPr>
          <w:p>
            <w:pPr>
              <w:spacing w:after="0"/>
              <w:rPr>
                <w:sz w:val="12"/>
                <w:szCs w:val="12"/>
                <w:color w:val="auto"/>
              </w:rPr>
            </w:pPr>
          </w:p>
        </w:tc>
        <w:tc>
          <w:tcPr>
            <w:tcW w:w="1620" w:type="dxa"/>
            <w:vAlign w:val="bottom"/>
            <w:shd w:val="clear" w:color="auto" w:fill="0071CE"/>
          </w:tcPr>
          <w:p>
            <w:pPr>
              <w:spacing w:after="0"/>
              <w:rPr>
                <w:sz w:val="12"/>
                <w:szCs w:val="12"/>
                <w:color w:val="auto"/>
              </w:rPr>
            </w:pPr>
          </w:p>
        </w:tc>
        <w:tc>
          <w:tcPr>
            <w:tcW w:w="880" w:type="dxa"/>
            <w:vAlign w:val="bottom"/>
            <w:shd w:val="clear" w:color="auto" w:fill="0071CE"/>
          </w:tcPr>
          <w:p>
            <w:pPr>
              <w:spacing w:after="0"/>
              <w:rPr>
                <w:sz w:val="12"/>
                <w:szCs w:val="12"/>
                <w:color w:val="auto"/>
              </w:rPr>
            </w:pPr>
          </w:p>
        </w:tc>
        <w:tc>
          <w:tcPr>
            <w:tcW w:w="2580" w:type="dxa"/>
            <w:vAlign w:val="bottom"/>
            <w:gridSpan w:val="2"/>
            <w:vMerge w:val="restart"/>
            <w:shd w:val="clear" w:color="auto" w:fill="0071CE"/>
          </w:tcPr>
          <w:p>
            <w:pPr>
              <w:jc w:val="center"/>
              <w:ind w:left="101"/>
              <w:spacing w:after="0"/>
              <w:rPr>
                <w:sz w:val="20"/>
                <w:szCs w:val="20"/>
                <w:color w:val="auto"/>
              </w:rPr>
            </w:pPr>
            <w:r>
              <w:rPr>
                <w:rFonts w:ascii="Arial" w:cs="Arial" w:eastAsia="Arial" w:hAnsi="Arial"/>
                <w:sz w:val="14"/>
                <w:szCs w:val="14"/>
                <w:b w:val="1"/>
                <w:bCs w:val="1"/>
                <w:color w:val="FFFFFF"/>
              </w:rPr>
              <w:t>Estimated Future Payouts</w:t>
            </w:r>
          </w:p>
        </w:tc>
        <w:tc>
          <w:tcPr>
            <w:tcW w:w="1880" w:type="dxa"/>
            <w:vAlign w:val="bottom"/>
            <w:shd w:val="clear" w:color="auto" w:fill="0071CE"/>
          </w:tcPr>
          <w:p>
            <w:pPr>
              <w:jc w:val="center"/>
              <w:ind w:right="162"/>
              <w:spacing w:after="0" w:line="139" w:lineRule="exact"/>
              <w:rPr>
                <w:sz w:val="20"/>
                <w:szCs w:val="20"/>
                <w:color w:val="auto"/>
              </w:rPr>
            </w:pPr>
            <w:r>
              <w:rPr>
                <w:rFonts w:ascii="Arial" w:cs="Arial" w:eastAsia="Arial" w:hAnsi="Arial"/>
                <w:sz w:val="14"/>
                <w:szCs w:val="14"/>
                <w:b w:val="1"/>
                <w:bCs w:val="1"/>
                <w:color w:val="FFFFFF"/>
              </w:rPr>
              <w:t>Future Payouts</w:t>
            </w:r>
          </w:p>
        </w:tc>
        <w:tc>
          <w:tcPr>
            <w:tcW w:w="1600" w:type="dxa"/>
            <w:vAlign w:val="bottom"/>
            <w:shd w:val="clear" w:color="auto" w:fill="0071CE"/>
          </w:tcPr>
          <w:p>
            <w:pPr>
              <w:spacing w:after="0"/>
              <w:rPr>
                <w:sz w:val="12"/>
                <w:szCs w:val="12"/>
                <w:color w:val="auto"/>
              </w:rPr>
            </w:pPr>
          </w:p>
        </w:tc>
        <w:tc>
          <w:tcPr>
            <w:tcW w:w="1300" w:type="dxa"/>
            <w:vAlign w:val="bottom"/>
            <w:shd w:val="clear" w:color="auto" w:fill="0071C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shd w:val="clear" w:color="auto" w:fill="0071CE"/>
          </w:tcPr>
          <w:p>
            <w:pPr>
              <w:spacing w:after="0"/>
              <w:rPr>
                <w:sz w:val="12"/>
                <w:szCs w:val="12"/>
                <w:color w:val="auto"/>
              </w:rPr>
            </w:pPr>
          </w:p>
        </w:tc>
        <w:tc>
          <w:tcPr>
            <w:tcW w:w="1240" w:type="dxa"/>
            <w:vAlign w:val="bottom"/>
            <w:shd w:val="clear" w:color="auto" w:fill="0071CE"/>
          </w:tcPr>
          <w:p>
            <w:pPr>
              <w:spacing w:after="0"/>
              <w:rPr>
                <w:sz w:val="12"/>
                <w:szCs w:val="12"/>
                <w:color w:val="auto"/>
              </w:rPr>
            </w:pPr>
          </w:p>
        </w:tc>
        <w:tc>
          <w:tcPr>
            <w:tcW w:w="1620" w:type="dxa"/>
            <w:vAlign w:val="bottom"/>
            <w:shd w:val="clear" w:color="auto" w:fill="0071CE"/>
          </w:tcPr>
          <w:p>
            <w:pPr>
              <w:spacing w:after="0"/>
              <w:rPr>
                <w:sz w:val="12"/>
                <w:szCs w:val="12"/>
                <w:color w:val="auto"/>
              </w:rPr>
            </w:pPr>
          </w:p>
        </w:tc>
        <w:tc>
          <w:tcPr>
            <w:tcW w:w="880" w:type="dxa"/>
            <w:vAlign w:val="bottom"/>
            <w:shd w:val="clear" w:color="auto" w:fill="0071CE"/>
          </w:tcPr>
          <w:p>
            <w:pPr>
              <w:spacing w:after="0"/>
              <w:rPr>
                <w:sz w:val="12"/>
                <w:szCs w:val="12"/>
                <w:color w:val="auto"/>
              </w:rPr>
            </w:pPr>
          </w:p>
        </w:tc>
        <w:tc>
          <w:tcPr>
            <w:tcW w:w="2580" w:type="dxa"/>
            <w:vAlign w:val="bottom"/>
            <w:gridSpan w:val="2"/>
            <w:vMerge w:val="continue"/>
            <w:shd w:val="clear" w:color="auto" w:fill="0071CE"/>
          </w:tcPr>
          <w:p>
            <w:pPr>
              <w:spacing w:after="0"/>
              <w:rPr>
                <w:sz w:val="12"/>
                <w:szCs w:val="12"/>
                <w:color w:val="auto"/>
              </w:rPr>
            </w:pPr>
          </w:p>
        </w:tc>
        <w:tc>
          <w:tcPr>
            <w:tcW w:w="1880" w:type="dxa"/>
            <w:vAlign w:val="bottom"/>
            <w:shd w:val="clear" w:color="auto" w:fill="0071CE"/>
          </w:tcPr>
          <w:p>
            <w:pPr>
              <w:jc w:val="center"/>
              <w:ind w:right="182"/>
              <w:spacing w:after="0" w:line="149" w:lineRule="exact"/>
              <w:rPr>
                <w:sz w:val="20"/>
                <w:szCs w:val="20"/>
                <w:color w:val="auto"/>
              </w:rPr>
            </w:pPr>
            <w:r>
              <w:rPr>
                <w:rFonts w:ascii="Arial" w:cs="Arial" w:eastAsia="Arial" w:hAnsi="Arial"/>
                <w:sz w:val="14"/>
                <w:szCs w:val="14"/>
                <w:b w:val="1"/>
                <w:bCs w:val="1"/>
                <w:color w:val="FFFFFF"/>
              </w:rPr>
              <w:t>Under Equity</w:t>
            </w:r>
          </w:p>
        </w:tc>
        <w:tc>
          <w:tcPr>
            <w:tcW w:w="1600" w:type="dxa"/>
            <w:vAlign w:val="bottom"/>
            <w:vMerge w:val="restart"/>
            <w:shd w:val="clear" w:color="auto" w:fill="0071CE"/>
          </w:tcPr>
          <w:p>
            <w:pPr>
              <w:jc w:val="center"/>
              <w:ind w:right="242"/>
              <w:spacing w:after="0"/>
              <w:rPr>
                <w:sz w:val="20"/>
                <w:szCs w:val="20"/>
                <w:color w:val="auto"/>
              </w:rPr>
            </w:pPr>
            <w:r>
              <w:rPr>
                <w:rFonts w:ascii="Arial" w:cs="Arial" w:eastAsia="Arial" w:hAnsi="Arial"/>
                <w:sz w:val="14"/>
                <w:szCs w:val="14"/>
                <w:b w:val="1"/>
                <w:bCs w:val="1"/>
                <w:color w:val="FFFFFF"/>
              </w:rPr>
              <w:t>All Other Stock</w:t>
            </w:r>
          </w:p>
        </w:tc>
        <w:tc>
          <w:tcPr>
            <w:tcW w:w="1300" w:type="dxa"/>
            <w:vAlign w:val="bottom"/>
            <w:shd w:val="clear" w:color="auto" w:fill="0071C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shd w:val="clear" w:color="auto" w:fill="0071CE"/>
          </w:tcPr>
          <w:p>
            <w:pPr>
              <w:spacing w:after="0"/>
              <w:rPr>
                <w:sz w:val="12"/>
                <w:szCs w:val="12"/>
                <w:color w:val="auto"/>
              </w:rPr>
            </w:pPr>
          </w:p>
        </w:tc>
        <w:tc>
          <w:tcPr>
            <w:tcW w:w="1240" w:type="dxa"/>
            <w:vAlign w:val="bottom"/>
            <w:shd w:val="clear" w:color="auto" w:fill="0071CE"/>
          </w:tcPr>
          <w:p>
            <w:pPr>
              <w:spacing w:after="0"/>
              <w:rPr>
                <w:sz w:val="12"/>
                <w:szCs w:val="12"/>
                <w:color w:val="auto"/>
              </w:rPr>
            </w:pPr>
          </w:p>
        </w:tc>
        <w:tc>
          <w:tcPr>
            <w:tcW w:w="1620" w:type="dxa"/>
            <w:vAlign w:val="bottom"/>
            <w:shd w:val="clear" w:color="auto" w:fill="0071CE"/>
          </w:tcPr>
          <w:p>
            <w:pPr>
              <w:spacing w:after="0"/>
              <w:rPr>
                <w:sz w:val="12"/>
                <w:szCs w:val="12"/>
                <w:color w:val="auto"/>
              </w:rPr>
            </w:pPr>
          </w:p>
        </w:tc>
        <w:tc>
          <w:tcPr>
            <w:tcW w:w="880" w:type="dxa"/>
            <w:vAlign w:val="bottom"/>
            <w:shd w:val="clear" w:color="auto" w:fill="0071CE"/>
          </w:tcPr>
          <w:p>
            <w:pPr>
              <w:spacing w:after="0"/>
              <w:rPr>
                <w:sz w:val="12"/>
                <w:szCs w:val="12"/>
                <w:color w:val="auto"/>
              </w:rPr>
            </w:pPr>
          </w:p>
        </w:tc>
        <w:tc>
          <w:tcPr>
            <w:tcW w:w="2580" w:type="dxa"/>
            <w:vAlign w:val="bottom"/>
            <w:gridSpan w:val="2"/>
            <w:shd w:val="clear" w:color="auto" w:fill="0071CE"/>
          </w:tcPr>
          <w:p>
            <w:pPr>
              <w:jc w:val="center"/>
              <w:ind w:left="121"/>
              <w:spacing w:after="0" w:line="145" w:lineRule="exact"/>
              <w:rPr>
                <w:sz w:val="20"/>
                <w:szCs w:val="20"/>
                <w:color w:val="auto"/>
              </w:rPr>
            </w:pPr>
            <w:r>
              <w:rPr>
                <w:rFonts w:ascii="Arial" w:cs="Arial" w:eastAsia="Arial" w:hAnsi="Arial"/>
                <w:sz w:val="14"/>
                <w:szCs w:val="14"/>
                <w:b w:val="1"/>
                <w:bCs w:val="1"/>
                <w:color w:val="FFFFFF"/>
              </w:rPr>
              <w:t>Under Non-Equity</w:t>
            </w:r>
          </w:p>
        </w:tc>
        <w:tc>
          <w:tcPr>
            <w:tcW w:w="1880" w:type="dxa"/>
            <w:vAlign w:val="bottom"/>
            <w:shd w:val="clear" w:color="auto" w:fill="0071CE"/>
          </w:tcPr>
          <w:p>
            <w:pPr>
              <w:jc w:val="center"/>
              <w:ind w:right="162"/>
              <w:spacing w:after="0" w:line="145" w:lineRule="exact"/>
              <w:rPr>
                <w:sz w:val="20"/>
                <w:szCs w:val="20"/>
                <w:color w:val="auto"/>
              </w:rPr>
            </w:pPr>
            <w:r>
              <w:rPr>
                <w:rFonts w:ascii="Arial" w:cs="Arial" w:eastAsia="Arial" w:hAnsi="Arial"/>
                <w:sz w:val="14"/>
                <w:szCs w:val="14"/>
                <w:b w:val="1"/>
                <w:bCs w:val="1"/>
                <w:color w:val="FFFFFF"/>
              </w:rPr>
              <w:t>Incentive Plan</w:t>
            </w:r>
          </w:p>
        </w:tc>
        <w:tc>
          <w:tcPr>
            <w:tcW w:w="1600" w:type="dxa"/>
            <w:vAlign w:val="bottom"/>
            <w:vMerge w:val="continue"/>
            <w:shd w:val="clear" w:color="auto" w:fill="0071CE"/>
          </w:tcPr>
          <w:p>
            <w:pPr>
              <w:spacing w:after="0"/>
              <w:rPr>
                <w:sz w:val="12"/>
                <w:szCs w:val="12"/>
                <w:color w:val="auto"/>
              </w:rPr>
            </w:pPr>
          </w:p>
        </w:tc>
        <w:tc>
          <w:tcPr>
            <w:tcW w:w="1300" w:type="dxa"/>
            <w:vAlign w:val="bottom"/>
            <w:shd w:val="clear" w:color="auto" w:fill="0071C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0071CE"/>
          </w:tcPr>
          <w:p>
            <w:pPr>
              <w:spacing w:after="0"/>
              <w:rPr>
                <w:sz w:val="12"/>
                <w:szCs w:val="12"/>
                <w:color w:val="auto"/>
              </w:rPr>
            </w:pPr>
          </w:p>
        </w:tc>
        <w:tc>
          <w:tcPr>
            <w:tcW w:w="1240" w:type="dxa"/>
            <w:vAlign w:val="bottom"/>
            <w:shd w:val="clear" w:color="auto" w:fill="0071CE"/>
          </w:tcPr>
          <w:p>
            <w:pPr>
              <w:spacing w:after="0"/>
              <w:rPr>
                <w:sz w:val="12"/>
                <w:szCs w:val="12"/>
                <w:color w:val="auto"/>
              </w:rPr>
            </w:pPr>
          </w:p>
        </w:tc>
        <w:tc>
          <w:tcPr>
            <w:tcW w:w="1620" w:type="dxa"/>
            <w:vAlign w:val="bottom"/>
            <w:shd w:val="clear" w:color="auto" w:fill="0071CE"/>
          </w:tcPr>
          <w:p>
            <w:pPr>
              <w:spacing w:after="0"/>
              <w:rPr>
                <w:sz w:val="12"/>
                <w:szCs w:val="12"/>
                <w:color w:val="auto"/>
              </w:rPr>
            </w:pPr>
          </w:p>
        </w:tc>
        <w:tc>
          <w:tcPr>
            <w:tcW w:w="880" w:type="dxa"/>
            <w:vAlign w:val="bottom"/>
            <w:shd w:val="clear" w:color="auto" w:fill="0071CE"/>
          </w:tcPr>
          <w:p>
            <w:pPr>
              <w:spacing w:after="0"/>
              <w:rPr>
                <w:sz w:val="12"/>
                <w:szCs w:val="12"/>
                <w:color w:val="auto"/>
              </w:rPr>
            </w:pPr>
          </w:p>
        </w:tc>
        <w:tc>
          <w:tcPr>
            <w:tcW w:w="2580" w:type="dxa"/>
            <w:vAlign w:val="bottom"/>
            <w:gridSpan w:val="2"/>
            <w:shd w:val="clear" w:color="auto" w:fill="0071CE"/>
          </w:tcPr>
          <w:p>
            <w:pPr>
              <w:jc w:val="center"/>
              <w:ind w:left="101"/>
              <w:spacing w:after="0" w:line="149" w:lineRule="exact"/>
              <w:rPr>
                <w:sz w:val="20"/>
                <w:szCs w:val="20"/>
                <w:color w:val="auto"/>
              </w:rPr>
            </w:pPr>
            <w:r>
              <w:rPr>
                <w:rFonts w:ascii="Arial" w:cs="Arial" w:eastAsia="Arial" w:hAnsi="Arial"/>
                <w:sz w:val="14"/>
                <w:szCs w:val="14"/>
                <w:b w:val="1"/>
                <w:bCs w:val="1"/>
                <w:color w:val="FFFFFF"/>
              </w:rPr>
              <w:t>Incentive Plan Awards (1)</w:t>
            </w:r>
          </w:p>
        </w:tc>
        <w:tc>
          <w:tcPr>
            <w:tcW w:w="1880" w:type="dxa"/>
            <w:vAlign w:val="bottom"/>
            <w:shd w:val="clear" w:color="auto" w:fill="0071CE"/>
          </w:tcPr>
          <w:p>
            <w:pPr>
              <w:jc w:val="center"/>
              <w:ind w:right="182"/>
              <w:spacing w:after="0" w:line="149" w:lineRule="exact"/>
              <w:rPr>
                <w:sz w:val="20"/>
                <w:szCs w:val="20"/>
                <w:color w:val="auto"/>
              </w:rPr>
            </w:pPr>
            <w:r>
              <w:rPr>
                <w:rFonts w:ascii="Arial" w:cs="Arial" w:eastAsia="Arial" w:hAnsi="Arial"/>
                <w:sz w:val="14"/>
                <w:szCs w:val="14"/>
                <w:b w:val="1"/>
                <w:bCs w:val="1"/>
                <w:color w:val="FFFFFF"/>
              </w:rPr>
              <w:t>Awards (2)</w:t>
            </w:r>
          </w:p>
        </w:tc>
        <w:tc>
          <w:tcPr>
            <w:tcW w:w="1600" w:type="dxa"/>
            <w:vAlign w:val="bottom"/>
            <w:shd w:val="clear" w:color="auto" w:fill="0071CE"/>
          </w:tcPr>
          <w:p>
            <w:pPr>
              <w:jc w:val="right"/>
              <w:ind w:right="322"/>
              <w:spacing w:after="0" w:line="149" w:lineRule="exact"/>
              <w:rPr>
                <w:sz w:val="20"/>
                <w:szCs w:val="20"/>
                <w:color w:val="auto"/>
              </w:rPr>
            </w:pPr>
            <w:r>
              <w:rPr>
                <w:rFonts w:ascii="Arial" w:cs="Arial" w:eastAsia="Arial" w:hAnsi="Arial"/>
                <w:sz w:val="14"/>
                <w:szCs w:val="14"/>
                <w:b w:val="1"/>
                <w:bCs w:val="1"/>
                <w:color w:val="FFFFFF"/>
              </w:rPr>
              <w:t>Awards: Number</w:t>
            </w:r>
          </w:p>
        </w:tc>
        <w:tc>
          <w:tcPr>
            <w:tcW w:w="1300" w:type="dxa"/>
            <w:vAlign w:val="bottom"/>
            <w:vMerge w:val="restart"/>
            <w:shd w:val="clear" w:color="auto" w:fill="0071CE"/>
          </w:tcPr>
          <w:p>
            <w:pPr>
              <w:jc w:val="center"/>
              <w:ind w:left="1"/>
              <w:spacing w:after="0"/>
              <w:rPr>
                <w:sz w:val="20"/>
                <w:szCs w:val="20"/>
                <w:color w:val="auto"/>
              </w:rPr>
            </w:pPr>
            <w:r>
              <w:rPr>
                <w:rFonts w:ascii="Arial" w:cs="Arial" w:eastAsia="Arial" w:hAnsi="Arial"/>
                <w:sz w:val="14"/>
                <w:szCs w:val="14"/>
                <w:b w:val="1"/>
                <w:bCs w:val="1"/>
                <w:color w:val="FFFFFF"/>
              </w:rPr>
              <w:t>Grant</w:t>
            </w:r>
          </w:p>
        </w:tc>
        <w:tc>
          <w:tcPr>
            <w:tcW w:w="0" w:type="dxa"/>
            <w:vAlign w:val="bottom"/>
          </w:tcPr>
          <w:p>
            <w:pPr>
              <w:spacing w:after="0"/>
              <w:rPr>
                <w:sz w:val="1"/>
                <w:szCs w:val="1"/>
                <w:color w:val="auto"/>
              </w:rPr>
            </w:pPr>
          </w:p>
        </w:tc>
      </w:tr>
      <w:tr>
        <w:trPr>
          <w:trHeight w:val="135"/>
        </w:trPr>
        <w:tc>
          <w:tcPr>
            <w:tcW w:w="100" w:type="dxa"/>
            <w:vAlign w:val="bottom"/>
            <w:shd w:val="clear" w:color="auto" w:fill="0071CE"/>
          </w:tcPr>
          <w:p>
            <w:pPr>
              <w:spacing w:after="0"/>
              <w:rPr>
                <w:sz w:val="11"/>
                <w:szCs w:val="11"/>
                <w:color w:val="auto"/>
              </w:rPr>
            </w:pPr>
          </w:p>
        </w:tc>
        <w:tc>
          <w:tcPr>
            <w:tcW w:w="1240" w:type="dxa"/>
            <w:vAlign w:val="bottom"/>
            <w:shd w:val="clear" w:color="auto" w:fill="0071CE"/>
          </w:tcPr>
          <w:p>
            <w:pPr>
              <w:spacing w:after="0"/>
              <w:rPr>
                <w:sz w:val="11"/>
                <w:szCs w:val="11"/>
                <w:color w:val="auto"/>
              </w:rPr>
            </w:pPr>
          </w:p>
        </w:tc>
        <w:tc>
          <w:tcPr>
            <w:tcW w:w="1620" w:type="dxa"/>
            <w:vAlign w:val="bottom"/>
            <w:shd w:val="clear" w:color="auto" w:fill="0071CE"/>
          </w:tcPr>
          <w:p>
            <w:pPr>
              <w:spacing w:after="0"/>
              <w:rPr>
                <w:sz w:val="11"/>
                <w:szCs w:val="11"/>
                <w:color w:val="auto"/>
              </w:rPr>
            </w:pPr>
          </w:p>
        </w:tc>
        <w:tc>
          <w:tcPr>
            <w:tcW w:w="880" w:type="dxa"/>
            <w:vAlign w:val="bottom"/>
            <w:shd w:val="clear" w:color="auto" w:fill="0071CE"/>
          </w:tcPr>
          <w:p>
            <w:pPr>
              <w:spacing w:after="0"/>
              <w:rPr>
                <w:sz w:val="11"/>
                <w:szCs w:val="11"/>
                <w:color w:val="auto"/>
              </w:rPr>
            </w:pPr>
          </w:p>
        </w:tc>
        <w:tc>
          <w:tcPr>
            <w:tcW w:w="1240" w:type="dxa"/>
            <w:vAlign w:val="bottom"/>
            <w:shd w:val="clear" w:color="auto" w:fill="0071CE"/>
          </w:tcPr>
          <w:p>
            <w:pPr>
              <w:spacing w:after="0"/>
              <w:rPr>
                <w:sz w:val="11"/>
                <w:szCs w:val="11"/>
                <w:color w:val="auto"/>
              </w:rPr>
            </w:pPr>
          </w:p>
        </w:tc>
        <w:tc>
          <w:tcPr>
            <w:tcW w:w="1340" w:type="dxa"/>
            <w:vAlign w:val="bottom"/>
            <w:shd w:val="clear" w:color="auto" w:fill="0071CE"/>
          </w:tcPr>
          <w:p>
            <w:pPr>
              <w:spacing w:after="0"/>
              <w:rPr>
                <w:sz w:val="11"/>
                <w:szCs w:val="11"/>
                <w:color w:val="auto"/>
              </w:rPr>
            </w:pPr>
          </w:p>
        </w:tc>
        <w:tc>
          <w:tcPr>
            <w:tcW w:w="1880" w:type="dxa"/>
            <w:vAlign w:val="bottom"/>
            <w:shd w:val="clear" w:color="auto" w:fill="0071CE"/>
          </w:tcPr>
          <w:p>
            <w:pPr>
              <w:spacing w:after="0"/>
              <w:rPr>
                <w:sz w:val="11"/>
                <w:szCs w:val="11"/>
                <w:color w:val="auto"/>
              </w:rPr>
            </w:pPr>
          </w:p>
        </w:tc>
        <w:tc>
          <w:tcPr>
            <w:tcW w:w="1600" w:type="dxa"/>
            <w:vAlign w:val="bottom"/>
            <w:shd w:val="clear" w:color="auto" w:fill="0071CE"/>
          </w:tcPr>
          <w:p>
            <w:pPr>
              <w:jc w:val="center"/>
              <w:ind w:right="242"/>
              <w:spacing w:after="0" w:line="135" w:lineRule="exact"/>
              <w:rPr>
                <w:sz w:val="20"/>
                <w:szCs w:val="20"/>
                <w:color w:val="auto"/>
              </w:rPr>
            </w:pPr>
            <w:r>
              <w:rPr>
                <w:rFonts w:ascii="Arial" w:cs="Arial" w:eastAsia="Arial" w:hAnsi="Arial"/>
                <w:sz w:val="14"/>
                <w:szCs w:val="14"/>
                <w:b w:val="1"/>
                <w:bCs w:val="1"/>
                <w:color w:val="FFFFFF"/>
              </w:rPr>
              <w:t>of Shares of</w:t>
            </w:r>
          </w:p>
        </w:tc>
        <w:tc>
          <w:tcPr>
            <w:tcW w:w="1300" w:type="dxa"/>
            <w:vAlign w:val="bottom"/>
            <w:vMerge w:val="continue"/>
            <w:shd w:val="clear" w:color="auto" w:fill="0071C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0071CE"/>
          </w:tcPr>
          <w:p>
            <w:pPr>
              <w:spacing w:after="0"/>
              <w:rPr>
                <w:sz w:val="11"/>
                <w:szCs w:val="11"/>
                <w:color w:val="auto"/>
              </w:rPr>
            </w:pPr>
          </w:p>
        </w:tc>
        <w:tc>
          <w:tcPr>
            <w:tcW w:w="2860" w:type="dxa"/>
            <w:vAlign w:val="bottom"/>
            <w:gridSpan w:val="2"/>
            <w:vMerge w:val="restart"/>
            <w:shd w:val="clear" w:color="auto" w:fill="0071CE"/>
          </w:tcPr>
          <w:p>
            <w:pPr>
              <w:ind w:left="20"/>
              <w:spacing w:after="0"/>
              <w:rPr>
                <w:sz w:val="20"/>
                <w:szCs w:val="20"/>
                <w:color w:val="auto"/>
              </w:rPr>
            </w:pPr>
            <w:r>
              <w:rPr>
                <w:rFonts w:ascii="Arial" w:cs="Arial" w:eastAsia="Arial" w:hAnsi="Arial"/>
                <w:sz w:val="14"/>
                <w:szCs w:val="14"/>
                <w:b w:val="1"/>
                <w:bCs w:val="1"/>
                <w:color w:val="FFFFFF"/>
              </w:rPr>
              <w:t>Name</w:t>
            </w:r>
          </w:p>
        </w:tc>
        <w:tc>
          <w:tcPr>
            <w:tcW w:w="880" w:type="dxa"/>
            <w:vAlign w:val="bottom"/>
            <w:shd w:val="clear" w:color="auto" w:fill="0071CE"/>
          </w:tcPr>
          <w:p>
            <w:pPr>
              <w:spacing w:after="0"/>
              <w:rPr>
                <w:sz w:val="11"/>
                <w:szCs w:val="11"/>
                <w:color w:val="auto"/>
              </w:rPr>
            </w:pPr>
          </w:p>
        </w:tc>
        <w:tc>
          <w:tcPr>
            <w:tcW w:w="1240" w:type="dxa"/>
            <w:vAlign w:val="bottom"/>
            <w:shd w:val="clear" w:color="auto" w:fill="0071CE"/>
          </w:tcPr>
          <w:p>
            <w:pPr>
              <w:spacing w:after="0"/>
              <w:rPr>
                <w:sz w:val="11"/>
                <w:szCs w:val="11"/>
                <w:color w:val="auto"/>
              </w:rPr>
            </w:pPr>
          </w:p>
        </w:tc>
        <w:tc>
          <w:tcPr>
            <w:tcW w:w="1340" w:type="dxa"/>
            <w:vAlign w:val="bottom"/>
            <w:shd w:val="clear" w:color="auto" w:fill="0071CE"/>
          </w:tcPr>
          <w:p>
            <w:pPr>
              <w:spacing w:after="0"/>
              <w:rPr>
                <w:sz w:val="11"/>
                <w:szCs w:val="11"/>
                <w:color w:val="auto"/>
              </w:rPr>
            </w:pPr>
          </w:p>
        </w:tc>
        <w:tc>
          <w:tcPr>
            <w:tcW w:w="1880" w:type="dxa"/>
            <w:vAlign w:val="bottom"/>
            <w:shd w:val="clear" w:color="auto" w:fill="0071CE"/>
          </w:tcPr>
          <w:p>
            <w:pPr>
              <w:spacing w:after="0"/>
              <w:rPr>
                <w:sz w:val="11"/>
                <w:szCs w:val="11"/>
                <w:color w:val="auto"/>
              </w:rPr>
            </w:pPr>
          </w:p>
        </w:tc>
        <w:tc>
          <w:tcPr>
            <w:tcW w:w="1600" w:type="dxa"/>
            <w:vAlign w:val="bottom"/>
            <w:shd w:val="clear" w:color="auto" w:fill="0071CE"/>
          </w:tcPr>
          <w:p>
            <w:pPr>
              <w:jc w:val="center"/>
              <w:ind w:right="262"/>
              <w:spacing w:after="0" w:line="135" w:lineRule="exact"/>
              <w:rPr>
                <w:sz w:val="20"/>
                <w:szCs w:val="20"/>
                <w:color w:val="auto"/>
              </w:rPr>
            </w:pPr>
            <w:r>
              <w:rPr>
                <w:rFonts w:ascii="Arial" w:cs="Arial" w:eastAsia="Arial" w:hAnsi="Arial"/>
                <w:sz w:val="14"/>
                <w:szCs w:val="14"/>
                <w:b w:val="1"/>
                <w:bCs w:val="1"/>
                <w:color w:val="FFFFFF"/>
              </w:rPr>
              <w:t>Stock or Units</w:t>
            </w:r>
          </w:p>
        </w:tc>
        <w:tc>
          <w:tcPr>
            <w:tcW w:w="1300" w:type="dxa"/>
            <w:vAlign w:val="bottom"/>
            <w:shd w:val="clear" w:color="auto" w:fill="0071CE"/>
          </w:tcPr>
          <w:p>
            <w:pPr>
              <w:jc w:val="center"/>
              <w:ind w:left="1"/>
              <w:spacing w:after="0" w:line="135" w:lineRule="exact"/>
              <w:rPr>
                <w:sz w:val="20"/>
                <w:szCs w:val="20"/>
                <w:color w:val="auto"/>
              </w:rPr>
            </w:pPr>
            <w:r>
              <w:rPr>
                <w:rFonts w:ascii="Arial" w:cs="Arial" w:eastAsia="Arial" w:hAnsi="Arial"/>
                <w:sz w:val="14"/>
                <w:szCs w:val="14"/>
                <w:b w:val="1"/>
                <w:bCs w:val="1"/>
                <w:color w:val="FFFFFF"/>
              </w:rPr>
              <w:t>Date Fair</w:t>
            </w:r>
          </w:p>
        </w:tc>
        <w:tc>
          <w:tcPr>
            <w:tcW w:w="0" w:type="dxa"/>
            <w:vAlign w:val="bottom"/>
          </w:tcPr>
          <w:p>
            <w:pPr>
              <w:spacing w:after="0"/>
              <w:rPr>
                <w:sz w:val="1"/>
                <w:szCs w:val="1"/>
                <w:color w:val="auto"/>
              </w:rPr>
            </w:pPr>
          </w:p>
        </w:tc>
      </w:tr>
      <w:tr>
        <w:trPr>
          <w:trHeight w:val="169"/>
        </w:trPr>
        <w:tc>
          <w:tcPr>
            <w:tcW w:w="100" w:type="dxa"/>
            <w:vAlign w:val="bottom"/>
            <w:tcBorders>
              <w:bottom w:val="single" w:sz="8" w:color="0071CE"/>
            </w:tcBorders>
            <w:shd w:val="clear" w:color="auto" w:fill="0071CE"/>
          </w:tcPr>
          <w:p>
            <w:pPr>
              <w:spacing w:after="0"/>
              <w:rPr>
                <w:sz w:val="14"/>
                <w:szCs w:val="14"/>
                <w:color w:val="auto"/>
              </w:rPr>
            </w:pPr>
          </w:p>
        </w:tc>
        <w:tc>
          <w:tcPr>
            <w:tcW w:w="2860" w:type="dxa"/>
            <w:vAlign w:val="bottom"/>
            <w:tcBorders>
              <w:bottom w:val="single" w:sz="8" w:color="0071CE"/>
            </w:tcBorders>
            <w:gridSpan w:val="2"/>
            <w:vMerge w:val="continue"/>
            <w:shd w:val="clear" w:color="auto" w:fill="0071CE"/>
          </w:tcPr>
          <w:p>
            <w:pPr>
              <w:spacing w:after="0"/>
              <w:rPr>
                <w:sz w:val="14"/>
                <w:szCs w:val="14"/>
                <w:color w:val="auto"/>
              </w:rPr>
            </w:pPr>
          </w:p>
        </w:tc>
        <w:tc>
          <w:tcPr>
            <w:tcW w:w="880" w:type="dxa"/>
            <w:vAlign w:val="bottom"/>
            <w:tcBorders>
              <w:bottom w:val="single" w:sz="8" w:color="0071CE"/>
            </w:tcBorders>
            <w:shd w:val="clear" w:color="auto" w:fill="0071CE"/>
          </w:tcPr>
          <w:p>
            <w:pPr>
              <w:jc w:val="center"/>
              <w:spacing w:after="0"/>
              <w:rPr>
                <w:sz w:val="20"/>
                <w:szCs w:val="20"/>
                <w:color w:val="auto"/>
              </w:rPr>
            </w:pPr>
            <w:r>
              <w:rPr>
                <w:rFonts w:ascii="Arial" w:cs="Arial" w:eastAsia="Arial" w:hAnsi="Arial"/>
                <w:sz w:val="14"/>
                <w:szCs w:val="14"/>
                <w:b w:val="1"/>
                <w:bCs w:val="1"/>
                <w:color w:val="FFFFFF"/>
              </w:rPr>
              <w:t>Grant Date</w:t>
            </w:r>
          </w:p>
        </w:tc>
        <w:tc>
          <w:tcPr>
            <w:tcW w:w="1240" w:type="dxa"/>
            <w:vAlign w:val="bottom"/>
            <w:tcBorders>
              <w:bottom w:val="single" w:sz="8" w:color="0071CE"/>
            </w:tcBorders>
            <w:shd w:val="clear" w:color="auto" w:fill="0071CE"/>
          </w:tcPr>
          <w:p>
            <w:pPr>
              <w:ind w:left="520"/>
              <w:spacing w:after="0"/>
              <w:rPr>
                <w:sz w:val="20"/>
                <w:szCs w:val="20"/>
                <w:color w:val="auto"/>
              </w:rPr>
            </w:pPr>
            <w:r>
              <w:rPr>
                <w:rFonts w:ascii="Arial" w:cs="Arial" w:eastAsia="Arial" w:hAnsi="Arial"/>
                <w:sz w:val="14"/>
                <w:szCs w:val="14"/>
                <w:b w:val="1"/>
                <w:bCs w:val="1"/>
                <w:color w:val="FFFFFF"/>
              </w:rPr>
              <w:t>Target ($)</w:t>
            </w:r>
          </w:p>
        </w:tc>
        <w:tc>
          <w:tcPr>
            <w:tcW w:w="1340" w:type="dxa"/>
            <w:vAlign w:val="bottom"/>
            <w:tcBorders>
              <w:bottom w:val="single" w:sz="8" w:color="0071CE"/>
            </w:tcBorders>
            <w:shd w:val="clear" w:color="auto" w:fill="0071CE"/>
          </w:tcPr>
          <w:p>
            <w:pPr>
              <w:jc w:val="right"/>
              <w:ind w:right="264"/>
              <w:spacing w:after="0"/>
              <w:rPr>
                <w:sz w:val="20"/>
                <w:szCs w:val="20"/>
                <w:color w:val="auto"/>
              </w:rPr>
            </w:pPr>
            <w:r>
              <w:rPr>
                <w:rFonts w:ascii="Arial" w:cs="Arial" w:eastAsia="Arial" w:hAnsi="Arial"/>
                <w:sz w:val="14"/>
                <w:szCs w:val="14"/>
                <w:b w:val="1"/>
                <w:bCs w:val="1"/>
                <w:color w:val="FFFFFF"/>
              </w:rPr>
              <w:t>Maximum ($)</w:t>
            </w:r>
          </w:p>
        </w:tc>
        <w:tc>
          <w:tcPr>
            <w:tcW w:w="1880" w:type="dxa"/>
            <w:vAlign w:val="bottom"/>
            <w:tcBorders>
              <w:bottom w:val="single" w:sz="8" w:color="0071CE"/>
            </w:tcBorders>
            <w:shd w:val="clear" w:color="auto" w:fill="0071CE"/>
          </w:tcPr>
          <w:p>
            <w:pPr>
              <w:jc w:val="center"/>
              <w:ind w:right="162"/>
              <w:spacing w:after="0"/>
              <w:rPr>
                <w:sz w:val="20"/>
                <w:szCs w:val="20"/>
                <w:color w:val="auto"/>
              </w:rPr>
            </w:pPr>
            <w:r>
              <w:rPr>
                <w:rFonts w:ascii="Arial" w:cs="Arial" w:eastAsia="Arial" w:hAnsi="Arial"/>
                <w:sz w:val="14"/>
                <w:szCs w:val="14"/>
                <w:b w:val="1"/>
                <w:bCs w:val="1"/>
                <w:color w:val="FFFFFF"/>
              </w:rPr>
              <w:t>Target (#)</w:t>
            </w:r>
          </w:p>
        </w:tc>
        <w:tc>
          <w:tcPr>
            <w:tcW w:w="1600" w:type="dxa"/>
            <w:vAlign w:val="bottom"/>
            <w:tcBorders>
              <w:bottom w:val="single" w:sz="8" w:color="0071CE"/>
            </w:tcBorders>
            <w:shd w:val="clear" w:color="auto" w:fill="0071CE"/>
          </w:tcPr>
          <w:p>
            <w:pPr>
              <w:jc w:val="center"/>
              <w:ind w:right="242"/>
              <w:spacing w:after="0"/>
              <w:rPr>
                <w:sz w:val="20"/>
                <w:szCs w:val="20"/>
                <w:color w:val="auto"/>
              </w:rPr>
            </w:pPr>
            <w:r>
              <w:rPr>
                <w:rFonts w:ascii="Arial" w:cs="Arial" w:eastAsia="Arial" w:hAnsi="Arial"/>
                <w:sz w:val="14"/>
                <w:szCs w:val="14"/>
                <w:b w:val="1"/>
                <w:bCs w:val="1"/>
                <w:color w:val="FFFFFF"/>
              </w:rPr>
              <w:t>(#) (3)</w:t>
            </w:r>
          </w:p>
        </w:tc>
        <w:tc>
          <w:tcPr>
            <w:tcW w:w="1300" w:type="dxa"/>
            <w:vAlign w:val="bottom"/>
            <w:tcBorders>
              <w:bottom w:val="single" w:sz="8" w:color="0071CE"/>
            </w:tcBorders>
            <w:shd w:val="clear" w:color="auto" w:fill="0071CE"/>
          </w:tcPr>
          <w:p>
            <w:pPr>
              <w:jc w:val="center"/>
              <w:ind w:left="1"/>
              <w:spacing w:after="0"/>
              <w:rPr>
                <w:sz w:val="20"/>
                <w:szCs w:val="20"/>
                <w:color w:val="auto"/>
              </w:rPr>
            </w:pPr>
            <w:r>
              <w:rPr>
                <w:rFonts w:ascii="Arial" w:cs="Arial" w:eastAsia="Arial" w:hAnsi="Arial"/>
                <w:sz w:val="14"/>
                <w:szCs w:val="14"/>
                <w:b w:val="1"/>
                <w:bCs w:val="1"/>
                <w:color w:val="FFFFFF"/>
              </w:rPr>
              <w:t>Value</w:t>
            </w:r>
          </w:p>
        </w:tc>
        <w:tc>
          <w:tcPr>
            <w:tcW w:w="0" w:type="dxa"/>
            <w:vAlign w:val="bottom"/>
          </w:tcPr>
          <w:p>
            <w:pPr>
              <w:spacing w:after="0"/>
              <w:rPr>
                <w:sz w:val="1"/>
                <w:szCs w:val="1"/>
                <w:color w:val="auto"/>
              </w:rPr>
            </w:pPr>
          </w:p>
        </w:tc>
      </w:tr>
      <w:tr>
        <w:trPr>
          <w:trHeight w:val="216"/>
        </w:trPr>
        <w:tc>
          <w:tcPr>
            <w:tcW w:w="100" w:type="dxa"/>
            <w:vAlign w:val="bottom"/>
            <w:shd w:val="clear" w:color="auto" w:fill="E5E5E5"/>
          </w:tcPr>
          <w:p>
            <w:pPr>
              <w:spacing w:after="0"/>
              <w:rPr>
                <w:sz w:val="18"/>
                <w:szCs w:val="18"/>
                <w:color w:val="auto"/>
              </w:rPr>
            </w:pPr>
          </w:p>
        </w:tc>
        <w:tc>
          <w:tcPr>
            <w:tcW w:w="286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0071CE"/>
                <w:shd w:val="clear" w:color="auto" w:fill="E5E5E5"/>
              </w:rPr>
              <w:t>Christopher Anzalone</w:t>
            </w:r>
          </w:p>
        </w:tc>
        <w:tc>
          <w:tcPr>
            <w:tcW w:w="880" w:type="dxa"/>
            <w:vAlign w:val="bottom"/>
            <w:shd w:val="clear" w:color="auto" w:fill="E5E5E5"/>
          </w:tcPr>
          <w:p>
            <w:pPr>
              <w:spacing w:after="0"/>
              <w:rPr>
                <w:sz w:val="18"/>
                <w:szCs w:val="18"/>
                <w:color w:val="auto"/>
              </w:rPr>
            </w:pPr>
          </w:p>
        </w:tc>
        <w:tc>
          <w:tcPr>
            <w:tcW w:w="1240" w:type="dxa"/>
            <w:vAlign w:val="bottom"/>
            <w:shd w:val="clear" w:color="auto" w:fill="E5E5E5"/>
          </w:tcPr>
          <w:p>
            <w:pPr>
              <w:spacing w:after="0"/>
              <w:rPr>
                <w:sz w:val="18"/>
                <w:szCs w:val="18"/>
                <w:color w:val="auto"/>
              </w:rPr>
            </w:pPr>
          </w:p>
        </w:tc>
        <w:tc>
          <w:tcPr>
            <w:tcW w:w="1340" w:type="dxa"/>
            <w:vAlign w:val="bottom"/>
            <w:shd w:val="clear" w:color="auto" w:fill="E5E5E5"/>
          </w:tcPr>
          <w:p>
            <w:pPr>
              <w:spacing w:after="0"/>
              <w:rPr>
                <w:sz w:val="18"/>
                <w:szCs w:val="18"/>
                <w:color w:val="auto"/>
              </w:rPr>
            </w:pPr>
          </w:p>
        </w:tc>
        <w:tc>
          <w:tcPr>
            <w:tcW w:w="1880" w:type="dxa"/>
            <w:vAlign w:val="bottom"/>
            <w:shd w:val="clear" w:color="auto" w:fill="E5E5E5"/>
          </w:tcPr>
          <w:p>
            <w:pPr>
              <w:spacing w:after="0"/>
              <w:rPr>
                <w:sz w:val="18"/>
                <w:szCs w:val="18"/>
                <w:color w:val="auto"/>
              </w:rPr>
            </w:pPr>
          </w:p>
        </w:tc>
        <w:tc>
          <w:tcPr>
            <w:tcW w:w="1600" w:type="dxa"/>
            <w:vAlign w:val="bottom"/>
            <w:shd w:val="clear" w:color="auto" w:fill="E5E5E5"/>
          </w:tcPr>
          <w:p>
            <w:pPr>
              <w:spacing w:after="0"/>
              <w:rPr>
                <w:sz w:val="18"/>
                <w:szCs w:val="18"/>
                <w:color w:val="auto"/>
              </w:rPr>
            </w:pPr>
          </w:p>
        </w:tc>
        <w:tc>
          <w:tcPr>
            <w:tcW w:w="13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E5E5E5"/>
          </w:tcPr>
          <w:p>
            <w:pPr>
              <w:spacing w:after="0"/>
              <w:rPr>
                <w:sz w:val="18"/>
                <w:szCs w:val="18"/>
                <w:color w:val="auto"/>
              </w:rPr>
            </w:pPr>
          </w:p>
        </w:tc>
        <w:tc>
          <w:tcPr>
            <w:tcW w:w="1240" w:type="dxa"/>
            <w:vAlign w:val="bottom"/>
            <w:shd w:val="clear" w:color="auto" w:fill="E5E5E5"/>
          </w:tcPr>
          <w:p>
            <w:pPr>
              <w:ind w:left="320"/>
              <w:spacing w:after="0"/>
              <w:rPr>
                <w:sz w:val="20"/>
                <w:szCs w:val="20"/>
                <w:color w:val="auto"/>
              </w:rPr>
            </w:pPr>
            <w:r>
              <w:rPr>
                <w:rFonts w:ascii="Arial" w:cs="Arial" w:eastAsia="Arial" w:hAnsi="Arial"/>
                <w:sz w:val="16"/>
                <w:szCs w:val="16"/>
                <w:color w:val="auto"/>
                <w:shd w:val="clear" w:color="auto" w:fill="E5E5E5"/>
              </w:rPr>
              <w:t>Cash Bonus</w:t>
            </w:r>
          </w:p>
        </w:tc>
        <w:tc>
          <w:tcPr>
            <w:tcW w:w="162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1240" w:type="dxa"/>
            <w:vAlign w:val="bottom"/>
            <w:shd w:val="clear" w:color="auto" w:fill="E5E5E5"/>
          </w:tcPr>
          <w:p>
            <w:pPr>
              <w:jc w:val="center"/>
              <w:ind w:left="381"/>
              <w:spacing w:after="0"/>
              <w:rPr>
                <w:sz w:val="20"/>
                <w:szCs w:val="20"/>
                <w:color w:val="auto"/>
              </w:rPr>
            </w:pPr>
            <w:r>
              <w:rPr>
                <w:rFonts w:ascii="Arial" w:cs="Arial" w:eastAsia="Arial" w:hAnsi="Arial"/>
                <w:sz w:val="16"/>
                <w:szCs w:val="16"/>
                <w:color w:val="auto"/>
                <w:w w:val="98"/>
              </w:rPr>
              <w:t>$960,000</w:t>
            </w:r>
          </w:p>
        </w:tc>
        <w:tc>
          <w:tcPr>
            <w:tcW w:w="1340" w:type="dxa"/>
            <w:vAlign w:val="bottom"/>
            <w:shd w:val="clear" w:color="auto" w:fill="E5E5E5"/>
          </w:tcPr>
          <w:p>
            <w:pPr>
              <w:jc w:val="right"/>
              <w:ind w:right="404"/>
              <w:spacing w:after="0"/>
              <w:rPr>
                <w:sz w:val="20"/>
                <w:szCs w:val="20"/>
                <w:color w:val="auto"/>
              </w:rPr>
            </w:pPr>
            <w:r>
              <w:rPr>
                <w:rFonts w:ascii="Arial" w:cs="Arial" w:eastAsia="Arial" w:hAnsi="Arial"/>
                <w:sz w:val="16"/>
                <w:szCs w:val="16"/>
                <w:color w:val="auto"/>
              </w:rPr>
              <w:t>$1,440,000</w:t>
            </w:r>
          </w:p>
        </w:tc>
        <w:tc>
          <w:tcPr>
            <w:tcW w:w="1880" w:type="dxa"/>
            <w:vAlign w:val="bottom"/>
            <w:shd w:val="clear" w:color="auto" w:fill="E5E5E5"/>
          </w:tcPr>
          <w:p>
            <w:pPr>
              <w:ind w:left="1260"/>
              <w:spacing w:after="0"/>
              <w:rPr>
                <w:sz w:val="20"/>
                <w:szCs w:val="20"/>
                <w:color w:val="auto"/>
              </w:rPr>
            </w:pPr>
            <w:r>
              <w:rPr>
                <w:rFonts w:ascii="Arial" w:cs="Arial" w:eastAsia="Arial" w:hAnsi="Arial"/>
                <w:sz w:val="16"/>
                <w:szCs w:val="16"/>
                <w:color w:val="auto"/>
              </w:rPr>
              <w:t>—</w:t>
            </w:r>
          </w:p>
        </w:tc>
        <w:tc>
          <w:tcPr>
            <w:tcW w:w="1600" w:type="dxa"/>
            <w:vAlign w:val="bottom"/>
            <w:shd w:val="clear" w:color="auto" w:fill="E5E5E5"/>
          </w:tcPr>
          <w:p>
            <w:pPr>
              <w:jc w:val="right"/>
              <w:ind w:right="262"/>
              <w:spacing w:after="0"/>
              <w:rPr>
                <w:sz w:val="20"/>
                <w:szCs w:val="20"/>
                <w:color w:val="auto"/>
              </w:rPr>
            </w:pPr>
            <w:r>
              <w:rPr>
                <w:rFonts w:ascii="Arial" w:cs="Arial" w:eastAsia="Arial" w:hAnsi="Arial"/>
                <w:sz w:val="16"/>
                <w:szCs w:val="16"/>
                <w:color w:val="auto"/>
              </w:rPr>
              <w:t>—</w:t>
            </w:r>
          </w:p>
        </w:tc>
        <w:tc>
          <w:tcPr>
            <w:tcW w:w="130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100" w:type="dxa"/>
            <w:vAlign w:val="bottom"/>
            <w:shd w:val="clear" w:color="auto" w:fill="E5E5E5"/>
          </w:tcPr>
          <w:p>
            <w:pPr>
              <w:spacing w:after="0"/>
              <w:rPr>
                <w:sz w:val="19"/>
                <w:szCs w:val="19"/>
                <w:color w:val="auto"/>
              </w:rPr>
            </w:pPr>
          </w:p>
        </w:tc>
        <w:tc>
          <w:tcPr>
            <w:tcW w:w="2860" w:type="dxa"/>
            <w:vAlign w:val="bottom"/>
            <w:gridSpan w:val="2"/>
            <w:shd w:val="clear" w:color="auto" w:fill="E5E5E5"/>
          </w:tcPr>
          <w:p>
            <w:pPr>
              <w:ind w:left="320"/>
              <w:spacing w:after="0"/>
              <w:rPr>
                <w:sz w:val="20"/>
                <w:szCs w:val="20"/>
                <w:color w:val="auto"/>
              </w:rPr>
            </w:pPr>
            <w:r>
              <w:rPr>
                <w:rFonts w:ascii="Arial" w:cs="Arial" w:eastAsia="Arial" w:hAnsi="Arial"/>
                <w:sz w:val="16"/>
                <w:szCs w:val="16"/>
                <w:color w:val="auto"/>
              </w:rPr>
              <w:t>PRSUs</w:t>
            </w:r>
          </w:p>
        </w:tc>
        <w:tc>
          <w:tcPr>
            <w:tcW w:w="88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12/22/2023</w:t>
            </w:r>
          </w:p>
        </w:tc>
        <w:tc>
          <w:tcPr>
            <w:tcW w:w="1240" w:type="dxa"/>
            <w:vAlign w:val="bottom"/>
            <w:shd w:val="clear" w:color="auto" w:fill="E5E5E5"/>
          </w:tcPr>
          <w:p>
            <w:pPr>
              <w:jc w:val="center"/>
              <w:ind w:left="381"/>
              <w:spacing w:after="0"/>
              <w:rPr>
                <w:sz w:val="20"/>
                <w:szCs w:val="20"/>
                <w:color w:val="auto"/>
              </w:rPr>
            </w:pPr>
            <w:r>
              <w:rPr>
                <w:rFonts w:ascii="Arial" w:cs="Arial" w:eastAsia="Arial" w:hAnsi="Arial"/>
                <w:sz w:val="16"/>
                <w:szCs w:val="16"/>
                <w:color w:val="auto"/>
              </w:rPr>
              <w:t>—</w:t>
            </w:r>
          </w:p>
        </w:tc>
        <w:tc>
          <w:tcPr>
            <w:tcW w:w="1340" w:type="dxa"/>
            <w:vAlign w:val="bottom"/>
            <w:shd w:val="clear" w:color="auto" w:fill="E5E5E5"/>
          </w:tcPr>
          <w:p>
            <w:pPr>
              <w:spacing w:after="0"/>
              <w:rPr>
                <w:sz w:val="19"/>
                <w:szCs w:val="19"/>
                <w:color w:val="auto"/>
              </w:rPr>
            </w:pPr>
          </w:p>
        </w:tc>
        <w:tc>
          <w:tcPr>
            <w:tcW w:w="1880" w:type="dxa"/>
            <w:vAlign w:val="bottom"/>
            <w:shd w:val="clear" w:color="auto" w:fill="E5E5E5"/>
          </w:tcPr>
          <w:p>
            <w:pPr>
              <w:ind w:left="800"/>
              <w:spacing w:after="0"/>
              <w:rPr>
                <w:sz w:val="20"/>
                <w:szCs w:val="20"/>
                <w:color w:val="auto"/>
              </w:rPr>
            </w:pPr>
            <w:r>
              <w:rPr>
                <w:rFonts w:ascii="Arial" w:cs="Arial" w:eastAsia="Arial" w:hAnsi="Arial"/>
                <w:sz w:val="16"/>
                <w:szCs w:val="16"/>
                <w:color w:val="auto"/>
              </w:rPr>
              <w:t>340,000</w:t>
            </w:r>
          </w:p>
        </w:tc>
        <w:tc>
          <w:tcPr>
            <w:tcW w:w="1600" w:type="dxa"/>
            <w:vAlign w:val="bottom"/>
            <w:shd w:val="clear" w:color="auto" w:fill="E5E5E5"/>
          </w:tcPr>
          <w:p>
            <w:pPr>
              <w:jc w:val="right"/>
              <w:ind w:right="262"/>
              <w:spacing w:after="0"/>
              <w:rPr>
                <w:sz w:val="20"/>
                <w:szCs w:val="20"/>
                <w:color w:val="auto"/>
              </w:rPr>
            </w:pPr>
            <w:r>
              <w:rPr>
                <w:rFonts w:ascii="Arial" w:cs="Arial" w:eastAsia="Arial" w:hAnsi="Arial"/>
                <w:sz w:val="16"/>
                <w:szCs w:val="16"/>
                <w:color w:val="auto"/>
              </w:rPr>
              <w:t>—</w:t>
            </w:r>
          </w:p>
        </w:tc>
        <w:tc>
          <w:tcPr>
            <w:tcW w:w="130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$10,319,000</w:t>
            </w: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6"/>
                <w:szCs w:val="16"/>
                <w:b w:val="1"/>
                <w:bCs w:val="1"/>
                <w:color w:val="0071CE"/>
              </w:rPr>
              <w:t>Kenneth Myszkowski</w:t>
            </w: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2860" w:type="dxa"/>
            <w:vAlign w:val="bottom"/>
            <w:gridSpan w:val="2"/>
          </w:tcPr>
          <w:p>
            <w:pPr>
              <w:ind w:left="320"/>
              <w:spacing w:after="0"/>
              <w:rPr>
                <w:sz w:val="20"/>
                <w:szCs w:val="20"/>
                <w:color w:val="auto"/>
              </w:rPr>
            </w:pPr>
            <w:r>
              <w:rPr>
                <w:rFonts w:ascii="Arial" w:cs="Arial" w:eastAsia="Arial" w:hAnsi="Arial"/>
                <w:sz w:val="16"/>
                <w:szCs w:val="16"/>
                <w:color w:val="auto"/>
              </w:rPr>
              <w:t>Cash Bonus</w:t>
            </w:r>
          </w:p>
        </w:tc>
        <w:tc>
          <w:tcPr>
            <w:tcW w:w="880" w:type="dxa"/>
            <w:vAlign w:val="bottom"/>
          </w:tcPr>
          <w:p>
            <w:pPr>
              <w:spacing w:after="0"/>
              <w:rPr>
                <w:sz w:val="18"/>
                <w:szCs w:val="18"/>
                <w:color w:val="auto"/>
              </w:rPr>
            </w:pPr>
          </w:p>
        </w:tc>
        <w:tc>
          <w:tcPr>
            <w:tcW w:w="1240" w:type="dxa"/>
            <w:vAlign w:val="bottom"/>
          </w:tcPr>
          <w:p>
            <w:pPr>
              <w:jc w:val="center"/>
              <w:ind w:left="381"/>
              <w:spacing w:after="0"/>
              <w:rPr>
                <w:sz w:val="20"/>
                <w:szCs w:val="20"/>
                <w:color w:val="auto"/>
              </w:rPr>
            </w:pPr>
            <w:r>
              <w:rPr>
                <w:rFonts w:ascii="Arial" w:cs="Arial" w:eastAsia="Arial" w:hAnsi="Arial"/>
                <w:sz w:val="16"/>
                <w:szCs w:val="16"/>
                <w:color w:val="auto"/>
                <w:w w:val="98"/>
              </w:rPr>
              <w:t>$262,080</w:t>
            </w:r>
          </w:p>
        </w:tc>
        <w:tc>
          <w:tcPr>
            <w:tcW w:w="1340" w:type="dxa"/>
            <w:vAlign w:val="bottom"/>
          </w:tcPr>
          <w:p>
            <w:pPr>
              <w:spacing w:after="0"/>
              <w:rPr>
                <w:sz w:val="18"/>
                <w:szCs w:val="18"/>
                <w:color w:val="auto"/>
              </w:rPr>
            </w:pPr>
          </w:p>
        </w:tc>
        <w:tc>
          <w:tcPr>
            <w:tcW w:w="1880" w:type="dxa"/>
            <w:vAlign w:val="bottom"/>
          </w:tcPr>
          <w:p>
            <w:pPr>
              <w:ind w:left="126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2860" w:type="dxa"/>
            <w:vAlign w:val="bottom"/>
            <w:gridSpan w:val="2"/>
          </w:tcPr>
          <w:p>
            <w:pPr>
              <w:ind w:left="320"/>
              <w:spacing w:after="0"/>
              <w:rPr>
                <w:sz w:val="20"/>
                <w:szCs w:val="20"/>
                <w:color w:val="auto"/>
              </w:rPr>
            </w:pPr>
            <w:r>
              <w:rPr>
                <w:rFonts w:ascii="Arial" w:cs="Arial" w:eastAsia="Arial" w:hAnsi="Arial"/>
                <w:sz w:val="16"/>
                <w:szCs w:val="16"/>
                <w:color w:val="auto"/>
              </w:rPr>
              <w:t>RSUs</w:t>
            </w: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01/04/2024</w:t>
            </w:r>
          </w:p>
        </w:tc>
        <w:tc>
          <w:tcPr>
            <w:tcW w:w="1240" w:type="dxa"/>
            <w:vAlign w:val="bottom"/>
          </w:tcPr>
          <w:p>
            <w:pPr>
              <w:jc w:val="center"/>
              <w:ind w:left="381"/>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18"/>
                <w:szCs w:val="18"/>
                <w:color w:val="auto"/>
              </w:rPr>
            </w:pPr>
          </w:p>
        </w:tc>
        <w:tc>
          <w:tcPr>
            <w:tcW w:w="1880" w:type="dxa"/>
            <w:vAlign w:val="bottom"/>
          </w:tcPr>
          <w:p>
            <w:pPr>
              <w:ind w:left="126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262"/>
              <w:spacing w:after="0"/>
              <w:rPr>
                <w:sz w:val="20"/>
                <w:szCs w:val="20"/>
                <w:color w:val="auto"/>
              </w:rPr>
            </w:pPr>
            <w:r>
              <w:rPr>
                <w:rFonts w:ascii="Arial" w:cs="Arial" w:eastAsia="Arial" w:hAnsi="Arial"/>
                <w:sz w:val="16"/>
                <w:szCs w:val="16"/>
                <w:color w:val="auto"/>
              </w:rPr>
              <w:t>75,000</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$2,589,750</w:t>
            </w:r>
          </w:p>
        </w:tc>
        <w:tc>
          <w:tcPr>
            <w:tcW w:w="0" w:type="dxa"/>
            <w:vAlign w:val="bottom"/>
          </w:tcPr>
          <w:p>
            <w:pPr>
              <w:spacing w:after="0"/>
              <w:rPr>
                <w:sz w:val="1"/>
                <w:szCs w:val="1"/>
                <w:color w:val="auto"/>
              </w:rPr>
            </w:pPr>
          </w:p>
        </w:tc>
      </w:tr>
      <w:tr>
        <w:trPr>
          <w:trHeight w:val="203"/>
        </w:trPr>
        <w:tc>
          <w:tcPr>
            <w:tcW w:w="100" w:type="dxa"/>
            <w:vAlign w:val="bottom"/>
            <w:shd w:val="clear" w:color="auto" w:fill="E5E5E5"/>
          </w:tcPr>
          <w:p>
            <w:pPr>
              <w:spacing w:after="0"/>
              <w:rPr>
                <w:sz w:val="17"/>
                <w:szCs w:val="17"/>
                <w:color w:val="auto"/>
              </w:rPr>
            </w:pPr>
          </w:p>
        </w:tc>
        <w:tc>
          <w:tcPr>
            <w:tcW w:w="1240" w:type="dxa"/>
            <w:vAlign w:val="bottom"/>
            <w:shd w:val="clear" w:color="auto" w:fill="E5E5E5"/>
          </w:tcPr>
          <w:p>
            <w:pPr>
              <w:spacing w:after="0"/>
              <w:rPr>
                <w:sz w:val="20"/>
                <w:szCs w:val="20"/>
                <w:color w:val="auto"/>
              </w:rPr>
            </w:pPr>
            <w:r>
              <w:rPr>
                <w:rFonts w:ascii="Arial" w:cs="Arial" w:eastAsia="Arial" w:hAnsi="Arial"/>
                <w:sz w:val="16"/>
                <w:szCs w:val="16"/>
                <w:b w:val="1"/>
                <w:bCs w:val="1"/>
                <w:color w:val="0071CE"/>
                <w:shd w:val="clear" w:color="auto" w:fill="E5E5E5"/>
              </w:rPr>
              <w:t>Patrick O’Brien</w:t>
            </w:r>
          </w:p>
        </w:tc>
        <w:tc>
          <w:tcPr>
            <w:tcW w:w="162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1240" w:type="dxa"/>
            <w:vAlign w:val="bottom"/>
            <w:shd w:val="clear" w:color="auto" w:fill="E5E5E5"/>
          </w:tcPr>
          <w:p>
            <w:pPr>
              <w:spacing w:after="0"/>
              <w:rPr>
                <w:sz w:val="17"/>
                <w:szCs w:val="17"/>
                <w:color w:val="auto"/>
              </w:rPr>
            </w:pPr>
          </w:p>
        </w:tc>
        <w:tc>
          <w:tcPr>
            <w:tcW w:w="1340" w:type="dxa"/>
            <w:vAlign w:val="bottom"/>
            <w:shd w:val="clear" w:color="auto" w:fill="E5E5E5"/>
          </w:tcPr>
          <w:p>
            <w:pPr>
              <w:spacing w:after="0"/>
              <w:rPr>
                <w:sz w:val="17"/>
                <w:szCs w:val="17"/>
                <w:color w:val="auto"/>
              </w:rPr>
            </w:pPr>
          </w:p>
        </w:tc>
        <w:tc>
          <w:tcPr>
            <w:tcW w:w="1880" w:type="dxa"/>
            <w:vAlign w:val="bottom"/>
            <w:shd w:val="clear" w:color="auto" w:fill="E5E5E5"/>
          </w:tcPr>
          <w:p>
            <w:pPr>
              <w:spacing w:after="0"/>
              <w:rPr>
                <w:sz w:val="17"/>
                <w:szCs w:val="17"/>
                <w:color w:val="auto"/>
              </w:rPr>
            </w:pPr>
          </w:p>
        </w:tc>
        <w:tc>
          <w:tcPr>
            <w:tcW w:w="1600" w:type="dxa"/>
            <w:vAlign w:val="bottom"/>
            <w:shd w:val="clear" w:color="auto" w:fill="E5E5E5"/>
          </w:tcPr>
          <w:p>
            <w:pPr>
              <w:spacing w:after="0"/>
              <w:rPr>
                <w:sz w:val="17"/>
                <w:szCs w:val="17"/>
                <w:color w:val="auto"/>
              </w:rPr>
            </w:pPr>
          </w:p>
        </w:tc>
        <w:tc>
          <w:tcPr>
            <w:tcW w:w="13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00" w:type="dxa"/>
            <w:vAlign w:val="bottom"/>
            <w:shd w:val="clear" w:color="auto" w:fill="E5E5E5"/>
          </w:tcPr>
          <w:p>
            <w:pPr>
              <w:spacing w:after="0"/>
              <w:rPr>
                <w:sz w:val="19"/>
                <w:szCs w:val="19"/>
                <w:color w:val="auto"/>
              </w:rPr>
            </w:pPr>
          </w:p>
        </w:tc>
        <w:tc>
          <w:tcPr>
            <w:tcW w:w="2860" w:type="dxa"/>
            <w:vAlign w:val="bottom"/>
            <w:gridSpan w:val="2"/>
            <w:shd w:val="clear" w:color="auto" w:fill="E5E5E5"/>
          </w:tcPr>
          <w:p>
            <w:pPr>
              <w:ind w:left="320"/>
              <w:spacing w:after="0"/>
              <w:rPr>
                <w:sz w:val="20"/>
                <w:szCs w:val="20"/>
                <w:color w:val="auto"/>
              </w:rPr>
            </w:pPr>
            <w:r>
              <w:rPr>
                <w:rFonts w:ascii="Arial" w:cs="Arial" w:eastAsia="Arial" w:hAnsi="Arial"/>
                <w:sz w:val="16"/>
                <w:szCs w:val="16"/>
                <w:color w:val="auto"/>
              </w:rPr>
              <w:t>Cash Bonus</w:t>
            </w:r>
          </w:p>
        </w:tc>
        <w:tc>
          <w:tcPr>
            <w:tcW w:w="880" w:type="dxa"/>
            <w:vAlign w:val="bottom"/>
            <w:shd w:val="clear" w:color="auto" w:fill="E5E5E5"/>
          </w:tcPr>
          <w:p>
            <w:pPr>
              <w:spacing w:after="0"/>
              <w:rPr>
                <w:sz w:val="19"/>
                <w:szCs w:val="19"/>
                <w:color w:val="auto"/>
              </w:rPr>
            </w:pPr>
          </w:p>
        </w:tc>
        <w:tc>
          <w:tcPr>
            <w:tcW w:w="1240" w:type="dxa"/>
            <w:vAlign w:val="bottom"/>
            <w:shd w:val="clear" w:color="auto" w:fill="E5E5E5"/>
          </w:tcPr>
          <w:p>
            <w:pPr>
              <w:jc w:val="center"/>
              <w:ind w:left="381"/>
              <w:spacing w:after="0"/>
              <w:rPr>
                <w:sz w:val="20"/>
                <w:szCs w:val="20"/>
                <w:color w:val="auto"/>
              </w:rPr>
            </w:pPr>
            <w:r>
              <w:rPr>
                <w:rFonts w:ascii="Arial" w:cs="Arial" w:eastAsia="Arial" w:hAnsi="Arial"/>
                <w:sz w:val="16"/>
                <w:szCs w:val="16"/>
                <w:color w:val="auto"/>
                <w:w w:val="98"/>
              </w:rPr>
              <w:t>$270,000</w:t>
            </w:r>
          </w:p>
        </w:tc>
        <w:tc>
          <w:tcPr>
            <w:tcW w:w="1340" w:type="dxa"/>
            <w:vAlign w:val="bottom"/>
            <w:shd w:val="clear" w:color="auto" w:fill="E5E5E5"/>
          </w:tcPr>
          <w:p>
            <w:pPr>
              <w:spacing w:after="0"/>
              <w:rPr>
                <w:sz w:val="19"/>
                <w:szCs w:val="19"/>
                <w:color w:val="auto"/>
              </w:rPr>
            </w:pPr>
          </w:p>
        </w:tc>
        <w:tc>
          <w:tcPr>
            <w:tcW w:w="1880" w:type="dxa"/>
            <w:vAlign w:val="bottom"/>
            <w:shd w:val="clear" w:color="auto" w:fill="E5E5E5"/>
          </w:tcPr>
          <w:p>
            <w:pPr>
              <w:ind w:left="1260"/>
              <w:spacing w:after="0"/>
              <w:rPr>
                <w:sz w:val="20"/>
                <w:szCs w:val="20"/>
                <w:color w:val="auto"/>
              </w:rPr>
            </w:pPr>
            <w:r>
              <w:rPr>
                <w:rFonts w:ascii="Arial" w:cs="Arial" w:eastAsia="Arial" w:hAnsi="Arial"/>
                <w:sz w:val="16"/>
                <w:szCs w:val="16"/>
                <w:color w:val="auto"/>
              </w:rPr>
              <w:t>—</w:t>
            </w:r>
          </w:p>
        </w:tc>
        <w:tc>
          <w:tcPr>
            <w:tcW w:w="1600" w:type="dxa"/>
            <w:vAlign w:val="bottom"/>
            <w:shd w:val="clear" w:color="auto" w:fill="E5E5E5"/>
          </w:tcPr>
          <w:p>
            <w:pPr>
              <w:jc w:val="right"/>
              <w:ind w:right="262"/>
              <w:spacing w:after="0"/>
              <w:rPr>
                <w:sz w:val="20"/>
                <w:szCs w:val="20"/>
                <w:color w:val="auto"/>
              </w:rPr>
            </w:pPr>
            <w:r>
              <w:rPr>
                <w:rFonts w:ascii="Arial" w:cs="Arial" w:eastAsia="Arial" w:hAnsi="Arial"/>
                <w:sz w:val="16"/>
                <w:szCs w:val="16"/>
                <w:color w:val="auto"/>
              </w:rPr>
              <w:t>—</w:t>
            </w:r>
          </w:p>
        </w:tc>
        <w:tc>
          <w:tcPr>
            <w:tcW w:w="130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100" w:type="dxa"/>
            <w:vAlign w:val="bottom"/>
            <w:shd w:val="clear" w:color="auto" w:fill="E5E5E5"/>
          </w:tcPr>
          <w:p>
            <w:pPr>
              <w:spacing w:after="0"/>
              <w:rPr>
                <w:sz w:val="18"/>
                <w:szCs w:val="18"/>
                <w:color w:val="auto"/>
              </w:rPr>
            </w:pPr>
          </w:p>
        </w:tc>
        <w:tc>
          <w:tcPr>
            <w:tcW w:w="2860" w:type="dxa"/>
            <w:vAlign w:val="bottom"/>
            <w:gridSpan w:val="2"/>
            <w:shd w:val="clear" w:color="auto" w:fill="E5E5E5"/>
          </w:tcPr>
          <w:p>
            <w:pPr>
              <w:ind w:left="320"/>
              <w:spacing w:after="0"/>
              <w:rPr>
                <w:sz w:val="20"/>
                <w:szCs w:val="20"/>
                <w:color w:val="auto"/>
              </w:rPr>
            </w:pPr>
            <w:r>
              <w:rPr>
                <w:rFonts w:ascii="Arial" w:cs="Arial" w:eastAsia="Arial" w:hAnsi="Arial"/>
                <w:sz w:val="16"/>
                <w:szCs w:val="16"/>
                <w:color w:val="auto"/>
              </w:rPr>
              <w:t>RSUs</w:t>
            </w:r>
          </w:p>
        </w:tc>
        <w:tc>
          <w:tcPr>
            <w:tcW w:w="88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01/04/2024</w:t>
            </w:r>
          </w:p>
        </w:tc>
        <w:tc>
          <w:tcPr>
            <w:tcW w:w="1240" w:type="dxa"/>
            <w:vAlign w:val="bottom"/>
            <w:shd w:val="clear" w:color="auto" w:fill="E5E5E5"/>
          </w:tcPr>
          <w:p>
            <w:pPr>
              <w:jc w:val="center"/>
              <w:ind w:left="381"/>
              <w:spacing w:after="0"/>
              <w:rPr>
                <w:sz w:val="20"/>
                <w:szCs w:val="20"/>
                <w:color w:val="auto"/>
              </w:rPr>
            </w:pPr>
            <w:r>
              <w:rPr>
                <w:rFonts w:ascii="Arial" w:cs="Arial" w:eastAsia="Arial" w:hAnsi="Arial"/>
                <w:sz w:val="16"/>
                <w:szCs w:val="16"/>
                <w:color w:val="auto"/>
              </w:rPr>
              <w:t>—</w:t>
            </w:r>
          </w:p>
        </w:tc>
        <w:tc>
          <w:tcPr>
            <w:tcW w:w="1340" w:type="dxa"/>
            <w:vAlign w:val="bottom"/>
            <w:shd w:val="clear" w:color="auto" w:fill="E5E5E5"/>
          </w:tcPr>
          <w:p>
            <w:pPr>
              <w:spacing w:after="0"/>
              <w:rPr>
                <w:sz w:val="18"/>
                <w:szCs w:val="18"/>
                <w:color w:val="auto"/>
              </w:rPr>
            </w:pPr>
          </w:p>
        </w:tc>
        <w:tc>
          <w:tcPr>
            <w:tcW w:w="1880" w:type="dxa"/>
            <w:vAlign w:val="bottom"/>
            <w:shd w:val="clear" w:color="auto" w:fill="E5E5E5"/>
          </w:tcPr>
          <w:p>
            <w:pPr>
              <w:ind w:left="1260"/>
              <w:spacing w:after="0"/>
              <w:rPr>
                <w:sz w:val="20"/>
                <w:szCs w:val="20"/>
                <w:color w:val="auto"/>
              </w:rPr>
            </w:pPr>
            <w:r>
              <w:rPr>
                <w:rFonts w:ascii="Arial" w:cs="Arial" w:eastAsia="Arial" w:hAnsi="Arial"/>
                <w:sz w:val="16"/>
                <w:szCs w:val="16"/>
                <w:color w:val="auto"/>
              </w:rPr>
              <w:t>—</w:t>
            </w:r>
          </w:p>
        </w:tc>
        <w:tc>
          <w:tcPr>
            <w:tcW w:w="1600" w:type="dxa"/>
            <w:vAlign w:val="bottom"/>
            <w:shd w:val="clear" w:color="auto" w:fill="E5E5E5"/>
          </w:tcPr>
          <w:p>
            <w:pPr>
              <w:jc w:val="right"/>
              <w:ind w:right="302"/>
              <w:spacing w:after="0"/>
              <w:rPr>
                <w:sz w:val="20"/>
                <w:szCs w:val="20"/>
                <w:color w:val="auto"/>
              </w:rPr>
            </w:pPr>
            <w:r>
              <w:rPr>
                <w:rFonts w:ascii="Arial" w:cs="Arial" w:eastAsia="Arial" w:hAnsi="Arial"/>
                <w:sz w:val="16"/>
                <w:szCs w:val="16"/>
                <w:color w:val="auto"/>
              </w:rPr>
              <w:t>85,000</w:t>
            </w:r>
          </w:p>
        </w:tc>
        <w:tc>
          <w:tcPr>
            <w:tcW w:w="130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$2,935,050</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1240" w:type="dxa"/>
            <w:vAlign w:val="bottom"/>
            <w:shd w:val="clear" w:color="auto" w:fill="E5E5E5"/>
          </w:tcPr>
          <w:p>
            <w:pPr>
              <w:spacing w:after="0"/>
              <w:rPr>
                <w:sz w:val="20"/>
                <w:szCs w:val="20"/>
                <w:color w:val="auto"/>
              </w:rPr>
            </w:pPr>
            <w:r>
              <w:rPr>
                <w:rFonts w:ascii="Arial" w:cs="Arial" w:eastAsia="Arial" w:hAnsi="Arial"/>
                <w:sz w:val="16"/>
                <w:szCs w:val="16"/>
                <w:b w:val="1"/>
                <w:bCs w:val="1"/>
                <w:color w:val="0071CE"/>
                <w:w w:val="99"/>
                <w:shd w:val="clear" w:color="auto" w:fill="E5E5E5"/>
              </w:rPr>
              <w:t>James Hamilton</w:t>
            </w:r>
          </w:p>
        </w:tc>
        <w:tc>
          <w:tcPr>
            <w:tcW w:w="1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2860" w:type="dxa"/>
            <w:vAlign w:val="bottom"/>
            <w:gridSpan w:val="2"/>
          </w:tcPr>
          <w:p>
            <w:pPr>
              <w:ind w:left="320"/>
              <w:spacing w:after="0"/>
              <w:rPr>
                <w:sz w:val="20"/>
                <w:szCs w:val="20"/>
                <w:color w:val="auto"/>
              </w:rPr>
            </w:pPr>
            <w:r>
              <w:rPr>
                <w:rFonts w:ascii="Arial" w:cs="Arial" w:eastAsia="Arial" w:hAnsi="Arial"/>
                <w:sz w:val="16"/>
                <w:szCs w:val="16"/>
                <w:color w:val="auto"/>
              </w:rPr>
              <w:t>Cash Bonus</w:t>
            </w:r>
          </w:p>
        </w:tc>
        <w:tc>
          <w:tcPr>
            <w:tcW w:w="880" w:type="dxa"/>
            <w:vAlign w:val="bottom"/>
          </w:tcPr>
          <w:p>
            <w:pPr>
              <w:spacing w:after="0"/>
              <w:rPr>
                <w:sz w:val="19"/>
                <w:szCs w:val="19"/>
                <w:color w:val="auto"/>
              </w:rPr>
            </w:pPr>
          </w:p>
        </w:tc>
        <w:tc>
          <w:tcPr>
            <w:tcW w:w="1240" w:type="dxa"/>
            <w:vAlign w:val="bottom"/>
          </w:tcPr>
          <w:p>
            <w:pPr>
              <w:jc w:val="center"/>
              <w:ind w:left="381"/>
              <w:spacing w:after="0"/>
              <w:rPr>
                <w:sz w:val="20"/>
                <w:szCs w:val="20"/>
                <w:color w:val="auto"/>
              </w:rPr>
            </w:pPr>
            <w:r>
              <w:rPr>
                <w:rFonts w:ascii="Arial" w:cs="Arial" w:eastAsia="Arial" w:hAnsi="Arial"/>
                <w:sz w:val="16"/>
                <w:szCs w:val="16"/>
                <w:color w:val="auto"/>
                <w:w w:val="98"/>
              </w:rPr>
              <w:t>$262,080</w:t>
            </w:r>
          </w:p>
        </w:tc>
        <w:tc>
          <w:tcPr>
            <w:tcW w:w="1340" w:type="dxa"/>
            <w:vAlign w:val="bottom"/>
          </w:tcPr>
          <w:p>
            <w:pPr>
              <w:spacing w:after="0"/>
              <w:rPr>
                <w:sz w:val="19"/>
                <w:szCs w:val="19"/>
                <w:color w:val="auto"/>
              </w:rPr>
            </w:pPr>
          </w:p>
        </w:tc>
        <w:tc>
          <w:tcPr>
            <w:tcW w:w="1880" w:type="dxa"/>
            <w:vAlign w:val="bottom"/>
          </w:tcPr>
          <w:p>
            <w:pPr>
              <w:ind w:left="126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2860" w:type="dxa"/>
            <w:vAlign w:val="bottom"/>
            <w:gridSpan w:val="2"/>
          </w:tcPr>
          <w:p>
            <w:pPr>
              <w:ind w:left="320"/>
              <w:spacing w:after="0"/>
              <w:rPr>
                <w:sz w:val="20"/>
                <w:szCs w:val="20"/>
                <w:color w:val="auto"/>
              </w:rPr>
            </w:pPr>
            <w:r>
              <w:rPr>
                <w:rFonts w:ascii="Arial" w:cs="Arial" w:eastAsia="Arial" w:hAnsi="Arial"/>
                <w:sz w:val="16"/>
                <w:szCs w:val="16"/>
                <w:color w:val="auto"/>
              </w:rPr>
              <w:t>RSUs</w:t>
            </w: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01/04/2024</w:t>
            </w:r>
          </w:p>
        </w:tc>
        <w:tc>
          <w:tcPr>
            <w:tcW w:w="1240" w:type="dxa"/>
            <w:vAlign w:val="bottom"/>
          </w:tcPr>
          <w:p>
            <w:pPr>
              <w:jc w:val="center"/>
              <w:ind w:left="381"/>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18"/>
                <w:szCs w:val="18"/>
                <w:color w:val="auto"/>
              </w:rPr>
            </w:pPr>
          </w:p>
        </w:tc>
        <w:tc>
          <w:tcPr>
            <w:tcW w:w="1880" w:type="dxa"/>
            <w:vAlign w:val="bottom"/>
          </w:tcPr>
          <w:p>
            <w:pPr>
              <w:ind w:left="126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302"/>
              <w:spacing w:after="0"/>
              <w:rPr>
                <w:sz w:val="20"/>
                <w:szCs w:val="20"/>
                <w:color w:val="auto"/>
              </w:rPr>
            </w:pPr>
            <w:r>
              <w:rPr>
                <w:rFonts w:ascii="Arial" w:cs="Arial" w:eastAsia="Arial" w:hAnsi="Arial"/>
                <w:sz w:val="16"/>
                <w:szCs w:val="16"/>
                <w:color w:val="auto"/>
              </w:rPr>
              <w:t>75,000</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$2,589,750</w:t>
            </w:r>
          </w:p>
        </w:tc>
        <w:tc>
          <w:tcPr>
            <w:tcW w:w="0" w:type="dxa"/>
            <w:vAlign w:val="bottom"/>
          </w:tcPr>
          <w:p>
            <w:pPr>
              <w:spacing w:after="0"/>
              <w:rPr>
                <w:sz w:val="1"/>
                <w:szCs w:val="1"/>
                <w:color w:val="auto"/>
              </w:rPr>
            </w:pPr>
          </w:p>
        </w:tc>
      </w:tr>
      <w:tr>
        <w:trPr>
          <w:trHeight w:val="217"/>
        </w:trPr>
        <w:tc>
          <w:tcPr>
            <w:tcW w:w="100" w:type="dxa"/>
            <w:vAlign w:val="bottom"/>
            <w:shd w:val="clear" w:color="auto" w:fill="E5E5E5"/>
          </w:tcPr>
          <w:p>
            <w:pPr>
              <w:spacing w:after="0"/>
              <w:rPr>
                <w:sz w:val="18"/>
                <w:szCs w:val="18"/>
                <w:color w:val="auto"/>
              </w:rPr>
            </w:pPr>
          </w:p>
        </w:tc>
        <w:tc>
          <w:tcPr>
            <w:tcW w:w="2860" w:type="dxa"/>
            <w:vAlign w:val="bottom"/>
            <w:gridSpan w:val="2"/>
            <w:shd w:val="clear" w:color="auto" w:fill="E5E5E5"/>
          </w:tcPr>
          <w:p>
            <w:pPr>
              <w:spacing w:after="0"/>
              <w:rPr>
                <w:sz w:val="20"/>
                <w:szCs w:val="20"/>
                <w:color w:val="auto"/>
              </w:rPr>
            </w:pPr>
            <w:r>
              <w:rPr>
                <w:rFonts w:ascii="Arial" w:cs="Arial" w:eastAsia="Arial" w:hAnsi="Arial"/>
                <w:sz w:val="16"/>
                <w:szCs w:val="16"/>
                <w:b w:val="1"/>
                <w:bCs w:val="1"/>
                <w:color w:val="0071CE"/>
              </w:rPr>
              <w:t xml:space="preserve">Javier San Martin </w:t>
            </w:r>
            <w:r>
              <w:rPr>
                <w:rFonts w:ascii="Arial" w:cs="Arial" w:eastAsia="Arial" w:hAnsi="Arial"/>
                <w:sz w:val="14"/>
                <w:szCs w:val="14"/>
                <w:b w:val="1"/>
                <w:bCs w:val="1"/>
                <w:color w:val="0071CE"/>
              </w:rPr>
              <w:t>(4)</w:t>
            </w:r>
          </w:p>
        </w:tc>
        <w:tc>
          <w:tcPr>
            <w:tcW w:w="880" w:type="dxa"/>
            <w:vAlign w:val="bottom"/>
            <w:shd w:val="clear" w:color="auto" w:fill="E5E5E5"/>
          </w:tcPr>
          <w:p>
            <w:pPr>
              <w:spacing w:after="0"/>
              <w:rPr>
                <w:sz w:val="18"/>
                <w:szCs w:val="18"/>
                <w:color w:val="auto"/>
              </w:rPr>
            </w:pPr>
          </w:p>
        </w:tc>
        <w:tc>
          <w:tcPr>
            <w:tcW w:w="1240" w:type="dxa"/>
            <w:vAlign w:val="bottom"/>
            <w:shd w:val="clear" w:color="auto" w:fill="E5E5E5"/>
          </w:tcPr>
          <w:p>
            <w:pPr>
              <w:spacing w:after="0"/>
              <w:rPr>
                <w:sz w:val="18"/>
                <w:szCs w:val="18"/>
                <w:color w:val="auto"/>
              </w:rPr>
            </w:pPr>
          </w:p>
        </w:tc>
        <w:tc>
          <w:tcPr>
            <w:tcW w:w="1340" w:type="dxa"/>
            <w:vAlign w:val="bottom"/>
            <w:shd w:val="clear" w:color="auto" w:fill="E5E5E5"/>
          </w:tcPr>
          <w:p>
            <w:pPr>
              <w:spacing w:after="0"/>
              <w:rPr>
                <w:sz w:val="18"/>
                <w:szCs w:val="18"/>
                <w:color w:val="auto"/>
              </w:rPr>
            </w:pPr>
          </w:p>
        </w:tc>
        <w:tc>
          <w:tcPr>
            <w:tcW w:w="1880" w:type="dxa"/>
            <w:vAlign w:val="bottom"/>
            <w:shd w:val="clear" w:color="auto" w:fill="E5E5E5"/>
          </w:tcPr>
          <w:p>
            <w:pPr>
              <w:spacing w:after="0"/>
              <w:rPr>
                <w:sz w:val="18"/>
                <w:szCs w:val="18"/>
                <w:color w:val="auto"/>
              </w:rPr>
            </w:pPr>
          </w:p>
        </w:tc>
        <w:tc>
          <w:tcPr>
            <w:tcW w:w="1600" w:type="dxa"/>
            <w:vAlign w:val="bottom"/>
            <w:shd w:val="clear" w:color="auto" w:fill="E5E5E5"/>
          </w:tcPr>
          <w:p>
            <w:pPr>
              <w:spacing w:after="0"/>
              <w:rPr>
                <w:sz w:val="18"/>
                <w:szCs w:val="18"/>
                <w:color w:val="auto"/>
              </w:rPr>
            </w:pPr>
          </w:p>
        </w:tc>
        <w:tc>
          <w:tcPr>
            <w:tcW w:w="13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shd w:val="clear" w:color="auto" w:fill="E5E5E5"/>
          </w:tcPr>
          <w:p>
            <w:pPr>
              <w:spacing w:after="0"/>
              <w:rPr>
                <w:sz w:val="18"/>
                <w:szCs w:val="18"/>
                <w:color w:val="auto"/>
              </w:rPr>
            </w:pPr>
          </w:p>
        </w:tc>
        <w:tc>
          <w:tcPr>
            <w:tcW w:w="2860" w:type="dxa"/>
            <w:vAlign w:val="bottom"/>
            <w:gridSpan w:val="2"/>
            <w:shd w:val="clear" w:color="auto" w:fill="E5E5E5"/>
          </w:tcPr>
          <w:p>
            <w:pPr>
              <w:ind w:left="320"/>
              <w:spacing w:after="0"/>
              <w:rPr>
                <w:sz w:val="20"/>
                <w:szCs w:val="20"/>
                <w:color w:val="auto"/>
              </w:rPr>
            </w:pPr>
            <w:r>
              <w:rPr>
                <w:rFonts w:ascii="Arial" w:cs="Arial" w:eastAsia="Arial" w:hAnsi="Arial"/>
                <w:sz w:val="16"/>
                <w:szCs w:val="16"/>
                <w:color w:val="auto"/>
              </w:rPr>
              <w:t>Cash Bonus</w:t>
            </w:r>
          </w:p>
        </w:tc>
        <w:tc>
          <w:tcPr>
            <w:tcW w:w="880" w:type="dxa"/>
            <w:vAlign w:val="bottom"/>
            <w:shd w:val="clear" w:color="auto" w:fill="E5E5E5"/>
          </w:tcPr>
          <w:p>
            <w:pPr>
              <w:spacing w:after="0"/>
              <w:rPr>
                <w:sz w:val="18"/>
                <w:szCs w:val="18"/>
                <w:color w:val="auto"/>
              </w:rPr>
            </w:pPr>
          </w:p>
        </w:tc>
        <w:tc>
          <w:tcPr>
            <w:tcW w:w="1240" w:type="dxa"/>
            <w:vAlign w:val="bottom"/>
            <w:shd w:val="clear" w:color="auto" w:fill="E5E5E5"/>
          </w:tcPr>
          <w:p>
            <w:pPr>
              <w:jc w:val="center"/>
              <w:ind w:left="381"/>
              <w:spacing w:after="0"/>
              <w:rPr>
                <w:sz w:val="20"/>
                <w:szCs w:val="20"/>
                <w:color w:val="auto"/>
              </w:rPr>
            </w:pPr>
            <w:r>
              <w:rPr>
                <w:rFonts w:ascii="Arial" w:cs="Arial" w:eastAsia="Arial" w:hAnsi="Arial"/>
                <w:sz w:val="16"/>
                <w:szCs w:val="16"/>
                <w:color w:val="auto"/>
                <w:w w:val="98"/>
              </w:rPr>
              <w:t>$262,080</w:t>
            </w:r>
          </w:p>
        </w:tc>
        <w:tc>
          <w:tcPr>
            <w:tcW w:w="1340" w:type="dxa"/>
            <w:vAlign w:val="bottom"/>
            <w:shd w:val="clear" w:color="auto" w:fill="E5E5E5"/>
          </w:tcPr>
          <w:p>
            <w:pPr>
              <w:spacing w:after="0"/>
              <w:rPr>
                <w:sz w:val="18"/>
                <w:szCs w:val="18"/>
                <w:color w:val="auto"/>
              </w:rPr>
            </w:pPr>
          </w:p>
        </w:tc>
        <w:tc>
          <w:tcPr>
            <w:tcW w:w="1880" w:type="dxa"/>
            <w:vAlign w:val="bottom"/>
            <w:shd w:val="clear" w:color="auto" w:fill="E5E5E5"/>
          </w:tcPr>
          <w:p>
            <w:pPr>
              <w:ind w:left="1260"/>
              <w:spacing w:after="0"/>
              <w:rPr>
                <w:sz w:val="20"/>
                <w:szCs w:val="20"/>
                <w:color w:val="auto"/>
              </w:rPr>
            </w:pPr>
            <w:r>
              <w:rPr>
                <w:rFonts w:ascii="Arial" w:cs="Arial" w:eastAsia="Arial" w:hAnsi="Arial"/>
                <w:sz w:val="16"/>
                <w:szCs w:val="16"/>
                <w:color w:val="auto"/>
              </w:rPr>
              <w:t>—</w:t>
            </w:r>
          </w:p>
        </w:tc>
        <w:tc>
          <w:tcPr>
            <w:tcW w:w="1600" w:type="dxa"/>
            <w:vAlign w:val="bottom"/>
            <w:shd w:val="clear" w:color="auto" w:fill="E5E5E5"/>
          </w:tcPr>
          <w:p>
            <w:pPr>
              <w:jc w:val="right"/>
              <w:ind w:right="262"/>
              <w:spacing w:after="0"/>
              <w:rPr>
                <w:sz w:val="20"/>
                <w:szCs w:val="20"/>
                <w:color w:val="auto"/>
              </w:rPr>
            </w:pPr>
            <w:r>
              <w:rPr>
                <w:rFonts w:ascii="Arial" w:cs="Arial" w:eastAsia="Arial" w:hAnsi="Arial"/>
                <w:sz w:val="16"/>
                <w:szCs w:val="16"/>
                <w:color w:val="auto"/>
              </w:rPr>
              <w:t>—</w:t>
            </w:r>
          </w:p>
        </w:tc>
        <w:tc>
          <w:tcPr>
            <w:tcW w:w="13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100" w:type="dxa"/>
            <w:vAlign w:val="bottom"/>
            <w:shd w:val="clear" w:color="auto" w:fill="E5E5E5"/>
          </w:tcPr>
          <w:p>
            <w:pPr>
              <w:spacing w:after="0"/>
              <w:rPr>
                <w:sz w:val="18"/>
                <w:szCs w:val="18"/>
                <w:color w:val="auto"/>
              </w:rPr>
            </w:pPr>
          </w:p>
        </w:tc>
        <w:tc>
          <w:tcPr>
            <w:tcW w:w="2860" w:type="dxa"/>
            <w:vAlign w:val="bottom"/>
            <w:gridSpan w:val="2"/>
            <w:shd w:val="clear" w:color="auto" w:fill="E5E5E5"/>
          </w:tcPr>
          <w:p>
            <w:pPr>
              <w:ind w:left="320"/>
              <w:spacing w:after="0"/>
              <w:rPr>
                <w:sz w:val="20"/>
                <w:szCs w:val="20"/>
                <w:color w:val="auto"/>
              </w:rPr>
            </w:pPr>
            <w:r>
              <w:rPr>
                <w:rFonts w:ascii="Arial" w:cs="Arial" w:eastAsia="Arial" w:hAnsi="Arial"/>
                <w:sz w:val="16"/>
                <w:szCs w:val="16"/>
                <w:color w:val="auto"/>
              </w:rPr>
              <w:t>RSUs</w:t>
            </w:r>
          </w:p>
        </w:tc>
        <w:tc>
          <w:tcPr>
            <w:tcW w:w="88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01/04/2024</w:t>
            </w:r>
          </w:p>
        </w:tc>
        <w:tc>
          <w:tcPr>
            <w:tcW w:w="1240" w:type="dxa"/>
            <w:vAlign w:val="bottom"/>
            <w:shd w:val="clear" w:color="auto" w:fill="E5E5E5"/>
          </w:tcPr>
          <w:p>
            <w:pPr>
              <w:jc w:val="center"/>
              <w:ind w:left="381"/>
              <w:spacing w:after="0"/>
              <w:rPr>
                <w:sz w:val="20"/>
                <w:szCs w:val="20"/>
                <w:color w:val="auto"/>
              </w:rPr>
            </w:pPr>
            <w:r>
              <w:rPr>
                <w:rFonts w:ascii="Arial" w:cs="Arial" w:eastAsia="Arial" w:hAnsi="Arial"/>
                <w:sz w:val="16"/>
                <w:szCs w:val="16"/>
                <w:color w:val="auto"/>
              </w:rPr>
              <w:t>—</w:t>
            </w:r>
          </w:p>
        </w:tc>
        <w:tc>
          <w:tcPr>
            <w:tcW w:w="1340" w:type="dxa"/>
            <w:vAlign w:val="bottom"/>
            <w:shd w:val="clear" w:color="auto" w:fill="E5E5E5"/>
          </w:tcPr>
          <w:p>
            <w:pPr>
              <w:spacing w:after="0"/>
              <w:rPr>
                <w:sz w:val="18"/>
                <w:szCs w:val="18"/>
                <w:color w:val="auto"/>
              </w:rPr>
            </w:pPr>
          </w:p>
        </w:tc>
        <w:tc>
          <w:tcPr>
            <w:tcW w:w="1880" w:type="dxa"/>
            <w:vAlign w:val="bottom"/>
            <w:shd w:val="clear" w:color="auto" w:fill="E5E5E5"/>
          </w:tcPr>
          <w:p>
            <w:pPr>
              <w:ind w:left="1260"/>
              <w:spacing w:after="0"/>
              <w:rPr>
                <w:sz w:val="20"/>
                <w:szCs w:val="20"/>
                <w:color w:val="auto"/>
              </w:rPr>
            </w:pPr>
            <w:r>
              <w:rPr>
                <w:rFonts w:ascii="Arial" w:cs="Arial" w:eastAsia="Arial" w:hAnsi="Arial"/>
                <w:sz w:val="16"/>
                <w:szCs w:val="16"/>
                <w:color w:val="auto"/>
              </w:rPr>
              <w:t>—</w:t>
            </w:r>
          </w:p>
        </w:tc>
        <w:tc>
          <w:tcPr>
            <w:tcW w:w="1600" w:type="dxa"/>
            <w:vAlign w:val="bottom"/>
            <w:shd w:val="clear" w:color="auto" w:fill="E5E5E5"/>
          </w:tcPr>
          <w:p>
            <w:pPr>
              <w:jc w:val="right"/>
              <w:ind w:right="302"/>
              <w:spacing w:after="0"/>
              <w:rPr>
                <w:sz w:val="20"/>
                <w:szCs w:val="20"/>
                <w:color w:val="auto"/>
              </w:rPr>
            </w:pPr>
            <w:r>
              <w:rPr>
                <w:rFonts w:ascii="Arial" w:cs="Arial" w:eastAsia="Arial" w:hAnsi="Arial"/>
                <w:sz w:val="16"/>
                <w:szCs w:val="16"/>
                <w:color w:val="auto"/>
              </w:rPr>
              <w:t>75,000</w:t>
            </w:r>
          </w:p>
        </w:tc>
        <w:tc>
          <w:tcPr>
            <w:tcW w:w="130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2,589,750</w:t>
            </w: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6"/>
                <w:szCs w:val="16"/>
                <w:b w:val="1"/>
                <w:bCs w:val="1"/>
                <w:color w:val="0071CE"/>
              </w:rPr>
              <w:t xml:space="preserve">Tracie Oliver </w:t>
            </w:r>
            <w:r>
              <w:rPr>
                <w:rFonts w:ascii="Arial" w:cs="Arial" w:eastAsia="Arial" w:hAnsi="Arial"/>
                <w:sz w:val="14"/>
                <w:szCs w:val="14"/>
                <w:b w:val="1"/>
                <w:bCs w:val="1"/>
                <w:color w:val="0071CE"/>
              </w:rPr>
              <w:t>(4)</w:t>
            </w: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2860" w:type="dxa"/>
            <w:vAlign w:val="bottom"/>
            <w:gridSpan w:val="2"/>
          </w:tcPr>
          <w:p>
            <w:pPr>
              <w:ind w:left="320"/>
              <w:spacing w:after="0"/>
              <w:rPr>
                <w:sz w:val="20"/>
                <w:szCs w:val="20"/>
                <w:color w:val="auto"/>
              </w:rPr>
            </w:pPr>
            <w:r>
              <w:rPr>
                <w:rFonts w:ascii="Arial" w:cs="Arial" w:eastAsia="Arial" w:hAnsi="Arial"/>
                <w:sz w:val="16"/>
                <w:szCs w:val="16"/>
                <w:color w:val="auto"/>
              </w:rPr>
              <w:t>Cash Bonus</w:t>
            </w:r>
          </w:p>
        </w:tc>
        <w:tc>
          <w:tcPr>
            <w:tcW w:w="880" w:type="dxa"/>
            <w:vAlign w:val="bottom"/>
          </w:tcPr>
          <w:p>
            <w:pPr>
              <w:spacing w:after="0"/>
              <w:rPr>
                <w:sz w:val="18"/>
                <w:szCs w:val="18"/>
                <w:color w:val="auto"/>
              </w:rPr>
            </w:pPr>
          </w:p>
        </w:tc>
        <w:tc>
          <w:tcPr>
            <w:tcW w:w="1240" w:type="dxa"/>
            <w:vAlign w:val="bottom"/>
          </w:tcPr>
          <w:p>
            <w:pPr>
              <w:jc w:val="center"/>
              <w:ind w:left="381"/>
              <w:spacing w:after="0"/>
              <w:rPr>
                <w:sz w:val="20"/>
                <w:szCs w:val="20"/>
                <w:color w:val="auto"/>
              </w:rPr>
            </w:pPr>
            <w:r>
              <w:rPr>
                <w:rFonts w:ascii="Arial" w:cs="Arial" w:eastAsia="Arial" w:hAnsi="Arial"/>
                <w:sz w:val="16"/>
                <w:szCs w:val="16"/>
                <w:color w:val="auto"/>
                <w:w w:val="98"/>
              </w:rPr>
              <w:t>$195,552</w:t>
            </w:r>
          </w:p>
        </w:tc>
        <w:tc>
          <w:tcPr>
            <w:tcW w:w="1340" w:type="dxa"/>
            <w:vAlign w:val="bottom"/>
          </w:tcPr>
          <w:p>
            <w:pPr>
              <w:spacing w:after="0"/>
              <w:rPr>
                <w:sz w:val="18"/>
                <w:szCs w:val="18"/>
                <w:color w:val="auto"/>
              </w:rPr>
            </w:pPr>
          </w:p>
        </w:tc>
        <w:tc>
          <w:tcPr>
            <w:tcW w:w="1880" w:type="dxa"/>
            <w:vAlign w:val="bottom"/>
          </w:tcPr>
          <w:p>
            <w:pPr>
              <w:ind w:left="126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100" w:type="dxa"/>
            <w:vAlign w:val="bottom"/>
            <w:tcBorders>
              <w:bottom w:val="single" w:sz="8" w:color="026DCE"/>
            </w:tcBorders>
          </w:tcPr>
          <w:p>
            <w:pPr>
              <w:spacing w:after="0"/>
              <w:rPr>
                <w:sz w:val="18"/>
                <w:szCs w:val="18"/>
                <w:color w:val="auto"/>
              </w:rPr>
            </w:pPr>
          </w:p>
        </w:tc>
        <w:tc>
          <w:tcPr>
            <w:tcW w:w="2860" w:type="dxa"/>
            <w:vAlign w:val="bottom"/>
            <w:tcBorders>
              <w:bottom w:val="single" w:sz="8" w:color="026DCE"/>
            </w:tcBorders>
            <w:gridSpan w:val="2"/>
          </w:tcPr>
          <w:p>
            <w:pPr>
              <w:ind w:left="320"/>
              <w:spacing w:after="0"/>
              <w:rPr>
                <w:sz w:val="20"/>
                <w:szCs w:val="20"/>
                <w:color w:val="auto"/>
              </w:rPr>
            </w:pPr>
            <w:r>
              <w:rPr>
                <w:rFonts w:ascii="Arial" w:cs="Arial" w:eastAsia="Arial" w:hAnsi="Arial"/>
                <w:sz w:val="16"/>
                <w:szCs w:val="16"/>
                <w:color w:val="auto"/>
              </w:rPr>
              <w:t>RSUs</w:t>
            </w:r>
          </w:p>
        </w:tc>
        <w:tc>
          <w:tcPr>
            <w:tcW w:w="880" w:type="dxa"/>
            <w:vAlign w:val="bottom"/>
            <w:tcBorders>
              <w:bottom w:val="single" w:sz="8" w:color="026DCE"/>
            </w:tcBorders>
          </w:tcPr>
          <w:p>
            <w:pPr>
              <w:jc w:val="center"/>
              <w:spacing w:after="0"/>
              <w:rPr>
                <w:sz w:val="20"/>
                <w:szCs w:val="20"/>
                <w:color w:val="auto"/>
              </w:rPr>
            </w:pPr>
            <w:r>
              <w:rPr>
                <w:rFonts w:ascii="Arial" w:cs="Arial" w:eastAsia="Arial" w:hAnsi="Arial"/>
                <w:sz w:val="16"/>
                <w:szCs w:val="16"/>
                <w:color w:val="auto"/>
                <w:w w:val="99"/>
              </w:rPr>
              <w:t>01/04/2024</w:t>
            </w:r>
          </w:p>
        </w:tc>
        <w:tc>
          <w:tcPr>
            <w:tcW w:w="1240" w:type="dxa"/>
            <w:vAlign w:val="bottom"/>
            <w:tcBorders>
              <w:bottom w:val="single" w:sz="8" w:color="026DCE"/>
            </w:tcBorders>
          </w:tcPr>
          <w:p>
            <w:pPr>
              <w:jc w:val="center"/>
              <w:ind w:left="381"/>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026DCE"/>
            </w:tcBorders>
          </w:tcPr>
          <w:p>
            <w:pPr>
              <w:spacing w:after="0"/>
              <w:rPr>
                <w:sz w:val="18"/>
                <w:szCs w:val="18"/>
                <w:color w:val="auto"/>
              </w:rPr>
            </w:pPr>
          </w:p>
        </w:tc>
        <w:tc>
          <w:tcPr>
            <w:tcW w:w="1880" w:type="dxa"/>
            <w:vAlign w:val="bottom"/>
            <w:tcBorders>
              <w:bottom w:val="single" w:sz="8" w:color="026DCE"/>
            </w:tcBorders>
          </w:tcPr>
          <w:p>
            <w:pPr>
              <w:ind w:left="126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026DCE"/>
            </w:tcBorders>
          </w:tcPr>
          <w:p>
            <w:pPr>
              <w:jc w:val="right"/>
              <w:ind w:right="302"/>
              <w:spacing w:after="0"/>
              <w:rPr>
                <w:sz w:val="20"/>
                <w:szCs w:val="20"/>
                <w:color w:val="auto"/>
              </w:rPr>
            </w:pPr>
            <w:r>
              <w:rPr>
                <w:rFonts w:ascii="Arial" w:cs="Arial" w:eastAsia="Arial" w:hAnsi="Arial"/>
                <w:sz w:val="16"/>
                <w:szCs w:val="16"/>
                <w:color w:val="auto"/>
              </w:rPr>
              <w:t>75,000</w:t>
            </w:r>
          </w:p>
        </w:tc>
        <w:tc>
          <w:tcPr>
            <w:tcW w:w="1300" w:type="dxa"/>
            <w:vAlign w:val="bottom"/>
            <w:tcBorders>
              <w:bottom w:val="single" w:sz="8" w:color="026DCE"/>
            </w:tcBorders>
          </w:tcPr>
          <w:p>
            <w:pPr>
              <w:jc w:val="right"/>
              <w:ind w:right="1"/>
              <w:spacing w:after="0"/>
              <w:rPr>
                <w:sz w:val="20"/>
                <w:szCs w:val="20"/>
                <w:color w:val="auto"/>
              </w:rPr>
            </w:pPr>
            <w:r>
              <w:rPr>
                <w:rFonts w:ascii="Arial" w:cs="Arial" w:eastAsia="Arial" w:hAnsi="Arial"/>
                <w:sz w:val="16"/>
                <w:szCs w:val="16"/>
                <w:color w:val="auto"/>
              </w:rPr>
              <w:t>$2,589,750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-2485390</wp:posOffset>
            </wp:positionV>
            <wp:extent cx="710628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06285" cy="889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-2750820</wp:posOffset>
            </wp:positionV>
            <wp:extent cx="22885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52" w:lineRule="exact"/>
        <w:rPr>
          <w:sz w:val="20"/>
          <w:szCs w:val="20"/>
          <w:color w:val="auto"/>
        </w:rPr>
      </w:pPr>
    </w:p>
    <w:p>
      <w:pPr>
        <w:ind w:left="400" w:hanging="392"/>
        <w:spacing w:after="0"/>
        <w:tabs>
          <w:tab w:leader="none" w:pos="4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Amounts listed represent cash award targets for our NEOs in fiscal 2024. Actual payments were made in fiscal 2025 and the amounts are reported in the Summary</w:t>
      </w:r>
    </w:p>
    <w:p>
      <w:pPr>
        <w:spacing w:after="0" w:line="68" w:lineRule="exact"/>
        <w:rPr>
          <w:rFonts w:ascii="Arial" w:cs="Arial" w:eastAsia="Arial" w:hAnsi="Arial"/>
          <w:sz w:val="14"/>
          <w:szCs w:val="14"/>
          <w:color w:val="auto"/>
        </w:rPr>
      </w:pPr>
    </w:p>
    <w:p>
      <w:pPr>
        <w:ind w:left="420" w:right="140"/>
        <w:spacing w:after="0" w:line="272" w:lineRule="auto"/>
        <w:rPr>
          <w:rFonts w:ascii="Arial" w:cs="Arial" w:eastAsia="Arial" w:hAnsi="Arial"/>
          <w:sz w:val="14"/>
          <w:szCs w:val="14"/>
          <w:color w:val="auto"/>
        </w:rPr>
      </w:pPr>
      <w:r>
        <w:rPr>
          <w:rFonts w:ascii="Arial" w:cs="Arial" w:eastAsia="Arial" w:hAnsi="Arial"/>
          <w:sz w:val="14"/>
          <w:szCs w:val="14"/>
          <w:color w:val="auto"/>
        </w:rPr>
        <w:t>Compensation Table above. There are no thresholds or maximum levels applicable under our annual cash incentive awards except with respect to Dr. Anzalone, whose target opportunity is capped at 150%.</w:t>
      </w:r>
    </w:p>
    <w:p>
      <w:pPr>
        <w:ind w:left="400" w:hanging="392"/>
        <w:spacing w:after="0"/>
        <w:tabs>
          <w:tab w:leader="none" w:pos="4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These PRSUs are described above in the “Compensation Discussion and Analysis” under the heading “Equity Compensation”.</w:t>
      </w:r>
    </w:p>
    <w:p>
      <w:pPr>
        <w:spacing w:after="0" w:line="108" w:lineRule="exact"/>
        <w:rPr>
          <w:rFonts w:ascii="Arial" w:cs="Arial" w:eastAsia="Arial" w:hAnsi="Arial"/>
          <w:sz w:val="14"/>
          <w:szCs w:val="14"/>
          <w:color w:val="auto"/>
        </w:rPr>
      </w:pPr>
    </w:p>
    <w:p>
      <w:pPr>
        <w:ind w:left="400" w:hanging="392"/>
        <w:spacing w:after="0"/>
        <w:tabs>
          <w:tab w:leader="none" w:pos="4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RSUs granted in fiscal 2024 vest in four equal annual installments beginning 1 year from the grant date.</w:t>
      </w:r>
    </w:p>
    <w:p>
      <w:pPr>
        <w:spacing w:after="0" w:line="109" w:lineRule="exact"/>
        <w:rPr>
          <w:rFonts w:ascii="Arial" w:cs="Arial" w:eastAsia="Arial" w:hAnsi="Arial"/>
          <w:sz w:val="14"/>
          <w:szCs w:val="14"/>
          <w:color w:val="auto"/>
        </w:rPr>
      </w:pPr>
    </w:p>
    <w:p>
      <w:pPr>
        <w:ind w:left="400" w:hanging="392"/>
        <w:spacing w:after="0"/>
        <w:tabs>
          <w:tab w:leader="none" w:pos="4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Dr. San Martin and Ms. Oliver forfeited their fiscal 2024 equity awards upon their respective departures.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1035050</wp:posOffset>
            </wp:positionV>
            <wp:extent cx="986155" cy="2057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2"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Fiscal 2024 Outstanding Equity Awards at Fiscal Year End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ind w:right="260"/>
        <w:spacing w:after="0" w:line="285" w:lineRule="auto"/>
        <w:rPr>
          <w:sz w:val="20"/>
          <w:szCs w:val="20"/>
          <w:color w:val="auto"/>
        </w:rPr>
      </w:pPr>
      <w:r>
        <w:rPr>
          <w:rFonts w:ascii="Arial" w:cs="Arial" w:eastAsia="Arial" w:hAnsi="Arial"/>
          <w:sz w:val="16"/>
          <w:szCs w:val="16"/>
          <w:color w:val="auto"/>
        </w:rPr>
        <w:t>The following table provides information, with respect to the NEOs, concerning the outstanding equity awards covering shares of the Company’s common stock as of September 30, 2024.</w:t>
      </w:r>
    </w:p>
    <w:tbl>
      <w:tblPr>
        <w:tblLayout w:type="fixed"/>
        <w:tblInd w:w="0" w:type="dxa"/>
        <w:tblCellMar>
          <w:top w:w="0" w:type="dxa"/>
          <w:left w:w="0" w:type="dxa"/>
          <w:bottom w:w="0" w:type="dxa"/>
          <w:right w:w="0" w:type="dxa"/>
        </w:tblCellMar>
      </w:tblPr>
      <w:tr>
        <w:trPr>
          <w:trHeight w:val="223"/>
        </w:trPr>
        <w:tc>
          <w:tcPr>
            <w:tcW w:w="100" w:type="dxa"/>
            <w:vAlign w:val="bottom"/>
            <w:shd w:val="clear" w:color="auto" w:fill="0071CE"/>
          </w:tcPr>
          <w:p>
            <w:pPr>
              <w:spacing w:after="0"/>
              <w:rPr>
                <w:sz w:val="19"/>
                <w:szCs w:val="19"/>
                <w:color w:val="auto"/>
              </w:rPr>
            </w:pPr>
          </w:p>
        </w:tc>
        <w:tc>
          <w:tcPr>
            <w:tcW w:w="2520" w:type="dxa"/>
            <w:vAlign w:val="bottom"/>
            <w:shd w:val="clear" w:color="auto" w:fill="0071CE"/>
          </w:tcPr>
          <w:p>
            <w:pPr>
              <w:spacing w:after="0"/>
              <w:rPr>
                <w:sz w:val="19"/>
                <w:szCs w:val="19"/>
                <w:color w:val="auto"/>
              </w:rPr>
            </w:pPr>
          </w:p>
        </w:tc>
        <w:tc>
          <w:tcPr>
            <w:tcW w:w="1480" w:type="dxa"/>
            <w:vAlign w:val="bottom"/>
            <w:shd w:val="clear" w:color="auto" w:fill="0071CE"/>
          </w:tcPr>
          <w:p>
            <w:pPr>
              <w:spacing w:after="0"/>
              <w:rPr>
                <w:sz w:val="19"/>
                <w:szCs w:val="19"/>
                <w:color w:val="auto"/>
              </w:rPr>
            </w:pPr>
          </w:p>
        </w:tc>
        <w:tc>
          <w:tcPr>
            <w:tcW w:w="100" w:type="dxa"/>
            <w:vAlign w:val="bottom"/>
            <w:shd w:val="clear" w:color="auto" w:fill="0071CE"/>
          </w:tcPr>
          <w:p>
            <w:pPr>
              <w:spacing w:after="0"/>
              <w:rPr>
                <w:sz w:val="19"/>
                <w:szCs w:val="19"/>
                <w:color w:val="auto"/>
              </w:rPr>
            </w:pPr>
          </w:p>
        </w:tc>
        <w:tc>
          <w:tcPr>
            <w:tcW w:w="1480" w:type="dxa"/>
            <w:vAlign w:val="bottom"/>
            <w:shd w:val="clear" w:color="auto" w:fill="0071CE"/>
          </w:tcPr>
          <w:p>
            <w:pPr>
              <w:spacing w:after="0"/>
              <w:rPr>
                <w:sz w:val="19"/>
                <w:szCs w:val="19"/>
                <w:color w:val="auto"/>
              </w:rPr>
            </w:pPr>
          </w:p>
        </w:tc>
        <w:tc>
          <w:tcPr>
            <w:tcW w:w="100" w:type="dxa"/>
            <w:vAlign w:val="bottom"/>
            <w:shd w:val="clear" w:color="auto" w:fill="0071CE"/>
          </w:tcPr>
          <w:p>
            <w:pPr>
              <w:spacing w:after="0"/>
              <w:rPr>
                <w:sz w:val="19"/>
                <w:szCs w:val="19"/>
                <w:color w:val="auto"/>
              </w:rPr>
            </w:pPr>
          </w:p>
        </w:tc>
        <w:tc>
          <w:tcPr>
            <w:tcW w:w="3860" w:type="dxa"/>
            <w:vAlign w:val="bottom"/>
            <w:gridSpan w:val="3"/>
            <w:shd w:val="clear" w:color="auto" w:fill="0071CE"/>
          </w:tcPr>
          <w:p>
            <w:pPr>
              <w:jc w:val="right"/>
              <w:ind w:right="1384"/>
              <w:spacing w:after="0"/>
              <w:rPr>
                <w:sz w:val="20"/>
                <w:szCs w:val="20"/>
                <w:color w:val="auto"/>
              </w:rPr>
            </w:pPr>
            <w:r>
              <w:rPr>
                <w:rFonts w:ascii="Arial" w:cs="Arial" w:eastAsia="Arial" w:hAnsi="Arial"/>
                <w:sz w:val="14"/>
                <w:szCs w:val="14"/>
                <w:b w:val="1"/>
                <w:bCs w:val="1"/>
                <w:color w:val="FFFFFF"/>
              </w:rPr>
              <w:t>Stock Awards</w:t>
            </w:r>
          </w:p>
        </w:tc>
        <w:tc>
          <w:tcPr>
            <w:tcW w:w="1580" w:type="dxa"/>
            <w:vAlign w:val="bottom"/>
            <w:shd w:val="clear" w:color="auto" w:fill="0071CE"/>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00" w:type="dxa"/>
            <w:vAlign w:val="bottom"/>
            <w:shd w:val="clear" w:color="auto" w:fill="0071CE"/>
          </w:tcPr>
          <w:p>
            <w:pPr>
              <w:spacing w:after="0"/>
              <w:rPr>
                <w:sz w:val="15"/>
                <w:szCs w:val="15"/>
                <w:color w:val="auto"/>
              </w:rPr>
            </w:pPr>
          </w:p>
        </w:tc>
        <w:tc>
          <w:tcPr>
            <w:tcW w:w="2520" w:type="dxa"/>
            <w:vAlign w:val="bottom"/>
            <w:shd w:val="clear" w:color="auto" w:fill="0071CE"/>
          </w:tcPr>
          <w:p>
            <w:pPr>
              <w:spacing w:after="0"/>
              <w:rPr>
                <w:sz w:val="15"/>
                <w:szCs w:val="15"/>
                <w:color w:val="auto"/>
              </w:rPr>
            </w:pPr>
          </w:p>
        </w:tc>
        <w:tc>
          <w:tcPr>
            <w:tcW w:w="1480" w:type="dxa"/>
            <w:vAlign w:val="bottom"/>
            <w:shd w:val="clear" w:color="auto" w:fill="0071CE"/>
          </w:tcPr>
          <w:p>
            <w:pPr>
              <w:spacing w:after="0"/>
              <w:rPr>
                <w:sz w:val="15"/>
                <w:szCs w:val="15"/>
                <w:color w:val="auto"/>
              </w:rPr>
            </w:pPr>
          </w:p>
        </w:tc>
        <w:tc>
          <w:tcPr>
            <w:tcW w:w="100" w:type="dxa"/>
            <w:vAlign w:val="bottom"/>
            <w:shd w:val="clear" w:color="auto" w:fill="0071CE"/>
          </w:tcPr>
          <w:p>
            <w:pPr>
              <w:spacing w:after="0"/>
              <w:rPr>
                <w:sz w:val="15"/>
                <w:szCs w:val="15"/>
                <w:color w:val="auto"/>
              </w:rPr>
            </w:pPr>
          </w:p>
        </w:tc>
        <w:tc>
          <w:tcPr>
            <w:tcW w:w="1480" w:type="dxa"/>
            <w:vAlign w:val="bottom"/>
            <w:shd w:val="clear" w:color="auto" w:fill="0071CE"/>
          </w:tcPr>
          <w:p>
            <w:pPr>
              <w:spacing w:after="0"/>
              <w:rPr>
                <w:sz w:val="15"/>
                <w:szCs w:val="15"/>
                <w:color w:val="auto"/>
              </w:rPr>
            </w:pPr>
          </w:p>
        </w:tc>
        <w:tc>
          <w:tcPr>
            <w:tcW w:w="100" w:type="dxa"/>
            <w:vAlign w:val="bottom"/>
            <w:shd w:val="clear" w:color="auto" w:fill="0071CE"/>
          </w:tcPr>
          <w:p>
            <w:pPr>
              <w:spacing w:after="0"/>
              <w:rPr>
                <w:sz w:val="15"/>
                <w:szCs w:val="15"/>
                <w:color w:val="auto"/>
              </w:rPr>
            </w:pPr>
          </w:p>
        </w:tc>
        <w:tc>
          <w:tcPr>
            <w:tcW w:w="1480" w:type="dxa"/>
            <w:vAlign w:val="bottom"/>
            <w:shd w:val="clear" w:color="auto" w:fill="0071CE"/>
          </w:tcPr>
          <w:p>
            <w:pPr>
              <w:spacing w:after="0"/>
              <w:rPr>
                <w:sz w:val="15"/>
                <w:szCs w:val="15"/>
                <w:color w:val="auto"/>
              </w:rPr>
            </w:pPr>
          </w:p>
        </w:tc>
        <w:tc>
          <w:tcPr>
            <w:tcW w:w="100" w:type="dxa"/>
            <w:vAlign w:val="bottom"/>
            <w:shd w:val="clear" w:color="auto" w:fill="0071CE"/>
          </w:tcPr>
          <w:p>
            <w:pPr>
              <w:spacing w:after="0"/>
              <w:rPr>
                <w:sz w:val="15"/>
                <w:szCs w:val="15"/>
                <w:color w:val="auto"/>
              </w:rPr>
            </w:pPr>
          </w:p>
        </w:tc>
        <w:tc>
          <w:tcPr>
            <w:tcW w:w="2280" w:type="dxa"/>
            <w:vAlign w:val="bottom"/>
            <w:shd w:val="clear" w:color="auto" w:fill="0071CE"/>
          </w:tcPr>
          <w:p>
            <w:pPr>
              <w:spacing w:after="0"/>
              <w:rPr>
                <w:sz w:val="15"/>
                <w:szCs w:val="15"/>
                <w:color w:val="auto"/>
              </w:rPr>
            </w:pPr>
          </w:p>
        </w:tc>
        <w:tc>
          <w:tcPr>
            <w:tcW w:w="1580" w:type="dxa"/>
            <w:vAlign w:val="bottom"/>
            <w:shd w:val="clear" w:color="auto" w:fill="0071CE"/>
          </w:tcPr>
          <w:p>
            <w:pPr>
              <w:jc w:val="center"/>
              <w:ind w:right="184"/>
              <w:spacing w:after="0" w:line="178" w:lineRule="exact"/>
              <w:rPr>
                <w:sz w:val="20"/>
                <w:szCs w:val="20"/>
                <w:color w:val="auto"/>
              </w:rPr>
            </w:pPr>
            <w:r>
              <w:rPr>
                <w:rFonts w:ascii="Arial" w:cs="Arial" w:eastAsia="Arial" w:hAnsi="Arial"/>
                <w:sz w:val="16"/>
                <w:szCs w:val="16"/>
                <w:b w:val="1"/>
                <w:bCs w:val="1"/>
                <w:color w:val="FFFFFF"/>
                <w:w w:val="98"/>
              </w:rPr>
              <w:t>Equity</w:t>
            </w:r>
          </w:p>
        </w:tc>
        <w:tc>
          <w:tcPr>
            <w:tcW w:w="0" w:type="dxa"/>
            <w:vAlign w:val="bottom"/>
          </w:tcPr>
          <w:p>
            <w:pPr>
              <w:spacing w:after="0"/>
              <w:rPr>
                <w:sz w:val="1"/>
                <w:szCs w:val="1"/>
                <w:color w:val="auto"/>
              </w:rPr>
            </w:pPr>
          </w:p>
        </w:tc>
      </w:tr>
      <w:tr>
        <w:trPr>
          <w:trHeight w:val="162"/>
        </w:trPr>
        <w:tc>
          <w:tcPr>
            <w:tcW w:w="100" w:type="dxa"/>
            <w:vAlign w:val="bottom"/>
            <w:shd w:val="clear" w:color="auto" w:fill="0071CE"/>
          </w:tcPr>
          <w:p>
            <w:pPr>
              <w:spacing w:after="0"/>
              <w:rPr>
                <w:sz w:val="14"/>
                <w:szCs w:val="14"/>
                <w:color w:val="auto"/>
              </w:rPr>
            </w:pPr>
          </w:p>
        </w:tc>
        <w:tc>
          <w:tcPr>
            <w:tcW w:w="2520" w:type="dxa"/>
            <w:vAlign w:val="bottom"/>
            <w:shd w:val="clear" w:color="auto" w:fill="0071CE"/>
          </w:tcPr>
          <w:p>
            <w:pPr>
              <w:spacing w:after="0"/>
              <w:rPr>
                <w:sz w:val="14"/>
                <w:szCs w:val="14"/>
                <w:color w:val="auto"/>
              </w:rPr>
            </w:pPr>
          </w:p>
        </w:tc>
        <w:tc>
          <w:tcPr>
            <w:tcW w:w="1480" w:type="dxa"/>
            <w:vAlign w:val="bottom"/>
            <w:shd w:val="clear" w:color="auto" w:fill="0071CE"/>
          </w:tcPr>
          <w:p>
            <w:pPr>
              <w:spacing w:after="0"/>
              <w:rPr>
                <w:sz w:val="14"/>
                <w:szCs w:val="14"/>
                <w:color w:val="auto"/>
              </w:rPr>
            </w:pPr>
          </w:p>
        </w:tc>
        <w:tc>
          <w:tcPr>
            <w:tcW w:w="100" w:type="dxa"/>
            <w:vAlign w:val="bottom"/>
            <w:shd w:val="clear" w:color="auto" w:fill="0071CE"/>
          </w:tcPr>
          <w:p>
            <w:pPr>
              <w:spacing w:after="0"/>
              <w:rPr>
                <w:sz w:val="14"/>
                <w:szCs w:val="14"/>
                <w:color w:val="auto"/>
              </w:rPr>
            </w:pPr>
          </w:p>
        </w:tc>
        <w:tc>
          <w:tcPr>
            <w:tcW w:w="1480" w:type="dxa"/>
            <w:vAlign w:val="bottom"/>
            <w:shd w:val="clear" w:color="auto" w:fill="0071CE"/>
          </w:tcPr>
          <w:p>
            <w:pPr>
              <w:spacing w:after="0"/>
              <w:rPr>
                <w:sz w:val="14"/>
                <w:szCs w:val="14"/>
                <w:color w:val="auto"/>
              </w:rPr>
            </w:pPr>
          </w:p>
        </w:tc>
        <w:tc>
          <w:tcPr>
            <w:tcW w:w="100" w:type="dxa"/>
            <w:vAlign w:val="bottom"/>
            <w:shd w:val="clear" w:color="auto" w:fill="0071CE"/>
          </w:tcPr>
          <w:p>
            <w:pPr>
              <w:spacing w:after="0"/>
              <w:rPr>
                <w:sz w:val="14"/>
                <w:szCs w:val="14"/>
                <w:color w:val="auto"/>
              </w:rPr>
            </w:pPr>
          </w:p>
        </w:tc>
        <w:tc>
          <w:tcPr>
            <w:tcW w:w="1480" w:type="dxa"/>
            <w:vAlign w:val="bottom"/>
            <w:shd w:val="clear" w:color="auto" w:fill="0071CE"/>
          </w:tcPr>
          <w:p>
            <w:pPr>
              <w:spacing w:after="0"/>
              <w:rPr>
                <w:sz w:val="14"/>
                <w:szCs w:val="14"/>
                <w:color w:val="auto"/>
              </w:rPr>
            </w:pPr>
          </w:p>
        </w:tc>
        <w:tc>
          <w:tcPr>
            <w:tcW w:w="100" w:type="dxa"/>
            <w:vAlign w:val="bottom"/>
            <w:shd w:val="clear" w:color="auto" w:fill="0071CE"/>
          </w:tcPr>
          <w:p>
            <w:pPr>
              <w:spacing w:after="0"/>
              <w:rPr>
                <w:sz w:val="14"/>
                <w:szCs w:val="14"/>
                <w:color w:val="auto"/>
              </w:rPr>
            </w:pPr>
          </w:p>
        </w:tc>
        <w:tc>
          <w:tcPr>
            <w:tcW w:w="2280" w:type="dxa"/>
            <w:vAlign w:val="bottom"/>
            <w:vMerge w:val="restart"/>
            <w:shd w:val="clear" w:color="auto" w:fill="0071CE"/>
          </w:tcPr>
          <w:p>
            <w:pPr>
              <w:jc w:val="center"/>
              <w:ind w:right="384"/>
              <w:spacing w:after="0"/>
              <w:rPr>
                <w:sz w:val="20"/>
                <w:szCs w:val="20"/>
                <w:color w:val="auto"/>
              </w:rPr>
            </w:pPr>
            <w:r>
              <w:rPr>
                <w:rFonts w:ascii="Arial" w:cs="Arial" w:eastAsia="Arial" w:hAnsi="Arial"/>
                <w:sz w:val="16"/>
                <w:szCs w:val="16"/>
                <w:b w:val="1"/>
                <w:bCs w:val="1"/>
                <w:color w:val="FFFFFF"/>
              </w:rPr>
              <w:t>Equity</w:t>
            </w:r>
          </w:p>
        </w:tc>
        <w:tc>
          <w:tcPr>
            <w:tcW w:w="1580" w:type="dxa"/>
            <w:vAlign w:val="bottom"/>
            <w:shd w:val="clear" w:color="auto" w:fill="0071CE"/>
          </w:tcPr>
          <w:p>
            <w:pPr>
              <w:jc w:val="center"/>
              <w:ind w:right="164"/>
              <w:spacing w:after="0" w:line="162" w:lineRule="exact"/>
              <w:rPr>
                <w:sz w:val="20"/>
                <w:szCs w:val="20"/>
                <w:color w:val="auto"/>
              </w:rPr>
            </w:pPr>
            <w:r>
              <w:rPr>
                <w:rFonts w:ascii="Arial" w:cs="Arial" w:eastAsia="Arial" w:hAnsi="Arial"/>
                <w:sz w:val="16"/>
                <w:szCs w:val="16"/>
                <w:b w:val="1"/>
                <w:bCs w:val="1"/>
                <w:color w:val="FFFFFF"/>
              </w:rPr>
              <w:t>Incentive</w:t>
            </w:r>
          </w:p>
        </w:tc>
        <w:tc>
          <w:tcPr>
            <w:tcW w:w="0" w:type="dxa"/>
            <w:vAlign w:val="bottom"/>
          </w:tcPr>
          <w:p>
            <w:pPr>
              <w:spacing w:after="0"/>
              <w:rPr>
                <w:sz w:val="1"/>
                <w:szCs w:val="1"/>
                <w:color w:val="auto"/>
              </w:rPr>
            </w:pPr>
          </w:p>
        </w:tc>
      </w:tr>
      <w:tr>
        <w:trPr>
          <w:trHeight w:val="162"/>
        </w:trPr>
        <w:tc>
          <w:tcPr>
            <w:tcW w:w="100" w:type="dxa"/>
            <w:vAlign w:val="bottom"/>
            <w:shd w:val="clear" w:color="auto" w:fill="0071CE"/>
          </w:tcPr>
          <w:p>
            <w:pPr>
              <w:spacing w:after="0"/>
              <w:rPr>
                <w:sz w:val="14"/>
                <w:szCs w:val="14"/>
                <w:color w:val="auto"/>
              </w:rPr>
            </w:pPr>
          </w:p>
        </w:tc>
        <w:tc>
          <w:tcPr>
            <w:tcW w:w="2520" w:type="dxa"/>
            <w:vAlign w:val="bottom"/>
            <w:shd w:val="clear" w:color="auto" w:fill="0071CE"/>
          </w:tcPr>
          <w:p>
            <w:pPr>
              <w:spacing w:after="0"/>
              <w:rPr>
                <w:sz w:val="14"/>
                <w:szCs w:val="14"/>
                <w:color w:val="auto"/>
              </w:rPr>
            </w:pPr>
          </w:p>
        </w:tc>
        <w:tc>
          <w:tcPr>
            <w:tcW w:w="1480" w:type="dxa"/>
            <w:vAlign w:val="bottom"/>
            <w:shd w:val="clear" w:color="auto" w:fill="0071CE"/>
          </w:tcPr>
          <w:p>
            <w:pPr>
              <w:spacing w:after="0"/>
              <w:rPr>
                <w:sz w:val="14"/>
                <w:szCs w:val="14"/>
                <w:color w:val="auto"/>
              </w:rPr>
            </w:pPr>
          </w:p>
        </w:tc>
        <w:tc>
          <w:tcPr>
            <w:tcW w:w="100" w:type="dxa"/>
            <w:vAlign w:val="bottom"/>
            <w:shd w:val="clear" w:color="auto" w:fill="0071CE"/>
          </w:tcPr>
          <w:p>
            <w:pPr>
              <w:spacing w:after="0"/>
              <w:rPr>
                <w:sz w:val="14"/>
                <w:szCs w:val="14"/>
                <w:color w:val="auto"/>
              </w:rPr>
            </w:pPr>
          </w:p>
        </w:tc>
        <w:tc>
          <w:tcPr>
            <w:tcW w:w="1480" w:type="dxa"/>
            <w:vAlign w:val="bottom"/>
            <w:shd w:val="clear" w:color="auto" w:fill="0071CE"/>
          </w:tcPr>
          <w:p>
            <w:pPr>
              <w:spacing w:after="0"/>
              <w:rPr>
                <w:sz w:val="14"/>
                <w:szCs w:val="14"/>
                <w:color w:val="auto"/>
              </w:rPr>
            </w:pPr>
          </w:p>
        </w:tc>
        <w:tc>
          <w:tcPr>
            <w:tcW w:w="100" w:type="dxa"/>
            <w:vAlign w:val="bottom"/>
            <w:shd w:val="clear" w:color="auto" w:fill="0071CE"/>
          </w:tcPr>
          <w:p>
            <w:pPr>
              <w:spacing w:after="0"/>
              <w:rPr>
                <w:sz w:val="14"/>
                <w:szCs w:val="14"/>
                <w:color w:val="auto"/>
              </w:rPr>
            </w:pPr>
          </w:p>
        </w:tc>
        <w:tc>
          <w:tcPr>
            <w:tcW w:w="1480" w:type="dxa"/>
            <w:vAlign w:val="bottom"/>
            <w:shd w:val="clear" w:color="auto" w:fill="0071CE"/>
          </w:tcPr>
          <w:p>
            <w:pPr>
              <w:spacing w:after="0"/>
              <w:rPr>
                <w:sz w:val="14"/>
                <w:szCs w:val="14"/>
                <w:color w:val="auto"/>
              </w:rPr>
            </w:pPr>
          </w:p>
        </w:tc>
        <w:tc>
          <w:tcPr>
            <w:tcW w:w="100" w:type="dxa"/>
            <w:vAlign w:val="bottom"/>
            <w:shd w:val="clear" w:color="auto" w:fill="0071CE"/>
          </w:tcPr>
          <w:p>
            <w:pPr>
              <w:spacing w:after="0"/>
              <w:rPr>
                <w:sz w:val="14"/>
                <w:szCs w:val="14"/>
                <w:color w:val="auto"/>
              </w:rPr>
            </w:pPr>
          </w:p>
        </w:tc>
        <w:tc>
          <w:tcPr>
            <w:tcW w:w="2280" w:type="dxa"/>
            <w:vAlign w:val="bottom"/>
            <w:vMerge w:val="continue"/>
            <w:shd w:val="clear" w:color="auto" w:fill="0071CE"/>
          </w:tcPr>
          <w:p>
            <w:pPr>
              <w:spacing w:after="0"/>
              <w:rPr>
                <w:sz w:val="14"/>
                <w:szCs w:val="14"/>
                <w:color w:val="auto"/>
              </w:rPr>
            </w:pPr>
          </w:p>
        </w:tc>
        <w:tc>
          <w:tcPr>
            <w:tcW w:w="1580" w:type="dxa"/>
            <w:vAlign w:val="bottom"/>
            <w:shd w:val="clear" w:color="auto" w:fill="0071CE"/>
          </w:tcPr>
          <w:p>
            <w:pPr>
              <w:jc w:val="center"/>
              <w:ind w:right="164"/>
              <w:spacing w:after="0" w:line="162" w:lineRule="exact"/>
              <w:rPr>
                <w:sz w:val="20"/>
                <w:szCs w:val="20"/>
                <w:color w:val="auto"/>
              </w:rPr>
            </w:pPr>
            <w:r>
              <w:rPr>
                <w:rFonts w:ascii="Arial" w:cs="Arial" w:eastAsia="Arial" w:hAnsi="Arial"/>
                <w:sz w:val="16"/>
                <w:szCs w:val="16"/>
                <w:b w:val="1"/>
                <w:bCs w:val="1"/>
                <w:color w:val="FFFFFF"/>
              </w:rPr>
              <w:t>Plan</w:t>
            </w:r>
          </w:p>
        </w:tc>
        <w:tc>
          <w:tcPr>
            <w:tcW w:w="0" w:type="dxa"/>
            <w:vAlign w:val="bottom"/>
          </w:tcPr>
          <w:p>
            <w:pPr>
              <w:spacing w:after="0"/>
              <w:rPr>
                <w:sz w:val="1"/>
                <w:szCs w:val="1"/>
                <w:color w:val="auto"/>
              </w:rPr>
            </w:pPr>
          </w:p>
        </w:tc>
      </w:tr>
      <w:tr>
        <w:trPr>
          <w:trHeight w:val="162"/>
        </w:trPr>
        <w:tc>
          <w:tcPr>
            <w:tcW w:w="100" w:type="dxa"/>
            <w:vAlign w:val="bottom"/>
            <w:shd w:val="clear" w:color="auto" w:fill="0071CE"/>
          </w:tcPr>
          <w:p>
            <w:pPr>
              <w:spacing w:after="0"/>
              <w:rPr>
                <w:sz w:val="14"/>
                <w:szCs w:val="14"/>
                <w:color w:val="auto"/>
              </w:rPr>
            </w:pPr>
          </w:p>
        </w:tc>
        <w:tc>
          <w:tcPr>
            <w:tcW w:w="2520" w:type="dxa"/>
            <w:vAlign w:val="bottom"/>
            <w:shd w:val="clear" w:color="auto" w:fill="0071CE"/>
          </w:tcPr>
          <w:p>
            <w:pPr>
              <w:spacing w:after="0"/>
              <w:rPr>
                <w:sz w:val="14"/>
                <w:szCs w:val="14"/>
                <w:color w:val="auto"/>
              </w:rPr>
            </w:pPr>
          </w:p>
        </w:tc>
        <w:tc>
          <w:tcPr>
            <w:tcW w:w="1480" w:type="dxa"/>
            <w:vAlign w:val="bottom"/>
            <w:shd w:val="clear" w:color="auto" w:fill="0071CE"/>
          </w:tcPr>
          <w:p>
            <w:pPr>
              <w:spacing w:after="0"/>
              <w:rPr>
                <w:sz w:val="14"/>
                <w:szCs w:val="14"/>
                <w:color w:val="auto"/>
              </w:rPr>
            </w:pPr>
          </w:p>
        </w:tc>
        <w:tc>
          <w:tcPr>
            <w:tcW w:w="100" w:type="dxa"/>
            <w:vAlign w:val="bottom"/>
            <w:shd w:val="clear" w:color="auto" w:fill="0071CE"/>
          </w:tcPr>
          <w:p>
            <w:pPr>
              <w:spacing w:after="0"/>
              <w:rPr>
                <w:sz w:val="14"/>
                <w:szCs w:val="14"/>
                <w:color w:val="auto"/>
              </w:rPr>
            </w:pPr>
          </w:p>
        </w:tc>
        <w:tc>
          <w:tcPr>
            <w:tcW w:w="1480" w:type="dxa"/>
            <w:vAlign w:val="bottom"/>
            <w:shd w:val="clear" w:color="auto" w:fill="0071CE"/>
          </w:tcPr>
          <w:p>
            <w:pPr>
              <w:spacing w:after="0"/>
              <w:rPr>
                <w:sz w:val="14"/>
                <w:szCs w:val="14"/>
                <w:color w:val="auto"/>
              </w:rPr>
            </w:pPr>
          </w:p>
        </w:tc>
        <w:tc>
          <w:tcPr>
            <w:tcW w:w="100" w:type="dxa"/>
            <w:vAlign w:val="bottom"/>
            <w:shd w:val="clear" w:color="auto" w:fill="0071CE"/>
          </w:tcPr>
          <w:p>
            <w:pPr>
              <w:spacing w:after="0"/>
              <w:rPr>
                <w:sz w:val="14"/>
                <w:szCs w:val="14"/>
                <w:color w:val="auto"/>
              </w:rPr>
            </w:pPr>
          </w:p>
        </w:tc>
        <w:tc>
          <w:tcPr>
            <w:tcW w:w="1480" w:type="dxa"/>
            <w:vAlign w:val="bottom"/>
            <w:shd w:val="clear" w:color="auto" w:fill="0071CE"/>
          </w:tcPr>
          <w:p>
            <w:pPr>
              <w:spacing w:after="0"/>
              <w:rPr>
                <w:sz w:val="14"/>
                <w:szCs w:val="14"/>
                <w:color w:val="auto"/>
              </w:rPr>
            </w:pPr>
          </w:p>
        </w:tc>
        <w:tc>
          <w:tcPr>
            <w:tcW w:w="100" w:type="dxa"/>
            <w:vAlign w:val="bottom"/>
            <w:shd w:val="clear" w:color="auto" w:fill="0071CE"/>
          </w:tcPr>
          <w:p>
            <w:pPr>
              <w:spacing w:after="0"/>
              <w:rPr>
                <w:sz w:val="14"/>
                <w:szCs w:val="14"/>
                <w:color w:val="auto"/>
              </w:rPr>
            </w:pPr>
          </w:p>
        </w:tc>
        <w:tc>
          <w:tcPr>
            <w:tcW w:w="2280" w:type="dxa"/>
            <w:vAlign w:val="bottom"/>
            <w:shd w:val="clear" w:color="auto" w:fill="0071CE"/>
          </w:tcPr>
          <w:p>
            <w:pPr>
              <w:jc w:val="center"/>
              <w:ind w:right="384"/>
              <w:spacing w:after="0" w:line="162" w:lineRule="exact"/>
              <w:rPr>
                <w:sz w:val="20"/>
                <w:szCs w:val="20"/>
                <w:color w:val="auto"/>
              </w:rPr>
            </w:pPr>
            <w:r>
              <w:rPr>
                <w:rFonts w:ascii="Arial" w:cs="Arial" w:eastAsia="Arial" w:hAnsi="Arial"/>
                <w:sz w:val="16"/>
                <w:szCs w:val="16"/>
                <w:b w:val="1"/>
                <w:bCs w:val="1"/>
                <w:color w:val="FFFFFF"/>
              </w:rPr>
              <w:t>Incentive</w:t>
            </w:r>
          </w:p>
        </w:tc>
        <w:tc>
          <w:tcPr>
            <w:tcW w:w="1580" w:type="dxa"/>
            <w:vAlign w:val="bottom"/>
            <w:shd w:val="clear" w:color="auto" w:fill="0071CE"/>
          </w:tcPr>
          <w:p>
            <w:pPr>
              <w:jc w:val="center"/>
              <w:ind w:right="184"/>
              <w:spacing w:after="0" w:line="162" w:lineRule="exact"/>
              <w:rPr>
                <w:sz w:val="20"/>
                <w:szCs w:val="20"/>
                <w:color w:val="auto"/>
              </w:rPr>
            </w:pPr>
            <w:r>
              <w:rPr>
                <w:rFonts w:ascii="Arial" w:cs="Arial" w:eastAsia="Arial" w:hAnsi="Arial"/>
                <w:sz w:val="16"/>
                <w:szCs w:val="16"/>
                <w:b w:val="1"/>
                <w:bCs w:val="1"/>
                <w:color w:val="FFFFFF"/>
              </w:rPr>
              <w:t>Awards:</w:t>
            </w:r>
          </w:p>
        </w:tc>
        <w:tc>
          <w:tcPr>
            <w:tcW w:w="0" w:type="dxa"/>
            <w:vAlign w:val="bottom"/>
          </w:tcPr>
          <w:p>
            <w:pPr>
              <w:spacing w:after="0"/>
              <w:rPr>
                <w:sz w:val="1"/>
                <w:szCs w:val="1"/>
                <w:color w:val="auto"/>
              </w:rPr>
            </w:pPr>
          </w:p>
        </w:tc>
      </w:tr>
      <w:tr>
        <w:trPr>
          <w:trHeight w:val="162"/>
        </w:trPr>
        <w:tc>
          <w:tcPr>
            <w:tcW w:w="100" w:type="dxa"/>
            <w:vAlign w:val="bottom"/>
            <w:shd w:val="clear" w:color="auto" w:fill="0071CE"/>
          </w:tcPr>
          <w:p>
            <w:pPr>
              <w:spacing w:after="0"/>
              <w:rPr>
                <w:sz w:val="14"/>
                <w:szCs w:val="14"/>
                <w:color w:val="auto"/>
              </w:rPr>
            </w:pPr>
          </w:p>
        </w:tc>
        <w:tc>
          <w:tcPr>
            <w:tcW w:w="2520" w:type="dxa"/>
            <w:vAlign w:val="bottom"/>
            <w:shd w:val="clear" w:color="auto" w:fill="0071CE"/>
          </w:tcPr>
          <w:p>
            <w:pPr>
              <w:spacing w:after="0"/>
              <w:rPr>
                <w:sz w:val="14"/>
                <w:szCs w:val="14"/>
                <w:color w:val="auto"/>
              </w:rPr>
            </w:pPr>
          </w:p>
        </w:tc>
        <w:tc>
          <w:tcPr>
            <w:tcW w:w="1480" w:type="dxa"/>
            <w:vAlign w:val="bottom"/>
            <w:shd w:val="clear" w:color="auto" w:fill="0071CE"/>
          </w:tcPr>
          <w:p>
            <w:pPr>
              <w:spacing w:after="0"/>
              <w:rPr>
                <w:sz w:val="14"/>
                <w:szCs w:val="14"/>
                <w:color w:val="auto"/>
              </w:rPr>
            </w:pPr>
          </w:p>
        </w:tc>
        <w:tc>
          <w:tcPr>
            <w:tcW w:w="100" w:type="dxa"/>
            <w:vAlign w:val="bottom"/>
            <w:shd w:val="clear" w:color="auto" w:fill="0071CE"/>
          </w:tcPr>
          <w:p>
            <w:pPr>
              <w:spacing w:after="0"/>
              <w:rPr>
                <w:sz w:val="14"/>
                <w:szCs w:val="14"/>
                <w:color w:val="auto"/>
              </w:rPr>
            </w:pPr>
          </w:p>
        </w:tc>
        <w:tc>
          <w:tcPr>
            <w:tcW w:w="1480" w:type="dxa"/>
            <w:vAlign w:val="bottom"/>
            <w:shd w:val="clear" w:color="auto" w:fill="0071CE"/>
          </w:tcPr>
          <w:p>
            <w:pPr>
              <w:spacing w:after="0"/>
              <w:rPr>
                <w:sz w:val="14"/>
                <w:szCs w:val="14"/>
                <w:color w:val="auto"/>
              </w:rPr>
            </w:pPr>
          </w:p>
        </w:tc>
        <w:tc>
          <w:tcPr>
            <w:tcW w:w="100" w:type="dxa"/>
            <w:vAlign w:val="bottom"/>
            <w:shd w:val="clear" w:color="auto" w:fill="0071CE"/>
          </w:tcPr>
          <w:p>
            <w:pPr>
              <w:spacing w:after="0"/>
              <w:rPr>
                <w:sz w:val="14"/>
                <w:szCs w:val="14"/>
                <w:color w:val="auto"/>
              </w:rPr>
            </w:pPr>
          </w:p>
        </w:tc>
        <w:tc>
          <w:tcPr>
            <w:tcW w:w="1480" w:type="dxa"/>
            <w:vAlign w:val="bottom"/>
            <w:shd w:val="clear" w:color="auto" w:fill="0071CE"/>
          </w:tcPr>
          <w:p>
            <w:pPr>
              <w:spacing w:after="0"/>
              <w:rPr>
                <w:sz w:val="14"/>
                <w:szCs w:val="14"/>
                <w:color w:val="auto"/>
              </w:rPr>
            </w:pPr>
          </w:p>
        </w:tc>
        <w:tc>
          <w:tcPr>
            <w:tcW w:w="100" w:type="dxa"/>
            <w:vAlign w:val="bottom"/>
            <w:shd w:val="clear" w:color="auto" w:fill="0071CE"/>
          </w:tcPr>
          <w:p>
            <w:pPr>
              <w:spacing w:after="0"/>
              <w:rPr>
                <w:sz w:val="14"/>
                <w:szCs w:val="14"/>
                <w:color w:val="auto"/>
              </w:rPr>
            </w:pPr>
          </w:p>
        </w:tc>
        <w:tc>
          <w:tcPr>
            <w:tcW w:w="2280" w:type="dxa"/>
            <w:vAlign w:val="bottom"/>
            <w:shd w:val="clear" w:color="auto" w:fill="0071CE"/>
          </w:tcPr>
          <w:p>
            <w:pPr>
              <w:jc w:val="center"/>
              <w:ind w:right="384"/>
              <w:spacing w:after="0" w:line="162" w:lineRule="exact"/>
              <w:rPr>
                <w:sz w:val="20"/>
                <w:szCs w:val="20"/>
                <w:color w:val="auto"/>
              </w:rPr>
            </w:pPr>
            <w:r>
              <w:rPr>
                <w:rFonts w:ascii="Arial" w:cs="Arial" w:eastAsia="Arial" w:hAnsi="Arial"/>
                <w:sz w:val="16"/>
                <w:szCs w:val="16"/>
                <w:b w:val="1"/>
                <w:bCs w:val="1"/>
                <w:color w:val="FFFFFF"/>
              </w:rPr>
              <w:t>Plan</w:t>
            </w:r>
          </w:p>
        </w:tc>
        <w:tc>
          <w:tcPr>
            <w:tcW w:w="1580" w:type="dxa"/>
            <w:vAlign w:val="bottom"/>
            <w:shd w:val="clear" w:color="auto" w:fill="0071CE"/>
          </w:tcPr>
          <w:p>
            <w:pPr>
              <w:jc w:val="center"/>
              <w:ind w:right="184"/>
              <w:spacing w:after="0" w:line="162" w:lineRule="exact"/>
              <w:rPr>
                <w:sz w:val="20"/>
                <w:szCs w:val="20"/>
                <w:color w:val="auto"/>
              </w:rPr>
            </w:pPr>
            <w:r>
              <w:rPr>
                <w:rFonts w:ascii="Arial" w:cs="Arial" w:eastAsia="Arial" w:hAnsi="Arial"/>
                <w:sz w:val="16"/>
                <w:szCs w:val="16"/>
                <w:b w:val="1"/>
                <w:bCs w:val="1"/>
                <w:color w:val="FFFFFF"/>
              </w:rPr>
              <w:t>Market</w:t>
            </w:r>
          </w:p>
        </w:tc>
        <w:tc>
          <w:tcPr>
            <w:tcW w:w="0" w:type="dxa"/>
            <w:vAlign w:val="bottom"/>
          </w:tcPr>
          <w:p>
            <w:pPr>
              <w:spacing w:after="0"/>
              <w:rPr>
                <w:sz w:val="1"/>
                <w:szCs w:val="1"/>
                <w:color w:val="auto"/>
              </w:rPr>
            </w:pPr>
          </w:p>
        </w:tc>
      </w:tr>
      <w:tr>
        <w:trPr>
          <w:trHeight w:val="162"/>
        </w:trPr>
        <w:tc>
          <w:tcPr>
            <w:tcW w:w="100" w:type="dxa"/>
            <w:vAlign w:val="bottom"/>
            <w:shd w:val="clear" w:color="auto" w:fill="0071CE"/>
          </w:tcPr>
          <w:p>
            <w:pPr>
              <w:spacing w:after="0"/>
              <w:rPr>
                <w:sz w:val="14"/>
                <w:szCs w:val="14"/>
                <w:color w:val="auto"/>
              </w:rPr>
            </w:pPr>
          </w:p>
        </w:tc>
        <w:tc>
          <w:tcPr>
            <w:tcW w:w="2520" w:type="dxa"/>
            <w:vAlign w:val="bottom"/>
            <w:shd w:val="clear" w:color="auto" w:fill="0071CE"/>
          </w:tcPr>
          <w:p>
            <w:pPr>
              <w:spacing w:after="0"/>
              <w:rPr>
                <w:sz w:val="14"/>
                <w:szCs w:val="14"/>
                <w:color w:val="auto"/>
              </w:rPr>
            </w:pPr>
          </w:p>
        </w:tc>
        <w:tc>
          <w:tcPr>
            <w:tcW w:w="1480" w:type="dxa"/>
            <w:vAlign w:val="bottom"/>
            <w:shd w:val="clear" w:color="auto" w:fill="0071CE"/>
          </w:tcPr>
          <w:p>
            <w:pPr>
              <w:spacing w:after="0"/>
              <w:rPr>
                <w:sz w:val="14"/>
                <w:szCs w:val="14"/>
                <w:color w:val="auto"/>
              </w:rPr>
            </w:pPr>
          </w:p>
        </w:tc>
        <w:tc>
          <w:tcPr>
            <w:tcW w:w="100" w:type="dxa"/>
            <w:vAlign w:val="bottom"/>
            <w:shd w:val="clear" w:color="auto" w:fill="0071CE"/>
          </w:tcPr>
          <w:p>
            <w:pPr>
              <w:spacing w:after="0"/>
              <w:rPr>
                <w:sz w:val="14"/>
                <w:szCs w:val="14"/>
                <w:color w:val="auto"/>
              </w:rPr>
            </w:pPr>
          </w:p>
        </w:tc>
        <w:tc>
          <w:tcPr>
            <w:tcW w:w="1480" w:type="dxa"/>
            <w:vAlign w:val="bottom"/>
            <w:shd w:val="clear" w:color="auto" w:fill="0071CE"/>
          </w:tcPr>
          <w:p>
            <w:pPr>
              <w:spacing w:after="0"/>
              <w:rPr>
                <w:sz w:val="14"/>
                <w:szCs w:val="14"/>
                <w:color w:val="auto"/>
              </w:rPr>
            </w:pPr>
          </w:p>
        </w:tc>
        <w:tc>
          <w:tcPr>
            <w:tcW w:w="100" w:type="dxa"/>
            <w:vAlign w:val="bottom"/>
            <w:shd w:val="clear" w:color="auto" w:fill="0071CE"/>
          </w:tcPr>
          <w:p>
            <w:pPr>
              <w:spacing w:after="0"/>
              <w:rPr>
                <w:sz w:val="14"/>
                <w:szCs w:val="14"/>
                <w:color w:val="auto"/>
              </w:rPr>
            </w:pPr>
          </w:p>
        </w:tc>
        <w:tc>
          <w:tcPr>
            <w:tcW w:w="1480" w:type="dxa"/>
            <w:vAlign w:val="bottom"/>
            <w:shd w:val="clear" w:color="auto" w:fill="0071CE"/>
          </w:tcPr>
          <w:p>
            <w:pPr>
              <w:spacing w:after="0"/>
              <w:rPr>
                <w:sz w:val="14"/>
                <w:szCs w:val="14"/>
                <w:color w:val="auto"/>
              </w:rPr>
            </w:pPr>
          </w:p>
        </w:tc>
        <w:tc>
          <w:tcPr>
            <w:tcW w:w="100" w:type="dxa"/>
            <w:vAlign w:val="bottom"/>
            <w:shd w:val="clear" w:color="auto" w:fill="0071CE"/>
          </w:tcPr>
          <w:p>
            <w:pPr>
              <w:spacing w:after="0"/>
              <w:rPr>
                <w:sz w:val="14"/>
                <w:szCs w:val="14"/>
                <w:color w:val="auto"/>
              </w:rPr>
            </w:pPr>
          </w:p>
        </w:tc>
        <w:tc>
          <w:tcPr>
            <w:tcW w:w="2280" w:type="dxa"/>
            <w:vAlign w:val="bottom"/>
            <w:shd w:val="clear" w:color="auto" w:fill="0071CE"/>
          </w:tcPr>
          <w:p>
            <w:pPr>
              <w:jc w:val="center"/>
              <w:ind w:right="364"/>
              <w:spacing w:after="0" w:line="162" w:lineRule="exact"/>
              <w:rPr>
                <w:sz w:val="20"/>
                <w:szCs w:val="20"/>
                <w:color w:val="auto"/>
              </w:rPr>
            </w:pPr>
            <w:r>
              <w:rPr>
                <w:rFonts w:ascii="Arial" w:cs="Arial" w:eastAsia="Arial" w:hAnsi="Arial"/>
                <w:sz w:val="16"/>
                <w:szCs w:val="16"/>
                <w:b w:val="1"/>
                <w:bCs w:val="1"/>
                <w:color w:val="FFFFFF"/>
              </w:rPr>
              <w:t>Awards:</w:t>
            </w:r>
          </w:p>
        </w:tc>
        <w:tc>
          <w:tcPr>
            <w:tcW w:w="1580" w:type="dxa"/>
            <w:vAlign w:val="bottom"/>
            <w:shd w:val="clear" w:color="auto" w:fill="0071CE"/>
          </w:tcPr>
          <w:p>
            <w:pPr>
              <w:jc w:val="center"/>
              <w:ind w:right="164"/>
              <w:spacing w:after="0" w:line="162" w:lineRule="exact"/>
              <w:rPr>
                <w:sz w:val="20"/>
                <w:szCs w:val="20"/>
                <w:color w:val="auto"/>
              </w:rPr>
            </w:pPr>
            <w:r>
              <w:rPr>
                <w:rFonts w:ascii="Arial" w:cs="Arial" w:eastAsia="Arial" w:hAnsi="Arial"/>
                <w:sz w:val="16"/>
                <w:szCs w:val="16"/>
                <w:b w:val="1"/>
                <w:bCs w:val="1"/>
                <w:color w:val="FFFFFF"/>
                <w:w w:val="98"/>
              </w:rPr>
              <w:t>Value</w:t>
            </w:r>
          </w:p>
        </w:tc>
        <w:tc>
          <w:tcPr>
            <w:tcW w:w="0" w:type="dxa"/>
            <w:vAlign w:val="bottom"/>
          </w:tcPr>
          <w:p>
            <w:pPr>
              <w:spacing w:after="0"/>
              <w:rPr>
                <w:sz w:val="1"/>
                <w:szCs w:val="1"/>
                <w:color w:val="auto"/>
              </w:rPr>
            </w:pPr>
          </w:p>
        </w:tc>
      </w:tr>
      <w:tr>
        <w:trPr>
          <w:trHeight w:val="162"/>
        </w:trPr>
        <w:tc>
          <w:tcPr>
            <w:tcW w:w="100" w:type="dxa"/>
            <w:vAlign w:val="bottom"/>
            <w:shd w:val="clear" w:color="auto" w:fill="0071CE"/>
          </w:tcPr>
          <w:p>
            <w:pPr>
              <w:spacing w:after="0"/>
              <w:rPr>
                <w:sz w:val="14"/>
                <w:szCs w:val="14"/>
                <w:color w:val="auto"/>
              </w:rPr>
            </w:pPr>
          </w:p>
        </w:tc>
        <w:tc>
          <w:tcPr>
            <w:tcW w:w="2520" w:type="dxa"/>
            <w:vAlign w:val="bottom"/>
            <w:shd w:val="clear" w:color="auto" w:fill="0071CE"/>
          </w:tcPr>
          <w:p>
            <w:pPr>
              <w:spacing w:after="0"/>
              <w:rPr>
                <w:sz w:val="14"/>
                <w:szCs w:val="14"/>
                <w:color w:val="auto"/>
              </w:rPr>
            </w:pPr>
          </w:p>
        </w:tc>
        <w:tc>
          <w:tcPr>
            <w:tcW w:w="1480" w:type="dxa"/>
            <w:vAlign w:val="bottom"/>
            <w:shd w:val="clear" w:color="auto" w:fill="0071CE"/>
          </w:tcPr>
          <w:p>
            <w:pPr>
              <w:spacing w:after="0"/>
              <w:rPr>
                <w:sz w:val="14"/>
                <w:szCs w:val="14"/>
                <w:color w:val="auto"/>
              </w:rPr>
            </w:pPr>
          </w:p>
        </w:tc>
        <w:tc>
          <w:tcPr>
            <w:tcW w:w="100" w:type="dxa"/>
            <w:vAlign w:val="bottom"/>
            <w:shd w:val="clear" w:color="auto" w:fill="0071CE"/>
          </w:tcPr>
          <w:p>
            <w:pPr>
              <w:spacing w:after="0"/>
              <w:rPr>
                <w:sz w:val="14"/>
                <w:szCs w:val="14"/>
                <w:color w:val="auto"/>
              </w:rPr>
            </w:pPr>
          </w:p>
        </w:tc>
        <w:tc>
          <w:tcPr>
            <w:tcW w:w="1480" w:type="dxa"/>
            <w:vAlign w:val="bottom"/>
            <w:shd w:val="clear" w:color="auto" w:fill="0071CE"/>
          </w:tcPr>
          <w:p>
            <w:pPr>
              <w:spacing w:after="0"/>
              <w:rPr>
                <w:sz w:val="14"/>
                <w:szCs w:val="14"/>
                <w:color w:val="auto"/>
              </w:rPr>
            </w:pPr>
          </w:p>
        </w:tc>
        <w:tc>
          <w:tcPr>
            <w:tcW w:w="100" w:type="dxa"/>
            <w:vAlign w:val="bottom"/>
            <w:shd w:val="clear" w:color="auto" w:fill="0071CE"/>
          </w:tcPr>
          <w:p>
            <w:pPr>
              <w:spacing w:after="0"/>
              <w:rPr>
                <w:sz w:val="14"/>
                <w:szCs w:val="14"/>
                <w:color w:val="auto"/>
              </w:rPr>
            </w:pPr>
          </w:p>
        </w:tc>
        <w:tc>
          <w:tcPr>
            <w:tcW w:w="1480" w:type="dxa"/>
            <w:vAlign w:val="bottom"/>
            <w:shd w:val="clear" w:color="auto" w:fill="0071CE"/>
          </w:tcPr>
          <w:p>
            <w:pPr>
              <w:spacing w:after="0"/>
              <w:rPr>
                <w:sz w:val="14"/>
                <w:szCs w:val="14"/>
                <w:color w:val="auto"/>
              </w:rPr>
            </w:pPr>
          </w:p>
        </w:tc>
        <w:tc>
          <w:tcPr>
            <w:tcW w:w="100" w:type="dxa"/>
            <w:vAlign w:val="bottom"/>
            <w:shd w:val="clear" w:color="auto" w:fill="0071CE"/>
          </w:tcPr>
          <w:p>
            <w:pPr>
              <w:spacing w:after="0"/>
              <w:rPr>
                <w:sz w:val="14"/>
                <w:szCs w:val="14"/>
                <w:color w:val="auto"/>
              </w:rPr>
            </w:pPr>
          </w:p>
        </w:tc>
        <w:tc>
          <w:tcPr>
            <w:tcW w:w="2280" w:type="dxa"/>
            <w:vAlign w:val="bottom"/>
            <w:shd w:val="clear" w:color="auto" w:fill="0071CE"/>
          </w:tcPr>
          <w:p>
            <w:pPr>
              <w:jc w:val="center"/>
              <w:ind w:right="364"/>
              <w:spacing w:after="0" w:line="162" w:lineRule="exact"/>
              <w:rPr>
                <w:sz w:val="20"/>
                <w:szCs w:val="20"/>
                <w:color w:val="auto"/>
              </w:rPr>
            </w:pPr>
            <w:r>
              <w:rPr>
                <w:rFonts w:ascii="Arial" w:cs="Arial" w:eastAsia="Arial" w:hAnsi="Arial"/>
                <w:sz w:val="16"/>
                <w:szCs w:val="16"/>
                <w:b w:val="1"/>
                <w:bCs w:val="1"/>
                <w:color w:val="FFFFFF"/>
                <w:w w:val="99"/>
              </w:rPr>
              <w:t>Number of</w:t>
            </w:r>
          </w:p>
        </w:tc>
        <w:tc>
          <w:tcPr>
            <w:tcW w:w="1580" w:type="dxa"/>
            <w:vAlign w:val="bottom"/>
            <w:shd w:val="clear" w:color="auto" w:fill="0071CE"/>
          </w:tcPr>
          <w:p>
            <w:pPr>
              <w:jc w:val="center"/>
              <w:ind w:right="184"/>
              <w:spacing w:after="0" w:line="162" w:lineRule="exact"/>
              <w:rPr>
                <w:sz w:val="20"/>
                <w:szCs w:val="20"/>
                <w:color w:val="auto"/>
              </w:rPr>
            </w:pPr>
            <w:r>
              <w:rPr>
                <w:rFonts w:ascii="Arial" w:cs="Arial" w:eastAsia="Arial" w:hAnsi="Arial"/>
                <w:sz w:val="16"/>
                <w:szCs w:val="16"/>
                <w:b w:val="1"/>
                <w:bCs w:val="1"/>
                <w:color w:val="FFFFFF"/>
              </w:rPr>
              <w:t>of</w:t>
            </w:r>
          </w:p>
        </w:tc>
        <w:tc>
          <w:tcPr>
            <w:tcW w:w="0" w:type="dxa"/>
            <w:vAlign w:val="bottom"/>
          </w:tcPr>
          <w:p>
            <w:pPr>
              <w:spacing w:after="0"/>
              <w:rPr>
                <w:sz w:val="1"/>
                <w:szCs w:val="1"/>
                <w:color w:val="auto"/>
              </w:rPr>
            </w:pPr>
          </w:p>
        </w:tc>
      </w:tr>
      <w:tr>
        <w:trPr>
          <w:trHeight w:val="176"/>
        </w:trPr>
        <w:tc>
          <w:tcPr>
            <w:tcW w:w="100" w:type="dxa"/>
            <w:vAlign w:val="bottom"/>
            <w:shd w:val="clear" w:color="auto" w:fill="0071CE"/>
          </w:tcPr>
          <w:p>
            <w:pPr>
              <w:spacing w:after="0"/>
              <w:rPr>
                <w:sz w:val="15"/>
                <w:szCs w:val="15"/>
                <w:color w:val="auto"/>
              </w:rPr>
            </w:pPr>
          </w:p>
        </w:tc>
        <w:tc>
          <w:tcPr>
            <w:tcW w:w="2520" w:type="dxa"/>
            <w:vAlign w:val="bottom"/>
            <w:shd w:val="clear" w:color="auto" w:fill="0071CE"/>
          </w:tcPr>
          <w:p>
            <w:pPr>
              <w:spacing w:after="0"/>
              <w:rPr>
                <w:sz w:val="15"/>
                <w:szCs w:val="15"/>
                <w:color w:val="auto"/>
              </w:rPr>
            </w:pPr>
          </w:p>
        </w:tc>
        <w:tc>
          <w:tcPr>
            <w:tcW w:w="1480" w:type="dxa"/>
            <w:vAlign w:val="bottom"/>
            <w:shd w:val="clear" w:color="auto" w:fill="0071CE"/>
          </w:tcPr>
          <w:p>
            <w:pPr>
              <w:spacing w:after="0"/>
              <w:rPr>
                <w:sz w:val="15"/>
                <w:szCs w:val="15"/>
                <w:color w:val="auto"/>
              </w:rPr>
            </w:pPr>
          </w:p>
        </w:tc>
        <w:tc>
          <w:tcPr>
            <w:tcW w:w="100" w:type="dxa"/>
            <w:vAlign w:val="bottom"/>
            <w:shd w:val="clear" w:color="auto" w:fill="0071CE"/>
          </w:tcPr>
          <w:p>
            <w:pPr>
              <w:spacing w:after="0"/>
              <w:rPr>
                <w:sz w:val="15"/>
                <w:szCs w:val="15"/>
                <w:color w:val="auto"/>
              </w:rPr>
            </w:pPr>
          </w:p>
        </w:tc>
        <w:tc>
          <w:tcPr>
            <w:tcW w:w="1480" w:type="dxa"/>
            <w:vAlign w:val="bottom"/>
            <w:shd w:val="clear" w:color="auto" w:fill="0071CE"/>
          </w:tcPr>
          <w:p>
            <w:pPr>
              <w:spacing w:after="0"/>
              <w:rPr>
                <w:sz w:val="15"/>
                <w:szCs w:val="15"/>
                <w:color w:val="auto"/>
              </w:rPr>
            </w:pPr>
          </w:p>
        </w:tc>
        <w:tc>
          <w:tcPr>
            <w:tcW w:w="100" w:type="dxa"/>
            <w:vAlign w:val="bottom"/>
            <w:shd w:val="clear" w:color="auto" w:fill="0071CE"/>
          </w:tcPr>
          <w:p>
            <w:pPr>
              <w:spacing w:after="0"/>
              <w:rPr>
                <w:sz w:val="15"/>
                <w:szCs w:val="15"/>
                <w:color w:val="auto"/>
              </w:rPr>
            </w:pPr>
          </w:p>
        </w:tc>
        <w:tc>
          <w:tcPr>
            <w:tcW w:w="14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Market</w:t>
            </w:r>
          </w:p>
        </w:tc>
        <w:tc>
          <w:tcPr>
            <w:tcW w:w="100" w:type="dxa"/>
            <w:vAlign w:val="bottom"/>
            <w:shd w:val="clear" w:color="auto" w:fill="0071CE"/>
          </w:tcPr>
          <w:p>
            <w:pPr>
              <w:spacing w:after="0"/>
              <w:rPr>
                <w:sz w:val="15"/>
                <w:szCs w:val="15"/>
                <w:color w:val="auto"/>
              </w:rPr>
            </w:pPr>
          </w:p>
        </w:tc>
        <w:tc>
          <w:tcPr>
            <w:tcW w:w="2280" w:type="dxa"/>
            <w:vAlign w:val="bottom"/>
            <w:shd w:val="clear" w:color="auto" w:fill="0071CE"/>
          </w:tcPr>
          <w:p>
            <w:pPr>
              <w:jc w:val="center"/>
              <w:ind w:right="364"/>
              <w:spacing w:after="0" w:line="175" w:lineRule="exact"/>
              <w:rPr>
                <w:sz w:val="20"/>
                <w:szCs w:val="20"/>
                <w:color w:val="auto"/>
              </w:rPr>
            </w:pPr>
            <w:r>
              <w:rPr>
                <w:rFonts w:ascii="Arial" w:cs="Arial" w:eastAsia="Arial" w:hAnsi="Arial"/>
                <w:sz w:val="16"/>
                <w:szCs w:val="16"/>
                <w:b w:val="1"/>
                <w:bCs w:val="1"/>
                <w:color w:val="FFFFFF"/>
              </w:rPr>
              <w:t>Unearned</w:t>
            </w:r>
          </w:p>
        </w:tc>
        <w:tc>
          <w:tcPr>
            <w:tcW w:w="1580" w:type="dxa"/>
            <w:vAlign w:val="bottom"/>
            <w:shd w:val="clear" w:color="auto" w:fill="0071CE"/>
          </w:tcPr>
          <w:p>
            <w:pPr>
              <w:jc w:val="center"/>
              <w:ind w:right="184"/>
              <w:spacing w:after="0" w:line="175" w:lineRule="exact"/>
              <w:rPr>
                <w:sz w:val="20"/>
                <w:szCs w:val="20"/>
                <w:color w:val="auto"/>
              </w:rPr>
            </w:pPr>
            <w:r>
              <w:rPr>
                <w:rFonts w:ascii="Arial" w:cs="Arial" w:eastAsia="Arial" w:hAnsi="Arial"/>
                <w:sz w:val="16"/>
                <w:szCs w:val="16"/>
                <w:b w:val="1"/>
                <w:bCs w:val="1"/>
                <w:color w:val="FFFFFF"/>
              </w:rPr>
              <w:t>Unearned</w:t>
            </w:r>
          </w:p>
        </w:tc>
        <w:tc>
          <w:tcPr>
            <w:tcW w:w="0" w:type="dxa"/>
            <w:vAlign w:val="bottom"/>
          </w:tcPr>
          <w:p>
            <w:pPr>
              <w:spacing w:after="0"/>
              <w:rPr>
                <w:sz w:val="1"/>
                <w:szCs w:val="1"/>
                <w:color w:val="auto"/>
              </w:rPr>
            </w:pPr>
          </w:p>
        </w:tc>
      </w:tr>
      <w:tr>
        <w:trPr>
          <w:trHeight w:val="148"/>
        </w:trPr>
        <w:tc>
          <w:tcPr>
            <w:tcW w:w="100" w:type="dxa"/>
            <w:vAlign w:val="bottom"/>
            <w:shd w:val="clear" w:color="auto" w:fill="0071CE"/>
          </w:tcPr>
          <w:p>
            <w:pPr>
              <w:spacing w:after="0"/>
              <w:rPr>
                <w:sz w:val="12"/>
                <w:szCs w:val="12"/>
                <w:color w:val="auto"/>
              </w:rPr>
            </w:pPr>
          </w:p>
        </w:tc>
        <w:tc>
          <w:tcPr>
            <w:tcW w:w="2520" w:type="dxa"/>
            <w:vAlign w:val="bottom"/>
            <w:shd w:val="clear" w:color="auto" w:fill="0071CE"/>
          </w:tcPr>
          <w:p>
            <w:pPr>
              <w:spacing w:after="0"/>
              <w:rPr>
                <w:sz w:val="12"/>
                <w:szCs w:val="12"/>
                <w:color w:val="auto"/>
              </w:rPr>
            </w:pPr>
          </w:p>
        </w:tc>
        <w:tc>
          <w:tcPr>
            <w:tcW w:w="1480" w:type="dxa"/>
            <w:vAlign w:val="bottom"/>
            <w:shd w:val="clear" w:color="auto" w:fill="0071CE"/>
          </w:tcPr>
          <w:p>
            <w:pPr>
              <w:spacing w:after="0"/>
              <w:rPr>
                <w:sz w:val="12"/>
                <w:szCs w:val="12"/>
                <w:color w:val="auto"/>
              </w:rPr>
            </w:pPr>
          </w:p>
        </w:tc>
        <w:tc>
          <w:tcPr>
            <w:tcW w:w="100" w:type="dxa"/>
            <w:vAlign w:val="bottom"/>
            <w:shd w:val="clear" w:color="auto" w:fill="0071CE"/>
          </w:tcPr>
          <w:p>
            <w:pPr>
              <w:spacing w:after="0"/>
              <w:rPr>
                <w:sz w:val="12"/>
                <w:szCs w:val="12"/>
                <w:color w:val="auto"/>
              </w:rPr>
            </w:pPr>
          </w:p>
        </w:tc>
        <w:tc>
          <w:tcPr>
            <w:tcW w:w="148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Number of</w:t>
            </w:r>
          </w:p>
        </w:tc>
        <w:tc>
          <w:tcPr>
            <w:tcW w:w="100" w:type="dxa"/>
            <w:vAlign w:val="bottom"/>
            <w:shd w:val="clear" w:color="auto" w:fill="0071CE"/>
          </w:tcPr>
          <w:p>
            <w:pPr>
              <w:spacing w:after="0"/>
              <w:rPr>
                <w:sz w:val="12"/>
                <w:szCs w:val="12"/>
                <w:color w:val="auto"/>
              </w:rPr>
            </w:pPr>
          </w:p>
        </w:tc>
        <w:tc>
          <w:tcPr>
            <w:tcW w:w="148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Value of</w:t>
            </w:r>
          </w:p>
        </w:tc>
        <w:tc>
          <w:tcPr>
            <w:tcW w:w="100" w:type="dxa"/>
            <w:vAlign w:val="bottom"/>
            <w:shd w:val="clear" w:color="auto" w:fill="0071CE"/>
          </w:tcPr>
          <w:p>
            <w:pPr>
              <w:spacing w:after="0"/>
              <w:rPr>
                <w:sz w:val="12"/>
                <w:szCs w:val="12"/>
                <w:color w:val="auto"/>
              </w:rPr>
            </w:pPr>
          </w:p>
        </w:tc>
        <w:tc>
          <w:tcPr>
            <w:tcW w:w="2280" w:type="dxa"/>
            <w:vAlign w:val="bottom"/>
            <w:shd w:val="clear" w:color="auto" w:fill="0071CE"/>
          </w:tcPr>
          <w:p>
            <w:pPr>
              <w:jc w:val="center"/>
              <w:ind w:right="364"/>
              <w:spacing w:after="0" w:line="148" w:lineRule="exact"/>
              <w:rPr>
                <w:sz w:val="20"/>
                <w:szCs w:val="20"/>
                <w:color w:val="auto"/>
              </w:rPr>
            </w:pPr>
            <w:r>
              <w:rPr>
                <w:rFonts w:ascii="Arial" w:cs="Arial" w:eastAsia="Arial" w:hAnsi="Arial"/>
                <w:sz w:val="16"/>
                <w:szCs w:val="16"/>
                <w:b w:val="1"/>
                <w:bCs w:val="1"/>
                <w:color w:val="FFFFFF"/>
              </w:rPr>
              <w:t>Shares or</w:t>
            </w:r>
          </w:p>
        </w:tc>
        <w:tc>
          <w:tcPr>
            <w:tcW w:w="1580" w:type="dxa"/>
            <w:vAlign w:val="bottom"/>
            <w:shd w:val="clear" w:color="auto" w:fill="0071CE"/>
          </w:tcPr>
          <w:p>
            <w:pPr>
              <w:jc w:val="center"/>
              <w:ind w:right="184"/>
              <w:spacing w:after="0" w:line="148" w:lineRule="exact"/>
              <w:rPr>
                <w:sz w:val="20"/>
                <w:szCs w:val="20"/>
                <w:color w:val="auto"/>
              </w:rPr>
            </w:pPr>
            <w:r>
              <w:rPr>
                <w:rFonts w:ascii="Arial" w:cs="Arial" w:eastAsia="Arial" w:hAnsi="Arial"/>
                <w:sz w:val="16"/>
                <w:szCs w:val="16"/>
                <w:b w:val="1"/>
                <w:bCs w:val="1"/>
                <w:color w:val="FFFFFF"/>
              </w:rPr>
              <w:t>Shares or</w:t>
            </w:r>
          </w:p>
        </w:tc>
        <w:tc>
          <w:tcPr>
            <w:tcW w:w="0" w:type="dxa"/>
            <w:vAlign w:val="bottom"/>
          </w:tcPr>
          <w:p>
            <w:pPr>
              <w:spacing w:after="0"/>
              <w:rPr>
                <w:sz w:val="1"/>
                <w:szCs w:val="1"/>
                <w:color w:val="auto"/>
              </w:rPr>
            </w:pPr>
          </w:p>
        </w:tc>
      </w:tr>
      <w:tr>
        <w:trPr>
          <w:trHeight w:val="162"/>
        </w:trPr>
        <w:tc>
          <w:tcPr>
            <w:tcW w:w="100" w:type="dxa"/>
            <w:vAlign w:val="bottom"/>
            <w:shd w:val="clear" w:color="auto" w:fill="0071CE"/>
          </w:tcPr>
          <w:p>
            <w:pPr>
              <w:spacing w:after="0"/>
              <w:rPr>
                <w:sz w:val="14"/>
                <w:szCs w:val="14"/>
                <w:color w:val="auto"/>
              </w:rPr>
            </w:pPr>
          </w:p>
        </w:tc>
        <w:tc>
          <w:tcPr>
            <w:tcW w:w="2520" w:type="dxa"/>
            <w:vAlign w:val="bottom"/>
            <w:shd w:val="clear" w:color="auto" w:fill="0071CE"/>
          </w:tcPr>
          <w:p>
            <w:pPr>
              <w:spacing w:after="0"/>
              <w:rPr>
                <w:sz w:val="14"/>
                <w:szCs w:val="14"/>
                <w:color w:val="auto"/>
              </w:rPr>
            </w:pPr>
          </w:p>
        </w:tc>
        <w:tc>
          <w:tcPr>
            <w:tcW w:w="1480" w:type="dxa"/>
            <w:vAlign w:val="bottom"/>
            <w:shd w:val="clear" w:color="auto" w:fill="0071CE"/>
          </w:tcPr>
          <w:p>
            <w:pPr>
              <w:spacing w:after="0"/>
              <w:rPr>
                <w:sz w:val="14"/>
                <w:szCs w:val="14"/>
                <w:color w:val="auto"/>
              </w:rPr>
            </w:pPr>
          </w:p>
        </w:tc>
        <w:tc>
          <w:tcPr>
            <w:tcW w:w="100" w:type="dxa"/>
            <w:vAlign w:val="bottom"/>
            <w:shd w:val="clear" w:color="auto" w:fill="0071CE"/>
          </w:tcPr>
          <w:p>
            <w:pPr>
              <w:spacing w:after="0"/>
              <w:rPr>
                <w:sz w:val="14"/>
                <w:szCs w:val="14"/>
                <w:color w:val="auto"/>
              </w:rPr>
            </w:pPr>
          </w:p>
        </w:tc>
        <w:tc>
          <w:tcPr>
            <w:tcW w:w="1480" w:type="dxa"/>
            <w:vAlign w:val="bottom"/>
            <w:vMerge w:val="continue"/>
            <w:shd w:val="clear" w:color="auto" w:fill="0071CE"/>
          </w:tcPr>
          <w:p>
            <w:pPr>
              <w:spacing w:after="0"/>
              <w:rPr>
                <w:sz w:val="14"/>
                <w:szCs w:val="14"/>
                <w:color w:val="auto"/>
              </w:rPr>
            </w:pPr>
          </w:p>
        </w:tc>
        <w:tc>
          <w:tcPr>
            <w:tcW w:w="100" w:type="dxa"/>
            <w:vAlign w:val="bottom"/>
            <w:shd w:val="clear" w:color="auto" w:fill="0071CE"/>
          </w:tcPr>
          <w:p>
            <w:pPr>
              <w:spacing w:after="0"/>
              <w:rPr>
                <w:sz w:val="14"/>
                <w:szCs w:val="14"/>
                <w:color w:val="auto"/>
              </w:rPr>
            </w:pPr>
          </w:p>
        </w:tc>
        <w:tc>
          <w:tcPr>
            <w:tcW w:w="14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Shares or</w:t>
            </w:r>
          </w:p>
        </w:tc>
        <w:tc>
          <w:tcPr>
            <w:tcW w:w="100" w:type="dxa"/>
            <w:vAlign w:val="bottom"/>
            <w:shd w:val="clear" w:color="auto" w:fill="0071CE"/>
          </w:tcPr>
          <w:p>
            <w:pPr>
              <w:spacing w:after="0"/>
              <w:rPr>
                <w:sz w:val="14"/>
                <w:szCs w:val="14"/>
                <w:color w:val="auto"/>
              </w:rPr>
            </w:pPr>
          </w:p>
        </w:tc>
        <w:tc>
          <w:tcPr>
            <w:tcW w:w="2280" w:type="dxa"/>
            <w:vAlign w:val="bottom"/>
            <w:shd w:val="clear" w:color="auto" w:fill="0071CE"/>
          </w:tcPr>
          <w:p>
            <w:pPr>
              <w:jc w:val="center"/>
              <w:ind w:right="364"/>
              <w:spacing w:after="0" w:line="162" w:lineRule="exact"/>
              <w:rPr>
                <w:sz w:val="20"/>
                <w:szCs w:val="20"/>
                <w:color w:val="auto"/>
              </w:rPr>
            </w:pPr>
            <w:r>
              <w:rPr>
                <w:rFonts w:ascii="Arial" w:cs="Arial" w:eastAsia="Arial" w:hAnsi="Arial"/>
                <w:sz w:val="16"/>
                <w:szCs w:val="16"/>
                <w:b w:val="1"/>
                <w:bCs w:val="1"/>
                <w:color w:val="FFFFFF"/>
              </w:rPr>
              <w:t>Units of</w:t>
            </w:r>
          </w:p>
        </w:tc>
        <w:tc>
          <w:tcPr>
            <w:tcW w:w="1580" w:type="dxa"/>
            <w:vAlign w:val="bottom"/>
            <w:shd w:val="clear" w:color="auto" w:fill="0071CE"/>
          </w:tcPr>
          <w:p>
            <w:pPr>
              <w:jc w:val="center"/>
              <w:ind w:right="184"/>
              <w:spacing w:after="0" w:line="162" w:lineRule="exact"/>
              <w:rPr>
                <w:sz w:val="20"/>
                <w:szCs w:val="20"/>
                <w:color w:val="auto"/>
              </w:rPr>
            </w:pPr>
            <w:r>
              <w:rPr>
                <w:rFonts w:ascii="Arial" w:cs="Arial" w:eastAsia="Arial" w:hAnsi="Arial"/>
                <w:sz w:val="16"/>
                <w:szCs w:val="16"/>
                <w:b w:val="1"/>
                <w:bCs w:val="1"/>
                <w:color w:val="FFFFFF"/>
              </w:rPr>
              <w:t>Units of</w:t>
            </w:r>
          </w:p>
        </w:tc>
        <w:tc>
          <w:tcPr>
            <w:tcW w:w="0" w:type="dxa"/>
            <w:vAlign w:val="bottom"/>
          </w:tcPr>
          <w:p>
            <w:pPr>
              <w:spacing w:after="0"/>
              <w:rPr>
                <w:sz w:val="1"/>
                <w:szCs w:val="1"/>
                <w:color w:val="auto"/>
              </w:rPr>
            </w:pPr>
          </w:p>
        </w:tc>
      </w:tr>
      <w:tr>
        <w:trPr>
          <w:trHeight w:val="162"/>
        </w:trPr>
        <w:tc>
          <w:tcPr>
            <w:tcW w:w="100" w:type="dxa"/>
            <w:vAlign w:val="bottom"/>
            <w:shd w:val="clear" w:color="auto" w:fill="0071CE"/>
          </w:tcPr>
          <w:p>
            <w:pPr>
              <w:spacing w:after="0"/>
              <w:rPr>
                <w:sz w:val="14"/>
                <w:szCs w:val="14"/>
                <w:color w:val="auto"/>
              </w:rPr>
            </w:pPr>
          </w:p>
        </w:tc>
        <w:tc>
          <w:tcPr>
            <w:tcW w:w="2520" w:type="dxa"/>
            <w:vAlign w:val="bottom"/>
            <w:shd w:val="clear" w:color="auto" w:fill="0071CE"/>
          </w:tcPr>
          <w:p>
            <w:pPr>
              <w:spacing w:after="0"/>
              <w:rPr>
                <w:sz w:val="14"/>
                <w:szCs w:val="14"/>
                <w:color w:val="auto"/>
              </w:rPr>
            </w:pPr>
          </w:p>
        </w:tc>
        <w:tc>
          <w:tcPr>
            <w:tcW w:w="1480" w:type="dxa"/>
            <w:vAlign w:val="bottom"/>
            <w:shd w:val="clear" w:color="auto" w:fill="0071CE"/>
          </w:tcPr>
          <w:p>
            <w:pPr>
              <w:spacing w:after="0"/>
              <w:rPr>
                <w:sz w:val="14"/>
                <w:szCs w:val="14"/>
                <w:color w:val="auto"/>
              </w:rPr>
            </w:pPr>
          </w:p>
        </w:tc>
        <w:tc>
          <w:tcPr>
            <w:tcW w:w="100" w:type="dxa"/>
            <w:vAlign w:val="bottom"/>
            <w:shd w:val="clear" w:color="auto" w:fill="0071CE"/>
          </w:tcPr>
          <w:p>
            <w:pPr>
              <w:spacing w:after="0"/>
              <w:rPr>
                <w:sz w:val="14"/>
                <w:szCs w:val="14"/>
                <w:color w:val="auto"/>
              </w:rPr>
            </w:pPr>
          </w:p>
        </w:tc>
        <w:tc>
          <w:tcPr>
            <w:tcW w:w="14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Shares or</w:t>
            </w:r>
          </w:p>
        </w:tc>
        <w:tc>
          <w:tcPr>
            <w:tcW w:w="100" w:type="dxa"/>
            <w:vAlign w:val="bottom"/>
            <w:shd w:val="clear" w:color="auto" w:fill="0071CE"/>
          </w:tcPr>
          <w:p>
            <w:pPr>
              <w:spacing w:after="0"/>
              <w:rPr>
                <w:sz w:val="14"/>
                <w:szCs w:val="14"/>
                <w:color w:val="auto"/>
              </w:rPr>
            </w:pPr>
          </w:p>
        </w:tc>
        <w:tc>
          <w:tcPr>
            <w:tcW w:w="14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Units of</w:t>
            </w:r>
          </w:p>
        </w:tc>
        <w:tc>
          <w:tcPr>
            <w:tcW w:w="100" w:type="dxa"/>
            <w:vAlign w:val="bottom"/>
            <w:shd w:val="clear" w:color="auto" w:fill="0071CE"/>
          </w:tcPr>
          <w:p>
            <w:pPr>
              <w:spacing w:after="0"/>
              <w:rPr>
                <w:sz w:val="14"/>
                <w:szCs w:val="14"/>
                <w:color w:val="auto"/>
              </w:rPr>
            </w:pPr>
          </w:p>
        </w:tc>
        <w:tc>
          <w:tcPr>
            <w:tcW w:w="2280" w:type="dxa"/>
            <w:vAlign w:val="bottom"/>
            <w:shd w:val="clear" w:color="auto" w:fill="0071CE"/>
          </w:tcPr>
          <w:p>
            <w:pPr>
              <w:jc w:val="center"/>
              <w:ind w:right="364"/>
              <w:spacing w:after="0" w:line="162" w:lineRule="exact"/>
              <w:rPr>
                <w:sz w:val="20"/>
                <w:szCs w:val="20"/>
                <w:color w:val="auto"/>
              </w:rPr>
            </w:pPr>
            <w:r>
              <w:rPr>
                <w:rFonts w:ascii="Arial" w:cs="Arial" w:eastAsia="Arial" w:hAnsi="Arial"/>
                <w:sz w:val="16"/>
                <w:szCs w:val="16"/>
                <w:b w:val="1"/>
                <w:bCs w:val="1"/>
                <w:color w:val="FFFFFF"/>
              </w:rPr>
              <w:t>Stock</w:t>
            </w:r>
          </w:p>
        </w:tc>
        <w:tc>
          <w:tcPr>
            <w:tcW w:w="1580" w:type="dxa"/>
            <w:vAlign w:val="bottom"/>
            <w:shd w:val="clear" w:color="auto" w:fill="0071CE"/>
          </w:tcPr>
          <w:p>
            <w:pPr>
              <w:jc w:val="center"/>
              <w:ind w:right="184"/>
              <w:spacing w:after="0" w:line="162" w:lineRule="exact"/>
              <w:rPr>
                <w:sz w:val="20"/>
                <w:szCs w:val="20"/>
                <w:color w:val="auto"/>
              </w:rPr>
            </w:pPr>
            <w:r>
              <w:rPr>
                <w:rFonts w:ascii="Arial" w:cs="Arial" w:eastAsia="Arial" w:hAnsi="Arial"/>
                <w:sz w:val="16"/>
                <w:szCs w:val="16"/>
                <w:b w:val="1"/>
                <w:bCs w:val="1"/>
                <w:color w:val="FFFFFF"/>
              </w:rPr>
              <w:t>Stock</w:t>
            </w:r>
          </w:p>
        </w:tc>
        <w:tc>
          <w:tcPr>
            <w:tcW w:w="0" w:type="dxa"/>
            <w:vAlign w:val="bottom"/>
          </w:tcPr>
          <w:p>
            <w:pPr>
              <w:spacing w:after="0"/>
              <w:rPr>
                <w:sz w:val="1"/>
                <w:szCs w:val="1"/>
                <w:color w:val="auto"/>
              </w:rPr>
            </w:pPr>
          </w:p>
        </w:tc>
      </w:tr>
      <w:tr>
        <w:trPr>
          <w:trHeight w:val="162"/>
        </w:trPr>
        <w:tc>
          <w:tcPr>
            <w:tcW w:w="100" w:type="dxa"/>
            <w:vAlign w:val="bottom"/>
            <w:shd w:val="clear" w:color="auto" w:fill="0071CE"/>
          </w:tcPr>
          <w:p>
            <w:pPr>
              <w:spacing w:after="0"/>
              <w:rPr>
                <w:sz w:val="14"/>
                <w:szCs w:val="14"/>
                <w:color w:val="auto"/>
              </w:rPr>
            </w:pPr>
          </w:p>
        </w:tc>
        <w:tc>
          <w:tcPr>
            <w:tcW w:w="2520" w:type="dxa"/>
            <w:vAlign w:val="bottom"/>
            <w:shd w:val="clear" w:color="auto" w:fill="0071CE"/>
          </w:tcPr>
          <w:p>
            <w:pPr>
              <w:spacing w:after="0"/>
              <w:rPr>
                <w:sz w:val="14"/>
                <w:szCs w:val="14"/>
                <w:color w:val="auto"/>
              </w:rPr>
            </w:pPr>
          </w:p>
        </w:tc>
        <w:tc>
          <w:tcPr>
            <w:tcW w:w="1480" w:type="dxa"/>
            <w:vAlign w:val="bottom"/>
            <w:shd w:val="clear" w:color="auto" w:fill="0071CE"/>
          </w:tcPr>
          <w:p>
            <w:pPr>
              <w:spacing w:after="0"/>
              <w:rPr>
                <w:sz w:val="14"/>
                <w:szCs w:val="14"/>
                <w:color w:val="auto"/>
              </w:rPr>
            </w:pPr>
          </w:p>
        </w:tc>
        <w:tc>
          <w:tcPr>
            <w:tcW w:w="100" w:type="dxa"/>
            <w:vAlign w:val="bottom"/>
            <w:shd w:val="clear" w:color="auto" w:fill="0071CE"/>
          </w:tcPr>
          <w:p>
            <w:pPr>
              <w:spacing w:after="0"/>
              <w:rPr>
                <w:sz w:val="14"/>
                <w:szCs w:val="14"/>
                <w:color w:val="auto"/>
              </w:rPr>
            </w:pPr>
          </w:p>
        </w:tc>
        <w:tc>
          <w:tcPr>
            <w:tcW w:w="14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Units of</w:t>
            </w:r>
          </w:p>
        </w:tc>
        <w:tc>
          <w:tcPr>
            <w:tcW w:w="100" w:type="dxa"/>
            <w:vAlign w:val="bottom"/>
            <w:shd w:val="clear" w:color="auto" w:fill="0071CE"/>
          </w:tcPr>
          <w:p>
            <w:pPr>
              <w:spacing w:after="0"/>
              <w:rPr>
                <w:sz w:val="14"/>
                <w:szCs w:val="14"/>
                <w:color w:val="auto"/>
              </w:rPr>
            </w:pPr>
          </w:p>
        </w:tc>
        <w:tc>
          <w:tcPr>
            <w:tcW w:w="1480" w:type="dxa"/>
            <w:vAlign w:val="bottom"/>
            <w:shd w:val="clear" w:color="auto" w:fill="0071CE"/>
          </w:tcPr>
          <w:p>
            <w:pPr>
              <w:jc w:val="center"/>
              <w:spacing w:after="0"/>
              <w:rPr>
                <w:sz w:val="20"/>
                <w:szCs w:val="20"/>
                <w:color w:val="auto"/>
              </w:rPr>
            </w:pPr>
            <w:r>
              <w:rPr>
                <w:rFonts w:ascii="Arial" w:cs="Arial" w:eastAsia="Arial" w:hAnsi="Arial"/>
                <w:sz w:val="14"/>
                <w:szCs w:val="14"/>
                <w:b w:val="1"/>
                <w:bCs w:val="1"/>
                <w:color w:val="FFFFFF"/>
              </w:rPr>
              <w:t>Stock</w:t>
            </w:r>
          </w:p>
        </w:tc>
        <w:tc>
          <w:tcPr>
            <w:tcW w:w="100" w:type="dxa"/>
            <w:vAlign w:val="bottom"/>
            <w:shd w:val="clear" w:color="auto" w:fill="0071CE"/>
          </w:tcPr>
          <w:p>
            <w:pPr>
              <w:spacing w:after="0"/>
              <w:rPr>
                <w:sz w:val="14"/>
                <w:szCs w:val="14"/>
                <w:color w:val="auto"/>
              </w:rPr>
            </w:pPr>
          </w:p>
        </w:tc>
        <w:tc>
          <w:tcPr>
            <w:tcW w:w="2280" w:type="dxa"/>
            <w:vAlign w:val="bottom"/>
            <w:shd w:val="clear" w:color="auto" w:fill="0071CE"/>
          </w:tcPr>
          <w:p>
            <w:pPr>
              <w:jc w:val="center"/>
              <w:ind w:right="384"/>
              <w:spacing w:after="0" w:line="162" w:lineRule="exact"/>
              <w:rPr>
                <w:sz w:val="20"/>
                <w:szCs w:val="20"/>
                <w:color w:val="auto"/>
              </w:rPr>
            </w:pPr>
            <w:r>
              <w:rPr>
                <w:rFonts w:ascii="Arial" w:cs="Arial" w:eastAsia="Arial" w:hAnsi="Arial"/>
                <w:sz w:val="16"/>
                <w:szCs w:val="16"/>
                <w:b w:val="1"/>
                <w:bCs w:val="1"/>
                <w:color w:val="FFFFFF"/>
              </w:rPr>
              <w:t>That</w:t>
            </w:r>
          </w:p>
        </w:tc>
        <w:tc>
          <w:tcPr>
            <w:tcW w:w="1580" w:type="dxa"/>
            <w:vAlign w:val="bottom"/>
            <w:shd w:val="clear" w:color="auto" w:fill="0071CE"/>
          </w:tcPr>
          <w:p>
            <w:pPr>
              <w:jc w:val="center"/>
              <w:ind w:right="164"/>
              <w:spacing w:after="0" w:line="162" w:lineRule="exact"/>
              <w:rPr>
                <w:sz w:val="20"/>
                <w:szCs w:val="20"/>
                <w:color w:val="auto"/>
              </w:rPr>
            </w:pPr>
            <w:r>
              <w:rPr>
                <w:rFonts w:ascii="Arial" w:cs="Arial" w:eastAsia="Arial" w:hAnsi="Arial"/>
                <w:sz w:val="16"/>
                <w:szCs w:val="16"/>
                <w:b w:val="1"/>
                <w:bCs w:val="1"/>
                <w:color w:val="FFFFFF"/>
              </w:rPr>
              <w:t>That</w:t>
            </w:r>
          </w:p>
        </w:tc>
        <w:tc>
          <w:tcPr>
            <w:tcW w:w="0" w:type="dxa"/>
            <w:vAlign w:val="bottom"/>
          </w:tcPr>
          <w:p>
            <w:pPr>
              <w:spacing w:after="0"/>
              <w:rPr>
                <w:sz w:val="1"/>
                <w:szCs w:val="1"/>
                <w:color w:val="auto"/>
              </w:rPr>
            </w:pPr>
          </w:p>
        </w:tc>
      </w:tr>
      <w:tr>
        <w:trPr>
          <w:trHeight w:val="94"/>
        </w:trPr>
        <w:tc>
          <w:tcPr>
            <w:tcW w:w="100" w:type="dxa"/>
            <w:vAlign w:val="bottom"/>
            <w:shd w:val="clear" w:color="auto" w:fill="0071CE"/>
          </w:tcPr>
          <w:p>
            <w:pPr>
              <w:spacing w:after="0"/>
              <w:rPr>
                <w:sz w:val="8"/>
                <w:szCs w:val="8"/>
                <w:color w:val="auto"/>
              </w:rPr>
            </w:pPr>
          </w:p>
        </w:tc>
        <w:tc>
          <w:tcPr>
            <w:tcW w:w="2520" w:type="dxa"/>
            <w:vAlign w:val="bottom"/>
            <w:shd w:val="clear" w:color="auto" w:fill="0071CE"/>
          </w:tcPr>
          <w:p>
            <w:pPr>
              <w:spacing w:after="0"/>
              <w:rPr>
                <w:sz w:val="8"/>
                <w:szCs w:val="8"/>
                <w:color w:val="auto"/>
              </w:rPr>
            </w:pPr>
          </w:p>
        </w:tc>
        <w:tc>
          <w:tcPr>
            <w:tcW w:w="1480" w:type="dxa"/>
            <w:vAlign w:val="bottom"/>
            <w:shd w:val="clear" w:color="auto" w:fill="0071CE"/>
          </w:tcPr>
          <w:p>
            <w:pPr>
              <w:spacing w:after="0"/>
              <w:rPr>
                <w:sz w:val="8"/>
                <w:szCs w:val="8"/>
                <w:color w:val="auto"/>
              </w:rPr>
            </w:pPr>
          </w:p>
        </w:tc>
        <w:tc>
          <w:tcPr>
            <w:tcW w:w="100" w:type="dxa"/>
            <w:vAlign w:val="bottom"/>
            <w:shd w:val="clear" w:color="auto" w:fill="0071CE"/>
          </w:tcPr>
          <w:p>
            <w:pPr>
              <w:spacing w:after="0"/>
              <w:rPr>
                <w:sz w:val="8"/>
                <w:szCs w:val="8"/>
                <w:color w:val="auto"/>
              </w:rPr>
            </w:pPr>
          </w:p>
        </w:tc>
        <w:tc>
          <w:tcPr>
            <w:tcW w:w="1480" w:type="dxa"/>
            <w:vAlign w:val="bottom"/>
            <w:shd w:val="clear" w:color="auto" w:fill="0071CE"/>
          </w:tcPr>
          <w:p>
            <w:pPr>
              <w:jc w:val="center"/>
              <w:spacing w:after="0" w:line="95" w:lineRule="exact"/>
              <w:rPr>
                <w:sz w:val="20"/>
                <w:szCs w:val="20"/>
                <w:color w:val="auto"/>
              </w:rPr>
            </w:pPr>
            <w:r>
              <w:rPr>
                <w:rFonts w:ascii="Arial" w:cs="Arial" w:eastAsia="Arial" w:hAnsi="Arial"/>
                <w:sz w:val="10"/>
                <w:szCs w:val="10"/>
                <w:b w:val="1"/>
                <w:bCs w:val="1"/>
                <w:color w:val="FFFFFF"/>
              </w:rPr>
              <w:t>Stock</w:t>
            </w:r>
          </w:p>
        </w:tc>
        <w:tc>
          <w:tcPr>
            <w:tcW w:w="100" w:type="dxa"/>
            <w:vAlign w:val="bottom"/>
            <w:shd w:val="clear" w:color="auto" w:fill="0071CE"/>
          </w:tcPr>
          <w:p>
            <w:pPr>
              <w:spacing w:after="0"/>
              <w:rPr>
                <w:sz w:val="8"/>
                <w:szCs w:val="8"/>
                <w:color w:val="auto"/>
              </w:rPr>
            </w:pPr>
          </w:p>
        </w:tc>
        <w:tc>
          <w:tcPr>
            <w:tcW w:w="1480" w:type="dxa"/>
            <w:vAlign w:val="bottom"/>
            <w:shd w:val="clear" w:color="auto" w:fill="0071CE"/>
          </w:tcPr>
          <w:p>
            <w:pPr>
              <w:jc w:val="center"/>
              <w:spacing w:after="0" w:line="95" w:lineRule="exact"/>
              <w:rPr>
                <w:sz w:val="20"/>
                <w:szCs w:val="20"/>
                <w:color w:val="auto"/>
              </w:rPr>
            </w:pPr>
            <w:r>
              <w:rPr>
                <w:rFonts w:ascii="Arial" w:cs="Arial" w:eastAsia="Arial" w:hAnsi="Arial"/>
                <w:sz w:val="10"/>
                <w:szCs w:val="10"/>
                <w:b w:val="1"/>
                <w:bCs w:val="1"/>
                <w:color w:val="FFFFFF"/>
              </w:rPr>
              <w:t>That</w:t>
            </w:r>
          </w:p>
        </w:tc>
        <w:tc>
          <w:tcPr>
            <w:tcW w:w="100" w:type="dxa"/>
            <w:vAlign w:val="bottom"/>
            <w:shd w:val="clear" w:color="auto" w:fill="0071CE"/>
          </w:tcPr>
          <w:p>
            <w:pPr>
              <w:spacing w:after="0"/>
              <w:rPr>
                <w:sz w:val="8"/>
                <w:szCs w:val="8"/>
                <w:color w:val="auto"/>
              </w:rPr>
            </w:pPr>
          </w:p>
        </w:tc>
        <w:tc>
          <w:tcPr>
            <w:tcW w:w="2280" w:type="dxa"/>
            <w:vAlign w:val="bottom"/>
            <w:vMerge w:val="restart"/>
            <w:shd w:val="clear" w:color="auto" w:fill="0071CE"/>
          </w:tcPr>
          <w:p>
            <w:pPr>
              <w:jc w:val="center"/>
              <w:ind w:right="364"/>
              <w:spacing w:after="0" w:line="162" w:lineRule="exact"/>
              <w:rPr>
                <w:sz w:val="20"/>
                <w:szCs w:val="20"/>
                <w:color w:val="auto"/>
              </w:rPr>
            </w:pPr>
            <w:r>
              <w:rPr>
                <w:rFonts w:ascii="Arial" w:cs="Arial" w:eastAsia="Arial" w:hAnsi="Arial"/>
                <w:sz w:val="16"/>
                <w:szCs w:val="16"/>
                <w:b w:val="1"/>
                <w:bCs w:val="1"/>
                <w:color w:val="FFFFFF"/>
              </w:rPr>
              <w:t>Have</w:t>
            </w:r>
          </w:p>
        </w:tc>
        <w:tc>
          <w:tcPr>
            <w:tcW w:w="1580" w:type="dxa"/>
            <w:vAlign w:val="bottom"/>
            <w:vMerge w:val="restart"/>
            <w:shd w:val="clear" w:color="auto" w:fill="0071CE"/>
          </w:tcPr>
          <w:p>
            <w:pPr>
              <w:jc w:val="center"/>
              <w:ind w:right="184"/>
              <w:spacing w:after="0" w:line="162" w:lineRule="exact"/>
              <w:rPr>
                <w:sz w:val="20"/>
                <w:szCs w:val="20"/>
                <w:color w:val="auto"/>
              </w:rPr>
            </w:pPr>
            <w:r>
              <w:rPr>
                <w:rFonts w:ascii="Arial" w:cs="Arial" w:eastAsia="Arial" w:hAnsi="Arial"/>
                <w:sz w:val="16"/>
                <w:szCs w:val="16"/>
                <w:b w:val="1"/>
                <w:bCs w:val="1"/>
                <w:color w:val="FFFFFF"/>
              </w:rPr>
              <w:t>Have</w:t>
            </w:r>
          </w:p>
        </w:tc>
        <w:tc>
          <w:tcPr>
            <w:tcW w:w="0" w:type="dxa"/>
            <w:vAlign w:val="bottom"/>
          </w:tcPr>
          <w:p>
            <w:pPr>
              <w:spacing w:after="0"/>
              <w:rPr>
                <w:sz w:val="1"/>
                <w:szCs w:val="1"/>
                <w:color w:val="auto"/>
              </w:rPr>
            </w:pPr>
          </w:p>
        </w:tc>
      </w:tr>
      <w:tr>
        <w:trPr>
          <w:trHeight w:val="68"/>
        </w:trPr>
        <w:tc>
          <w:tcPr>
            <w:tcW w:w="100" w:type="dxa"/>
            <w:vAlign w:val="bottom"/>
            <w:shd w:val="clear" w:color="auto" w:fill="0071CE"/>
          </w:tcPr>
          <w:p>
            <w:pPr>
              <w:spacing w:after="0"/>
              <w:rPr>
                <w:sz w:val="5"/>
                <w:szCs w:val="5"/>
                <w:color w:val="auto"/>
              </w:rPr>
            </w:pPr>
          </w:p>
        </w:tc>
        <w:tc>
          <w:tcPr>
            <w:tcW w:w="2520" w:type="dxa"/>
            <w:vAlign w:val="bottom"/>
            <w:shd w:val="clear" w:color="auto" w:fill="0071CE"/>
          </w:tcPr>
          <w:p>
            <w:pPr>
              <w:spacing w:after="0"/>
              <w:rPr>
                <w:sz w:val="5"/>
                <w:szCs w:val="5"/>
                <w:color w:val="auto"/>
              </w:rPr>
            </w:pPr>
          </w:p>
        </w:tc>
        <w:tc>
          <w:tcPr>
            <w:tcW w:w="1480" w:type="dxa"/>
            <w:vAlign w:val="bottom"/>
            <w:shd w:val="clear" w:color="auto" w:fill="0071CE"/>
          </w:tcPr>
          <w:p>
            <w:pPr>
              <w:spacing w:after="0"/>
              <w:rPr>
                <w:sz w:val="5"/>
                <w:szCs w:val="5"/>
                <w:color w:val="auto"/>
              </w:rPr>
            </w:pPr>
          </w:p>
        </w:tc>
        <w:tc>
          <w:tcPr>
            <w:tcW w:w="100" w:type="dxa"/>
            <w:vAlign w:val="bottom"/>
            <w:shd w:val="clear" w:color="auto" w:fill="0071CE"/>
          </w:tcPr>
          <w:p>
            <w:pPr>
              <w:spacing w:after="0"/>
              <w:rPr>
                <w:sz w:val="5"/>
                <w:szCs w:val="5"/>
                <w:color w:val="auto"/>
              </w:rPr>
            </w:pPr>
          </w:p>
        </w:tc>
        <w:tc>
          <w:tcPr>
            <w:tcW w:w="1480" w:type="dxa"/>
            <w:vAlign w:val="bottom"/>
            <w:vMerge w:val="restart"/>
            <w:shd w:val="clear" w:color="auto" w:fill="0071CE"/>
          </w:tcPr>
          <w:p>
            <w:pPr>
              <w:jc w:val="center"/>
              <w:spacing w:after="0" w:line="139" w:lineRule="exact"/>
              <w:rPr>
                <w:sz w:val="20"/>
                <w:szCs w:val="20"/>
                <w:color w:val="auto"/>
              </w:rPr>
            </w:pPr>
            <w:r>
              <w:rPr>
                <w:rFonts w:ascii="Arial" w:cs="Arial" w:eastAsia="Arial" w:hAnsi="Arial"/>
                <w:sz w:val="14"/>
                <w:szCs w:val="14"/>
                <w:b w:val="1"/>
                <w:bCs w:val="1"/>
                <w:color w:val="FFFFFF"/>
              </w:rPr>
              <w:t>That</w:t>
            </w:r>
          </w:p>
        </w:tc>
        <w:tc>
          <w:tcPr>
            <w:tcW w:w="100" w:type="dxa"/>
            <w:vAlign w:val="bottom"/>
            <w:shd w:val="clear" w:color="auto" w:fill="0071CE"/>
          </w:tcPr>
          <w:p>
            <w:pPr>
              <w:spacing w:after="0"/>
              <w:rPr>
                <w:sz w:val="5"/>
                <w:szCs w:val="5"/>
                <w:color w:val="auto"/>
              </w:rPr>
            </w:pPr>
          </w:p>
        </w:tc>
        <w:tc>
          <w:tcPr>
            <w:tcW w:w="1480" w:type="dxa"/>
            <w:vAlign w:val="bottom"/>
            <w:vMerge w:val="restart"/>
            <w:shd w:val="clear" w:color="auto" w:fill="0071CE"/>
          </w:tcPr>
          <w:p>
            <w:pPr>
              <w:jc w:val="center"/>
              <w:spacing w:after="0" w:line="139" w:lineRule="exact"/>
              <w:rPr>
                <w:sz w:val="20"/>
                <w:szCs w:val="20"/>
                <w:color w:val="auto"/>
              </w:rPr>
            </w:pPr>
            <w:r>
              <w:rPr>
                <w:rFonts w:ascii="Arial" w:cs="Arial" w:eastAsia="Arial" w:hAnsi="Arial"/>
                <w:sz w:val="14"/>
                <w:szCs w:val="14"/>
                <w:b w:val="1"/>
                <w:bCs w:val="1"/>
                <w:color w:val="FFFFFF"/>
              </w:rPr>
              <w:t>Have</w:t>
            </w:r>
          </w:p>
        </w:tc>
        <w:tc>
          <w:tcPr>
            <w:tcW w:w="100" w:type="dxa"/>
            <w:vAlign w:val="bottom"/>
            <w:shd w:val="clear" w:color="auto" w:fill="0071CE"/>
          </w:tcPr>
          <w:p>
            <w:pPr>
              <w:spacing w:after="0"/>
              <w:rPr>
                <w:sz w:val="5"/>
                <w:szCs w:val="5"/>
                <w:color w:val="auto"/>
              </w:rPr>
            </w:pPr>
          </w:p>
        </w:tc>
        <w:tc>
          <w:tcPr>
            <w:tcW w:w="2280" w:type="dxa"/>
            <w:vAlign w:val="bottom"/>
            <w:vMerge w:val="continue"/>
            <w:shd w:val="clear" w:color="auto" w:fill="0071CE"/>
          </w:tcPr>
          <w:p>
            <w:pPr>
              <w:spacing w:after="0"/>
              <w:rPr>
                <w:sz w:val="5"/>
                <w:szCs w:val="5"/>
                <w:color w:val="auto"/>
              </w:rPr>
            </w:pPr>
          </w:p>
        </w:tc>
        <w:tc>
          <w:tcPr>
            <w:tcW w:w="1580" w:type="dxa"/>
            <w:vAlign w:val="bottom"/>
            <w:vMerge w:val="continue"/>
            <w:shd w:val="clear" w:color="auto" w:fill="0071C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100" w:type="dxa"/>
            <w:vAlign w:val="bottom"/>
            <w:shd w:val="clear" w:color="auto" w:fill="0071CE"/>
          </w:tcPr>
          <w:p>
            <w:pPr>
              <w:spacing w:after="0"/>
              <w:rPr>
                <w:sz w:val="6"/>
                <w:szCs w:val="6"/>
                <w:color w:val="auto"/>
              </w:rPr>
            </w:pPr>
          </w:p>
        </w:tc>
        <w:tc>
          <w:tcPr>
            <w:tcW w:w="2520" w:type="dxa"/>
            <w:vAlign w:val="bottom"/>
            <w:shd w:val="clear" w:color="auto" w:fill="0071CE"/>
          </w:tcPr>
          <w:p>
            <w:pPr>
              <w:spacing w:after="0"/>
              <w:rPr>
                <w:sz w:val="6"/>
                <w:szCs w:val="6"/>
                <w:color w:val="auto"/>
              </w:rPr>
            </w:pPr>
          </w:p>
        </w:tc>
        <w:tc>
          <w:tcPr>
            <w:tcW w:w="1480" w:type="dxa"/>
            <w:vAlign w:val="bottom"/>
            <w:shd w:val="clear" w:color="auto" w:fill="0071CE"/>
          </w:tcPr>
          <w:p>
            <w:pPr>
              <w:spacing w:after="0"/>
              <w:rPr>
                <w:sz w:val="6"/>
                <w:szCs w:val="6"/>
                <w:color w:val="auto"/>
              </w:rPr>
            </w:pPr>
          </w:p>
        </w:tc>
        <w:tc>
          <w:tcPr>
            <w:tcW w:w="100" w:type="dxa"/>
            <w:vAlign w:val="bottom"/>
            <w:shd w:val="clear" w:color="auto" w:fill="0071CE"/>
          </w:tcPr>
          <w:p>
            <w:pPr>
              <w:spacing w:after="0"/>
              <w:rPr>
                <w:sz w:val="6"/>
                <w:szCs w:val="6"/>
                <w:color w:val="auto"/>
              </w:rPr>
            </w:pPr>
          </w:p>
        </w:tc>
        <w:tc>
          <w:tcPr>
            <w:tcW w:w="1480" w:type="dxa"/>
            <w:vAlign w:val="bottom"/>
            <w:vMerge w:val="continue"/>
            <w:shd w:val="clear" w:color="auto" w:fill="0071CE"/>
          </w:tcPr>
          <w:p>
            <w:pPr>
              <w:spacing w:after="0"/>
              <w:rPr>
                <w:sz w:val="6"/>
                <w:szCs w:val="6"/>
                <w:color w:val="auto"/>
              </w:rPr>
            </w:pPr>
          </w:p>
        </w:tc>
        <w:tc>
          <w:tcPr>
            <w:tcW w:w="100" w:type="dxa"/>
            <w:vAlign w:val="bottom"/>
            <w:shd w:val="clear" w:color="auto" w:fill="0071CE"/>
          </w:tcPr>
          <w:p>
            <w:pPr>
              <w:spacing w:after="0"/>
              <w:rPr>
                <w:sz w:val="6"/>
                <w:szCs w:val="6"/>
                <w:color w:val="auto"/>
              </w:rPr>
            </w:pPr>
          </w:p>
        </w:tc>
        <w:tc>
          <w:tcPr>
            <w:tcW w:w="1480" w:type="dxa"/>
            <w:vAlign w:val="bottom"/>
            <w:vMerge w:val="continue"/>
            <w:shd w:val="clear" w:color="auto" w:fill="0071CE"/>
          </w:tcPr>
          <w:p>
            <w:pPr>
              <w:spacing w:after="0"/>
              <w:rPr>
                <w:sz w:val="6"/>
                <w:szCs w:val="6"/>
                <w:color w:val="auto"/>
              </w:rPr>
            </w:pPr>
          </w:p>
        </w:tc>
        <w:tc>
          <w:tcPr>
            <w:tcW w:w="100" w:type="dxa"/>
            <w:vAlign w:val="bottom"/>
            <w:shd w:val="clear" w:color="auto" w:fill="0071CE"/>
          </w:tcPr>
          <w:p>
            <w:pPr>
              <w:spacing w:after="0"/>
              <w:rPr>
                <w:sz w:val="6"/>
                <w:szCs w:val="6"/>
                <w:color w:val="auto"/>
              </w:rPr>
            </w:pPr>
          </w:p>
        </w:tc>
        <w:tc>
          <w:tcPr>
            <w:tcW w:w="2280" w:type="dxa"/>
            <w:vAlign w:val="bottom"/>
            <w:vMerge w:val="restart"/>
            <w:shd w:val="clear" w:color="auto" w:fill="0071CE"/>
          </w:tcPr>
          <w:p>
            <w:pPr>
              <w:jc w:val="center"/>
              <w:ind w:right="364"/>
              <w:spacing w:after="0"/>
              <w:rPr>
                <w:sz w:val="20"/>
                <w:szCs w:val="20"/>
                <w:color w:val="auto"/>
              </w:rPr>
            </w:pPr>
            <w:r>
              <w:rPr>
                <w:rFonts w:ascii="Arial" w:cs="Arial" w:eastAsia="Arial" w:hAnsi="Arial"/>
                <w:sz w:val="16"/>
                <w:szCs w:val="16"/>
                <w:b w:val="1"/>
                <w:bCs w:val="1"/>
                <w:color w:val="FFFFFF"/>
              </w:rPr>
              <w:t>Not</w:t>
            </w:r>
          </w:p>
        </w:tc>
        <w:tc>
          <w:tcPr>
            <w:tcW w:w="1580" w:type="dxa"/>
            <w:vAlign w:val="bottom"/>
            <w:vMerge w:val="restart"/>
            <w:shd w:val="clear" w:color="auto" w:fill="0071CE"/>
          </w:tcPr>
          <w:p>
            <w:pPr>
              <w:jc w:val="center"/>
              <w:ind w:right="184"/>
              <w:spacing w:after="0"/>
              <w:rPr>
                <w:sz w:val="20"/>
                <w:szCs w:val="20"/>
                <w:color w:val="auto"/>
              </w:rPr>
            </w:pPr>
            <w:r>
              <w:rPr>
                <w:rFonts w:ascii="Arial" w:cs="Arial" w:eastAsia="Arial" w:hAnsi="Arial"/>
                <w:sz w:val="16"/>
                <w:szCs w:val="16"/>
                <w:b w:val="1"/>
                <w:bCs w:val="1"/>
                <w:color w:val="FFFFFF"/>
              </w:rPr>
              <w:t>Not</w:t>
            </w:r>
          </w:p>
        </w:tc>
        <w:tc>
          <w:tcPr>
            <w:tcW w:w="0" w:type="dxa"/>
            <w:vAlign w:val="bottom"/>
          </w:tcPr>
          <w:p>
            <w:pPr>
              <w:spacing w:after="0"/>
              <w:rPr>
                <w:sz w:val="1"/>
                <w:szCs w:val="1"/>
                <w:color w:val="auto"/>
              </w:rPr>
            </w:pPr>
          </w:p>
        </w:tc>
      </w:tr>
      <w:tr>
        <w:trPr>
          <w:trHeight w:val="144"/>
        </w:trPr>
        <w:tc>
          <w:tcPr>
            <w:tcW w:w="100" w:type="dxa"/>
            <w:vAlign w:val="bottom"/>
            <w:shd w:val="clear" w:color="auto" w:fill="0071CE"/>
          </w:tcPr>
          <w:p>
            <w:pPr>
              <w:spacing w:after="0"/>
              <w:rPr>
                <w:sz w:val="12"/>
                <w:szCs w:val="12"/>
                <w:color w:val="auto"/>
              </w:rPr>
            </w:pPr>
          </w:p>
        </w:tc>
        <w:tc>
          <w:tcPr>
            <w:tcW w:w="2520" w:type="dxa"/>
            <w:vAlign w:val="bottom"/>
            <w:shd w:val="clear" w:color="auto" w:fill="0071CE"/>
          </w:tcPr>
          <w:p>
            <w:pPr>
              <w:spacing w:after="0"/>
              <w:rPr>
                <w:sz w:val="12"/>
                <w:szCs w:val="12"/>
                <w:color w:val="auto"/>
              </w:rPr>
            </w:pPr>
          </w:p>
        </w:tc>
        <w:tc>
          <w:tcPr>
            <w:tcW w:w="1480" w:type="dxa"/>
            <w:vAlign w:val="bottom"/>
            <w:vMerge w:val="restart"/>
            <w:shd w:val="clear" w:color="auto" w:fill="0071CE"/>
          </w:tcPr>
          <w:p>
            <w:pPr>
              <w:jc w:val="right"/>
              <w:ind w:right="488"/>
              <w:spacing w:after="0"/>
              <w:rPr>
                <w:sz w:val="20"/>
                <w:szCs w:val="20"/>
                <w:color w:val="auto"/>
              </w:rPr>
            </w:pPr>
            <w:r>
              <w:rPr>
                <w:rFonts w:ascii="Arial" w:cs="Arial" w:eastAsia="Arial" w:hAnsi="Arial"/>
                <w:sz w:val="14"/>
                <w:szCs w:val="14"/>
                <w:b w:val="1"/>
                <w:bCs w:val="1"/>
                <w:color w:val="FFFFFF"/>
              </w:rPr>
              <w:t>Grant</w:t>
            </w:r>
          </w:p>
        </w:tc>
        <w:tc>
          <w:tcPr>
            <w:tcW w:w="100" w:type="dxa"/>
            <w:vAlign w:val="bottom"/>
            <w:shd w:val="clear" w:color="auto" w:fill="0071CE"/>
          </w:tcPr>
          <w:p>
            <w:pPr>
              <w:spacing w:after="0"/>
              <w:rPr>
                <w:sz w:val="12"/>
                <w:szCs w:val="12"/>
                <w:color w:val="auto"/>
              </w:rPr>
            </w:pPr>
          </w:p>
        </w:tc>
        <w:tc>
          <w:tcPr>
            <w:tcW w:w="1480" w:type="dxa"/>
            <w:vAlign w:val="bottom"/>
            <w:shd w:val="clear" w:color="auto" w:fill="0071CE"/>
          </w:tcPr>
          <w:p>
            <w:pPr>
              <w:jc w:val="center"/>
              <w:spacing w:after="0" w:line="145" w:lineRule="exact"/>
              <w:rPr>
                <w:sz w:val="20"/>
                <w:szCs w:val="20"/>
                <w:color w:val="auto"/>
              </w:rPr>
            </w:pPr>
            <w:r>
              <w:rPr>
                <w:rFonts w:ascii="Arial" w:cs="Arial" w:eastAsia="Arial" w:hAnsi="Arial"/>
                <w:sz w:val="14"/>
                <w:szCs w:val="14"/>
                <w:b w:val="1"/>
                <w:bCs w:val="1"/>
                <w:color w:val="FFFFFF"/>
              </w:rPr>
              <w:t>Have Not</w:t>
            </w:r>
          </w:p>
        </w:tc>
        <w:tc>
          <w:tcPr>
            <w:tcW w:w="100" w:type="dxa"/>
            <w:vAlign w:val="bottom"/>
            <w:shd w:val="clear" w:color="auto" w:fill="0071CE"/>
          </w:tcPr>
          <w:p>
            <w:pPr>
              <w:spacing w:after="0"/>
              <w:rPr>
                <w:sz w:val="12"/>
                <w:szCs w:val="12"/>
                <w:color w:val="auto"/>
              </w:rPr>
            </w:pPr>
          </w:p>
        </w:tc>
        <w:tc>
          <w:tcPr>
            <w:tcW w:w="1480" w:type="dxa"/>
            <w:vAlign w:val="bottom"/>
            <w:shd w:val="clear" w:color="auto" w:fill="0071CE"/>
          </w:tcPr>
          <w:p>
            <w:pPr>
              <w:jc w:val="center"/>
              <w:spacing w:after="0" w:line="145" w:lineRule="exact"/>
              <w:rPr>
                <w:sz w:val="20"/>
                <w:szCs w:val="20"/>
                <w:color w:val="auto"/>
              </w:rPr>
            </w:pPr>
            <w:r>
              <w:rPr>
                <w:rFonts w:ascii="Arial" w:cs="Arial" w:eastAsia="Arial" w:hAnsi="Arial"/>
                <w:sz w:val="14"/>
                <w:szCs w:val="14"/>
                <w:b w:val="1"/>
                <w:bCs w:val="1"/>
                <w:color w:val="FFFFFF"/>
              </w:rPr>
              <w:t>Not</w:t>
            </w:r>
          </w:p>
        </w:tc>
        <w:tc>
          <w:tcPr>
            <w:tcW w:w="100" w:type="dxa"/>
            <w:vAlign w:val="bottom"/>
            <w:shd w:val="clear" w:color="auto" w:fill="0071CE"/>
          </w:tcPr>
          <w:p>
            <w:pPr>
              <w:spacing w:after="0"/>
              <w:rPr>
                <w:sz w:val="12"/>
                <w:szCs w:val="12"/>
                <w:color w:val="auto"/>
              </w:rPr>
            </w:pPr>
          </w:p>
        </w:tc>
        <w:tc>
          <w:tcPr>
            <w:tcW w:w="2280" w:type="dxa"/>
            <w:vAlign w:val="bottom"/>
            <w:vMerge w:val="continue"/>
            <w:shd w:val="clear" w:color="auto" w:fill="0071CE"/>
          </w:tcPr>
          <w:p>
            <w:pPr>
              <w:spacing w:after="0"/>
              <w:rPr>
                <w:sz w:val="12"/>
                <w:szCs w:val="12"/>
                <w:color w:val="auto"/>
              </w:rPr>
            </w:pPr>
          </w:p>
        </w:tc>
        <w:tc>
          <w:tcPr>
            <w:tcW w:w="1580" w:type="dxa"/>
            <w:vAlign w:val="bottom"/>
            <w:vMerge w:val="continue"/>
            <w:shd w:val="clear" w:color="auto" w:fill="0071C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0071CE"/>
          </w:tcPr>
          <w:p>
            <w:pPr>
              <w:spacing w:after="0"/>
              <w:rPr>
                <w:sz w:val="12"/>
                <w:szCs w:val="12"/>
                <w:color w:val="auto"/>
              </w:rPr>
            </w:pPr>
          </w:p>
        </w:tc>
        <w:tc>
          <w:tcPr>
            <w:tcW w:w="2520" w:type="dxa"/>
            <w:vAlign w:val="bottom"/>
            <w:vMerge w:val="restart"/>
            <w:shd w:val="clear" w:color="auto" w:fill="0071CE"/>
          </w:tcPr>
          <w:p>
            <w:pPr>
              <w:ind w:left="20"/>
              <w:spacing w:after="0"/>
              <w:rPr>
                <w:sz w:val="20"/>
                <w:szCs w:val="20"/>
                <w:color w:val="auto"/>
              </w:rPr>
            </w:pPr>
            <w:r>
              <w:rPr>
                <w:rFonts w:ascii="Arial" w:cs="Arial" w:eastAsia="Arial" w:hAnsi="Arial"/>
                <w:sz w:val="14"/>
                <w:szCs w:val="14"/>
                <w:b w:val="1"/>
                <w:bCs w:val="1"/>
                <w:color w:val="FFFFFF"/>
              </w:rPr>
              <w:t>Name</w:t>
            </w:r>
          </w:p>
        </w:tc>
        <w:tc>
          <w:tcPr>
            <w:tcW w:w="1480" w:type="dxa"/>
            <w:vAlign w:val="bottom"/>
            <w:vMerge w:val="continue"/>
            <w:shd w:val="clear" w:color="auto" w:fill="0071CE"/>
          </w:tcPr>
          <w:p>
            <w:pPr>
              <w:spacing w:after="0"/>
              <w:rPr>
                <w:sz w:val="12"/>
                <w:szCs w:val="12"/>
                <w:color w:val="auto"/>
              </w:rPr>
            </w:pPr>
          </w:p>
        </w:tc>
        <w:tc>
          <w:tcPr>
            <w:tcW w:w="100" w:type="dxa"/>
            <w:vAlign w:val="bottom"/>
            <w:shd w:val="clear" w:color="auto" w:fill="0071CE"/>
          </w:tcPr>
          <w:p>
            <w:pPr>
              <w:spacing w:after="0"/>
              <w:rPr>
                <w:sz w:val="12"/>
                <w:szCs w:val="12"/>
                <w:color w:val="auto"/>
              </w:rPr>
            </w:pPr>
          </w:p>
        </w:tc>
        <w:tc>
          <w:tcPr>
            <w:tcW w:w="148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Vested</w:t>
            </w:r>
          </w:p>
        </w:tc>
        <w:tc>
          <w:tcPr>
            <w:tcW w:w="100" w:type="dxa"/>
            <w:vAlign w:val="bottom"/>
            <w:shd w:val="clear" w:color="auto" w:fill="0071CE"/>
          </w:tcPr>
          <w:p>
            <w:pPr>
              <w:spacing w:after="0"/>
              <w:rPr>
                <w:sz w:val="12"/>
                <w:szCs w:val="12"/>
                <w:color w:val="auto"/>
              </w:rPr>
            </w:pPr>
          </w:p>
        </w:tc>
        <w:tc>
          <w:tcPr>
            <w:tcW w:w="148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Vested</w:t>
            </w:r>
          </w:p>
        </w:tc>
        <w:tc>
          <w:tcPr>
            <w:tcW w:w="100" w:type="dxa"/>
            <w:vAlign w:val="bottom"/>
            <w:shd w:val="clear" w:color="auto" w:fill="0071CE"/>
          </w:tcPr>
          <w:p>
            <w:pPr>
              <w:spacing w:after="0"/>
              <w:rPr>
                <w:sz w:val="12"/>
                <w:szCs w:val="12"/>
                <w:color w:val="auto"/>
              </w:rPr>
            </w:pPr>
          </w:p>
        </w:tc>
        <w:tc>
          <w:tcPr>
            <w:tcW w:w="2280" w:type="dxa"/>
            <w:vAlign w:val="bottom"/>
            <w:shd w:val="clear" w:color="auto" w:fill="0071CE"/>
          </w:tcPr>
          <w:p>
            <w:pPr>
              <w:jc w:val="center"/>
              <w:ind w:right="364"/>
              <w:spacing w:after="0" w:line="148" w:lineRule="exact"/>
              <w:rPr>
                <w:sz w:val="20"/>
                <w:szCs w:val="20"/>
                <w:color w:val="auto"/>
              </w:rPr>
            </w:pPr>
            <w:r>
              <w:rPr>
                <w:rFonts w:ascii="Arial" w:cs="Arial" w:eastAsia="Arial" w:hAnsi="Arial"/>
                <w:sz w:val="16"/>
                <w:szCs w:val="16"/>
                <w:b w:val="1"/>
                <w:bCs w:val="1"/>
                <w:color w:val="FFFFFF"/>
                <w:w w:val="99"/>
              </w:rPr>
              <w:t>Vested</w:t>
            </w:r>
          </w:p>
        </w:tc>
        <w:tc>
          <w:tcPr>
            <w:tcW w:w="1580" w:type="dxa"/>
            <w:vAlign w:val="bottom"/>
            <w:shd w:val="clear" w:color="auto" w:fill="0071CE"/>
          </w:tcPr>
          <w:p>
            <w:pPr>
              <w:jc w:val="center"/>
              <w:ind w:right="184"/>
              <w:spacing w:after="0" w:line="148" w:lineRule="exact"/>
              <w:rPr>
                <w:sz w:val="20"/>
                <w:szCs w:val="20"/>
                <w:color w:val="auto"/>
              </w:rPr>
            </w:pPr>
            <w:r>
              <w:rPr>
                <w:rFonts w:ascii="Arial" w:cs="Arial" w:eastAsia="Arial" w:hAnsi="Arial"/>
                <w:sz w:val="16"/>
                <w:szCs w:val="16"/>
                <w:b w:val="1"/>
                <w:bCs w:val="1"/>
                <w:color w:val="FFFFFF"/>
                <w:w w:val="99"/>
              </w:rPr>
              <w:t>Vested</w:t>
            </w:r>
          </w:p>
        </w:tc>
        <w:tc>
          <w:tcPr>
            <w:tcW w:w="0" w:type="dxa"/>
            <w:vAlign w:val="bottom"/>
          </w:tcPr>
          <w:p>
            <w:pPr>
              <w:spacing w:after="0"/>
              <w:rPr>
                <w:sz w:val="1"/>
                <w:szCs w:val="1"/>
                <w:color w:val="auto"/>
              </w:rPr>
            </w:pPr>
          </w:p>
        </w:tc>
      </w:tr>
      <w:tr>
        <w:trPr>
          <w:trHeight w:val="203"/>
        </w:trPr>
        <w:tc>
          <w:tcPr>
            <w:tcW w:w="100" w:type="dxa"/>
            <w:vAlign w:val="bottom"/>
            <w:shd w:val="clear" w:color="auto" w:fill="0071CE"/>
          </w:tcPr>
          <w:p>
            <w:pPr>
              <w:spacing w:after="0"/>
              <w:rPr>
                <w:sz w:val="17"/>
                <w:szCs w:val="17"/>
                <w:color w:val="auto"/>
              </w:rPr>
            </w:pPr>
          </w:p>
        </w:tc>
        <w:tc>
          <w:tcPr>
            <w:tcW w:w="2520" w:type="dxa"/>
            <w:vAlign w:val="bottom"/>
            <w:vMerge w:val="continue"/>
            <w:shd w:val="clear" w:color="auto" w:fill="0071CE"/>
          </w:tcPr>
          <w:p>
            <w:pPr>
              <w:spacing w:after="0"/>
              <w:rPr>
                <w:sz w:val="17"/>
                <w:szCs w:val="17"/>
                <w:color w:val="auto"/>
              </w:rPr>
            </w:pPr>
          </w:p>
        </w:tc>
        <w:tc>
          <w:tcPr>
            <w:tcW w:w="1480" w:type="dxa"/>
            <w:vAlign w:val="bottom"/>
            <w:shd w:val="clear" w:color="auto" w:fill="0071CE"/>
          </w:tcPr>
          <w:p>
            <w:pPr>
              <w:jc w:val="right"/>
              <w:ind w:right="508"/>
              <w:spacing w:after="0"/>
              <w:rPr>
                <w:sz w:val="20"/>
                <w:szCs w:val="20"/>
                <w:color w:val="auto"/>
              </w:rPr>
            </w:pPr>
            <w:r>
              <w:rPr>
                <w:rFonts w:ascii="Arial" w:cs="Arial" w:eastAsia="Arial" w:hAnsi="Arial"/>
                <w:sz w:val="14"/>
                <w:szCs w:val="14"/>
                <w:b w:val="1"/>
                <w:bCs w:val="1"/>
                <w:color w:val="FFFFFF"/>
              </w:rPr>
              <w:t>Date</w:t>
            </w:r>
          </w:p>
        </w:tc>
        <w:tc>
          <w:tcPr>
            <w:tcW w:w="1580" w:type="dxa"/>
            <w:vAlign w:val="bottom"/>
            <w:gridSpan w:val="2"/>
            <w:shd w:val="clear" w:color="auto" w:fill="0071CE"/>
          </w:tcPr>
          <w:p>
            <w:pPr>
              <w:jc w:val="center"/>
              <w:ind w:left="28"/>
              <w:spacing w:after="0"/>
              <w:rPr>
                <w:sz w:val="20"/>
                <w:szCs w:val="20"/>
                <w:color w:val="auto"/>
              </w:rPr>
            </w:pPr>
            <w:r>
              <w:rPr>
                <w:rFonts w:ascii="Arial" w:cs="Arial" w:eastAsia="Arial" w:hAnsi="Arial"/>
                <w:sz w:val="14"/>
                <w:szCs w:val="14"/>
                <w:b w:val="1"/>
                <w:bCs w:val="1"/>
                <w:color w:val="FFFFFF"/>
              </w:rPr>
              <w:t>(#) (1)</w:t>
            </w:r>
          </w:p>
        </w:tc>
        <w:tc>
          <w:tcPr>
            <w:tcW w:w="1580" w:type="dxa"/>
            <w:vAlign w:val="bottom"/>
            <w:gridSpan w:val="2"/>
            <w:shd w:val="clear" w:color="auto" w:fill="0071CE"/>
          </w:tcPr>
          <w:p>
            <w:pPr>
              <w:jc w:val="center"/>
              <w:ind w:left="28"/>
              <w:spacing w:after="0"/>
              <w:rPr>
                <w:sz w:val="20"/>
                <w:szCs w:val="20"/>
                <w:color w:val="auto"/>
              </w:rPr>
            </w:pPr>
            <w:r>
              <w:rPr>
                <w:rFonts w:ascii="Arial" w:cs="Arial" w:eastAsia="Arial" w:hAnsi="Arial"/>
                <w:sz w:val="14"/>
                <w:szCs w:val="14"/>
                <w:b w:val="1"/>
                <w:bCs w:val="1"/>
                <w:color w:val="FFFFFF"/>
              </w:rPr>
              <w:t>($) (2)</w:t>
            </w:r>
          </w:p>
        </w:tc>
        <w:tc>
          <w:tcPr>
            <w:tcW w:w="2380" w:type="dxa"/>
            <w:vAlign w:val="bottom"/>
            <w:gridSpan w:val="2"/>
            <w:shd w:val="clear" w:color="auto" w:fill="0071CE"/>
          </w:tcPr>
          <w:p>
            <w:pPr>
              <w:jc w:val="center"/>
              <w:ind w:right="264"/>
              <w:spacing w:after="0"/>
              <w:rPr>
                <w:sz w:val="20"/>
                <w:szCs w:val="20"/>
                <w:color w:val="auto"/>
              </w:rPr>
            </w:pPr>
            <w:r>
              <w:rPr>
                <w:rFonts w:ascii="Arial" w:cs="Arial" w:eastAsia="Arial" w:hAnsi="Arial"/>
                <w:sz w:val="16"/>
                <w:szCs w:val="16"/>
                <w:b w:val="1"/>
                <w:bCs w:val="1"/>
                <w:color w:val="FFFFFF"/>
              </w:rPr>
              <w:t>(#) (3)</w:t>
            </w:r>
          </w:p>
        </w:tc>
        <w:tc>
          <w:tcPr>
            <w:tcW w:w="1580" w:type="dxa"/>
            <w:vAlign w:val="bottom"/>
            <w:shd w:val="clear" w:color="auto" w:fill="0071CE"/>
          </w:tcPr>
          <w:p>
            <w:pPr>
              <w:jc w:val="center"/>
              <w:ind w:right="184"/>
              <w:spacing w:after="0"/>
              <w:rPr>
                <w:sz w:val="20"/>
                <w:szCs w:val="20"/>
                <w:color w:val="auto"/>
              </w:rPr>
            </w:pPr>
            <w:r>
              <w:rPr>
                <w:rFonts w:ascii="Arial" w:cs="Arial" w:eastAsia="Arial" w:hAnsi="Arial"/>
                <w:sz w:val="16"/>
                <w:szCs w:val="16"/>
                <w:b w:val="1"/>
                <w:bCs w:val="1"/>
                <w:color w:val="FFFFFF"/>
              </w:rPr>
              <w:t>($) (2)</w:t>
            </w:r>
          </w:p>
        </w:tc>
        <w:tc>
          <w:tcPr>
            <w:tcW w:w="0" w:type="dxa"/>
            <w:vAlign w:val="bottom"/>
          </w:tcPr>
          <w:p>
            <w:pPr>
              <w:spacing w:after="0"/>
              <w:rPr>
                <w:sz w:val="1"/>
                <w:szCs w:val="1"/>
                <w:color w:val="auto"/>
              </w:rPr>
            </w:pPr>
          </w:p>
        </w:tc>
      </w:tr>
      <w:tr>
        <w:trPr>
          <w:trHeight w:val="175"/>
        </w:trPr>
        <w:tc>
          <w:tcPr>
            <w:tcW w:w="100" w:type="dxa"/>
            <w:vAlign w:val="bottom"/>
            <w:shd w:val="clear" w:color="auto" w:fill="E5E5E5"/>
          </w:tcPr>
          <w:p>
            <w:pPr>
              <w:spacing w:after="0"/>
              <w:rPr>
                <w:sz w:val="15"/>
                <w:szCs w:val="15"/>
                <w:color w:val="auto"/>
              </w:rPr>
            </w:pPr>
          </w:p>
        </w:tc>
        <w:tc>
          <w:tcPr>
            <w:tcW w:w="2520" w:type="dxa"/>
            <w:vAlign w:val="bottom"/>
            <w:shd w:val="clear" w:color="auto" w:fill="E5E5E5"/>
          </w:tcPr>
          <w:p>
            <w:pPr>
              <w:spacing w:after="0"/>
              <w:rPr>
                <w:sz w:val="20"/>
                <w:szCs w:val="20"/>
                <w:color w:val="auto"/>
              </w:rPr>
            </w:pPr>
            <w:r>
              <w:rPr>
                <w:rFonts w:ascii="Arial" w:cs="Arial" w:eastAsia="Arial" w:hAnsi="Arial"/>
                <w:sz w:val="14"/>
                <w:szCs w:val="14"/>
                <w:b w:val="1"/>
                <w:bCs w:val="1"/>
                <w:color w:val="0071CE"/>
                <w:shd w:val="clear" w:color="auto" w:fill="E5E5E5"/>
              </w:rPr>
              <w:t>Christopher Anzalone</w:t>
            </w:r>
          </w:p>
        </w:tc>
        <w:tc>
          <w:tcPr>
            <w:tcW w:w="1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01/01/2020</w:t>
            </w:r>
          </w:p>
        </w:tc>
        <w:tc>
          <w:tcPr>
            <w:tcW w:w="100" w:type="dxa"/>
            <w:vAlign w:val="bottom"/>
            <w:shd w:val="clear" w:color="auto" w:fill="E5E5E5"/>
          </w:tcPr>
          <w:p>
            <w:pPr>
              <w:spacing w:after="0"/>
              <w:rPr>
                <w:sz w:val="15"/>
                <w:szCs w:val="15"/>
                <w:color w:val="auto"/>
              </w:rPr>
            </w:pPr>
          </w:p>
        </w:tc>
        <w:tc>
          <w:tcPr>
            <w:tcW w:w="1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spacing w:after="0"/>
              <w:rPr>
                <w:sz w:val="15"/>
                <w:szCs w:val="15"/>
                <w:color w:val="auto"/>
              </w:rPr>
            </w:pPr>
          </w:p>
        </w:tc>
        <w:tc>
          <w:tcPr>
            <w:tcW w:w="1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380" w:type="dxa"/>
            <w:vAlign w:val="bottom"/>
            <w:gridSpan w:val="2"/>
            <w:shd w:val="clear" w:color="auto" w:fill="E5E5E5"/>
          </w:tcPr>
          <w:p>
            <w:pPr>
              <w:jc w:val="right"/>
              <w:ind w:right="384"/>
              <w:spacing w:after="0"/>
              <w:rPr>
                <w:sz w:val="20"/>
                <w:szCs w:val="20"/>
                <w:color w:val="auto"/>
              </w:rPr>
            </w:pPr>
            <w:r>
              <w:rPr>
                <w:rFonts w:ascii="Arial" w:cs="Arial" w:eastAsia="Arial" w:hAnsi="Arial"/>
                <w:sz w:val="14"/>
                <w:szCs w:val="14"/>
                <w:color w:val="auto"/>
              </w:rPr>
              <w:t>700,000</w:t>
            </w:r>
          </w:p>
        </w:tc>
        <w:tc>
          <w:tcPr>
            <w:tcW w:w="15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13,559,000</w:t>
            </w:r>
          </w:p>
        </w:tc>
        <w:tc>
          <w:tcPr>
            <w:tcW w:w="0" w:type="dxa"/>
            <w:vAlign w:val="bottom"/>
          </w:tcPr>
          <w:p>
            <w:pPr>
              <w:spacing w:after="0"/>
              <w:rPr>
                <w:sz w:val="1"/>
                <w:szCs w:val="1"/>
                <w:color w:val="auto"/>
              </w:rPr>
            </w:pPr>
          </w:p>
        </w:tc>
      </w:tr>
      <w:tr>
        <w:trPr>
          <w:trHeight w:val="222"/>
        </w:trPr>
        <w:tc>
          <w:tcPr>
            <w:tcW w:w="100" w:type="dxa"/>
            <w:vAlign w:val="bottom"/>
            <w:shd w:val="clear" w:color="auto" w:fill="E5E5E5"/>
          </w:tcPr>
          <w:p>
            <w:pPr>
              <w:spacing w:after="0"/>
              <w:rPr>
                <w:sz w:val="19"/>
                <w:szCs w:val="19"/>
                <w:color w:val="auto"/>
              </w:rPr>
            </w:pPr>
          </w:p>
        </w:tc>
        <w:tc>
          <w:tcPr>
            <w:tcW w:w="2520" w:type="dxa"/>
            <w:vAlign w:val="bottom"/>
            <w:shd w:val="clear" w:color="auto" w:fill="E5E5E5"/>
          </w:tcPr>
          <w:p>
            <w:pPr>
              <w:spacing w:after="0"/>
              <w:rPr>
                <w:sz w:val="19"/>
                <w:szCs w:val="19"/>
                <w:color w:val="auto"/>
              </w:rPr>
            </w:pPr>
          </w:p>
        </w:tc>
        <w:tc>
          <w:tcPr>
            <w:tcW w:w="1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01/01/2021</w:t>
            </w:r>
          </w:p>
        </w:tc>
        <w:tc>
          <w:tcPr>
            <w:tcW w:w="100" w:type="dxa"/>
            <w:vAlign w:val="bottom"/>
            <w:shd w:val="clear" w:color="auto" w:fill="E5E5E5"/>
          </w:tcPr>
          <w:p>
            <w:pPr>
              <w:spacing w:after="0"/>
              <w:rPr>
                <w:sz w:val="19"/>
                <w:szCs w:val="19"/>
                <w:color w:val="auto"/>
              </w:rPr>
            </w:pPr>
          </w:p>
        </w:tc>
        <w:tc>
          <w:tcPr>
            <w:tcW w:w="1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5E5"/>
          </w:tcPr>
          <w:p>
            <w:pPr>
              <w:spacing w:after="0"/>
              <w:rPr>
                <w:sz w:val="19"/>
                <w:szCs w:val="19"/>
                <w:color w:val="auto"/>
              </w:rPr>
            </w:pPr>
          </w:p>
        </w:tc>
        <w:tc>
          <w:tcPr>
            <w:tcW w:w="1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380" w:type="dxa"/>
            <w:vAlign w:val="bottom"/>
            <w:gridSpan w:val="2"/>
            <w:shd w:val="clear" w:color="auto" w:fill="E5E5E5"/>
          </w:tcPr>
          <w:p>
            <w:pPr>
              <w:jc w:val="right"/>
              <w:ind w:right="384"/>
              <w:spacing w:after="0"/>
              <w:rPr>
                <w:sz w:val="20"/>
                <w:szCs w:val="20"/>
                <w:color w:val="auto"/>
              </w:rPr>
            </w:pPr>
            <w:r>
              <w:rPr>
                <w:rFonts w:ascii="Arial" w:cs="Arial" w:eastAsia="Arial" w:hAnsi="Arial"/>
                <w:sz w:val="14"/>
                <w:szCs w:val="14"/>
                <w:color w:val="auto"/>
              </w:rPr>
              <w:t>800,000</w:t>
            </w:r>
          </w:p>
        </w:tc>
        <w:tc>
          <w:tcPr>
            <w:tcW w:w="15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15,496,000</w:t>
            </w:r>
          </w:p>
        </w:tc>
        <w:tc>
          <w:tcPr>
            <w:tcW w:w="0" w:type="dxa"/>
            <w:vAlign w:val="bottom"/>
          </w:tcPr>
          <w:p>
            <w:pPr>
              <w:spacing w:after="0"/>
              <w:rPr>
                <w:sz w:val="1"/>
                <w:szCs w:val="1"/>
                <w:color w:val="auto"/>
              </w:rPr>
            </w:pPr>
          </w:p>
        </w:tc>
      </w:tr>
      <w:tr>
        <w:trPr>
          <w:trHeight w:val="203"/>
        </w:trPr>
        <w:tc>
          <w:tcPr>
            <w:tcW w:w="100" w:type="dxa"/>
            <w:vAlign w:val="bottom"/>
            <w:shd w:val="clear" w:color="auto" w:fill="E5E5E5"/>
          </w:tcPr>
          <w:p>
            <w:pPr>
              <w:spacing w:after="0"/>
              <w:rPr>
                <w:sz w:val="17"/>
                <w:szCs w:val="17"/>
                <w:color w:val="auto"/>
              </w:rPr>
            </w:pPr>
          </w:p>
        </w:tc>
        <w:tc>
          <w:tcPr>
            <w:tcW w:w="2520" w:type="dxa"/>
            <w:vAlign w:val="bottom"/>
            <w:shd w:val="clear" w:color="auto" w:fill="E5E5E5"/>
          </w:tcPr>
          <w:p>
            <w:pPr>
              <w:spacing w:after="0"/>
              <w:rPr>
                <w:sz w:val="17"/>
                <w:szCs w:val="17"/>
                <w:color w:val="auto"/>
              </w:rPr>
            </w:pPr>
          </w:p>
        </w:tc>
        <w:tc>
          <w:tcPr>
            <w:tcW w:w="1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07/08/2022</w:t>
            </w:r>
          </w:p>
        </w:tc>
        <w:tc>
          <w:tcPr>
            <w:tcW w:w="100" w:type="dxa"/>
            <w:vAlign w:val="bottom"/>
            <w:shd w:val="clear" w:color="auto" w:fill="E5E5E5"/>
          </w:tcPr>
          <w:p>
            <w:pPr>
              <w:spacing w:after="0"/>
              <w:rPr>
                <w:sz w:val="17"/>
                <w:szCs w:val="17"/>
                <w:color w:val="auto"/>
              </w:rPr>
            </w:pPr>
          </w:p>
        </w:tc>
        <w:tc>
          <w:tcPr>
            <w:tcW w:w="1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49,761</w:t>
            </w:r>
          </w:p>
        </w:tc>
        <w:tc>
          <w:tcPr>
            <w:tcW w:w="158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963,871</w:t>
            </w:r>
          </w:p>
        </w:tc>
        <w:tc>
          <w:tcPr>
            <w:tcW w:w="2380" w:type="dxa"/>
            <w:vAlign w:val="bottom"/>
            <w:gridSpan w:val="2"/>
            <w:shd w:val="clear" w:color="auto" w:fill="E5E5E5"/>
          </w:tcPr>
          <w:p>
            <w:pPr>
              <w:jc w:val="right"/>
              <w:ind w:right="384"/>
              <w:spacing w:after="0"/>
              <w:rPr>
                <w:sz w:val="20"/>
                <w:szCs w:val="20"/>
                <w:color w:val="auto"/>
              </w:rPr>
            </w:pPr>
            <w:r>
              <w:rPr>
                <w:rFonts w:ascii="Arial" w:cs="Arial" w:eastAsia="Arial" w:hAnsi="Arial"/>
                <w:sz w:val="14"/>
                <w:szCs w:val="14"/>
                <w:color w:val="auto"/>
              </w:rPr>
              <w:t>149,282</w:t>
            </w:r>
          </w:p>
        </w:tc>
        <w:tc>
          <w:tcPr>
            <w:tcW w:w="15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2,891,592</w:t>
            </w:r>
          </w:p>
        </w:tc>
        <w:tc>
          <w:tcPr>
            <w:tcW w:w="0" w:type="dxa"/>
            <w:vAlign w:val="bottom"/>
          </w:tcPr>
          <w:p>
            <w:pPr>
              <w:spacing w:after="0"/>
              <w:rPr>
                <w:sz w:val="1"/>
                <w:szCs w:val="1"/>
                <w:color w:val="auto"/>
              </w:rPr>
            </w:pPr>
          </w:p>
        </w:tc>
      </w:tr>
      <w:tr>
        <w:trPr>
          <w:trHeight w:val="203"/>
        </w:trPr>
        <w:tc>
          <w:tcPr>
            <w:tcW w:w="100" w:type="dxa"/>
            <w:vAlign w:val="bottom"/>
            <w:shd w:val="clear" w:color="auto" w:fill="E5E5E5"/>
          </w:tcPr>
          <w:p>
            <w:pPr>
              <w:spacing w:after="0"/>
              <w:rPr>
                <w:sz w:val="17"/>
                <w:szCs w:val="17"/>
                <w:color w:val="auto"/>
              </w:rPr>
            </w:pPr>
          </w:p>
        </w:tc>
        <w:tc>
          <w:tcPr>
            <w:tcW w:w="2520" w:type="dxa"/>
            <w:vAlign w:val="bottom"/>
            <w:shd w:val="clear" w:color="auto" w:fill="E5E5E5"/>
          </w:tcPr>
          <w:p>
            <w:pPr>
              <w:spacing w:after="0"/>
              <w:rPr>
                <w:sz w:val="17"/>
                <w:szCs w:val="17"/>
                <w:color w:val="auto"/>
              </w:rPr>
            </w:pPr>
          </w:p>
        </w:tc>
        <w:tc>
          <w:tcPr>
            <w:tcW w:w="1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12/20/2022</w:t>
            </w:r>
          </w:p>
        </w:tc>
        <w:tc>
          <w:tcPr>
            <w:tcW w:w="100" w:type="dxa"/>
            <w:vAlign w:val="bottom"/>
            <w:shd w:val="clear" w:color="auto" w:fill="E5E5E5"/>
          </w:tcPr>
          <w:p>
            <w:pPr>
              <w:spacing w:after="0"/>
              <w:rPr>
                <w:sz w:val="17"/>
                <w:szCs w:val="17"/>
                <w:color w:val="auto"/>
              </w:rPr>
            </w:pPr>
          </w:p>
        </w:tc>
        <w:tc>
          <w:tcPr>
            <w:tcW w:w="1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70,208</w:t>
            </w:r>
          </w:p>
        </w:tc>
        <w:tc>
          <w:tcPr>
            <w:tcW w:w="158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1,359,929</w:t>
            </w:r>
          </w:p>
        </w:tc>
        <w:tc>
          <w:tcPr>
            <w:tcW w:w="2380" w:type="dxa"/>
            <w:vAlign w:val="bottom"/>
            <w:gridSpan w:val="2"/>
            <w:shd w:val="clear" w:color="auto" w:fill="E5E5E5"/>
          </w:tcPr>
          <w:p>
            <w:pPr>
              <w:jc w:val="right"/>
              <w:ind w:right="384"/>
              <w:spacing w:after="0"/>
              <w:rPr>
                <w:sz w:val="20"/>
                <w:szCs w:val="20"/>
                <w:color w:val="auto"/>
              </w:rPr>
            </w:pPr>
            <w:r>
              <w:rPr>
                <w:rFonts w:ascii="Arial" w:cs="Arial" w:eastAsia="Arial" w:hAnsi="Arial"/>
                <w:sz w:val="14"/>
                <w:szCs w:val="14"/>
                <w:color w:val="auto"/>
              </w:rPr>
              <w:t>93,610</w:t>
            </w:r>
          </w:p>
        </w:tc>
        <w:tc>
          <w:tcPr>
            <w:tcW w:w="15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1,813,226</w:t>
            </w:r>
          </w:p>
        </w:tc>
        <w:tc>
          <w:tcPr>
            <w:tcW w:w="0" w:type="dxa"/>
            <w:vAlign w:val="bottom"/>
          </w:tcPr>
          <w:p>
            <w:pPr>
              <w:spacing w:after="0"/>
              <w:rPr>
                <w:sz w:val="1"/>
                <w:szCs w:val="1"/>
                <w:color w:val="auto"/>
              </w:rPr>
            </w:pPr>
          </w:p>
        </w:tc>
      </w:tr>
      <w:tr>
        <w:trPr>
          <w:trHeight w:val="211"/>
        </w:trPr>
        <w:tc>
          <w:tcPr>
            <w:tcW w:w="100" w:type="dxa"/>
            <w:vAlign w:val="bottom"/>
            <w:shd w:val="clear" w:color="auto" w:fill="E5E5E5"/>
          </w:tcPr>
          <w:p>
            <w:pPr>
              <w:spacing w:after="0"/>
              <w:rPr>
                <w:sz w:val="18"/>
                <w:szCs w:val="18"/>
                <w:color w:val="auto"/>
              </w:rPr>
            </w:pPr>
          </w:p>
        </w:tc>
        <w:tc>
          <w:tcPr>
            <w:tcW w:w="2520" w:type="dxa"/>
            <w:vAlign w:val="bottom"/>
            <w:shd w:val="clear" w:color="auto" w:fill="E5E5E5"/>
          </w:tcPr>
          <w:p>
            <w:pPr>
              <w:spacing w:after="0"/>
              <w:rPr>
                <w:sz w:val="18"/>
                <w:szCs w:val="18"/>
                <w:color w:val="auto"/>
              </w:rPr>
            </w:pPr>
          </w:p>
        </w:tc>
        <w:tc>
          <w:tcPr>
            <w:tcW w:w="1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12/22/2023</w:t>
            </w:r>
          </w:p>
        </w:tc>
        <w:tc>
          <w:tcPr>
            <w:tcW w:w="100" w:type="dxa"/>
            <w:vAlign w:val="bottom"/>
            <w:shd w:val="clear" w:color="auto" w:fill="DBDBDB"/>
          </w:tcPr>
          <w:p>
            <w:pPr>
              <w:spacing w:after="0"/>
              <w:rPr>
                <w:sz w:val="18"/>
                <w:szCs w:val="18"/>
                <w:color w:val="auto"/>
              </w:rPr>
            </w:pPr>
          </w:p>
        </w:tc>
        <w:tc>
          <w:tcPr>
            <w:tcW w:w="1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8"/>
                <w:szCs w:val="18"/>
                <w:color w:val="auto"/>
              </w:rPr>
            </w:pPr>
          </w:p>
        </w:tc>
        <w:tc>
          <w:tcPr>
            <w:tcW w:w="1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2380" w:type="dxa"/>
            <w:vAlign w:val="bottom"/>
            <w:gridSpan w:val="2"/>
            <w:shd w:val="clear" w:color="auto" w:fill="DBDBDB"/>
          </w:tcPr>
          <w:p>
            <w:pPr>
              <w:jc w:val="right"/>
              <w:ind w:right="384"/>
              <w:spacing w:after="0"/>
              <w:rPr>
                <w:sz w:val="20"/>
                <w:szCs w:val="20"/>
                <w:color w:val="auto"/>
              </w:rPr>
            </w:pPr>
            <w:r>
              <w:rPr>
                <w:rFonts w:ascii="Arial" w:cs="Arial" w:eastAsia="Arial" w:hAnsi="Arial"/>
                <w:sz w:val="14"/>
                <w:szCs w:val="14"/>
                <w:color w:val="auto"/>
              </w:rPr>
              <w:t>340,000</w:t>
            </w:r>
          </w:p>
        </w:tc>
        <w:tc>
          <w:tcPr>
            <w:tcW w:w="1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6,585,800</w:t>
            </w: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4"/>
                <w:szCs w:val="14"/>
                <w:b w:val="1"/>
                <w:bCs w:val="1"/>
                <w:color w:val="0071CE"/>
              </w:rPr>
              <w:t>Kenneth Myszkowski</w:t>
            </w:r>
          </w:p>
        </w:tc>
        <w:tc>
          <w:tcPr>
            <w:tcW w:w="1480" w:type="dxa"/>
            <w:vAlign w:val="bottom"/>
          </w:tcPr>
          <w:p>
            <w:pPr>
              <w:jc w:val="right"/>
              <w:spacing w:after="0"/>
              <w:rPr>
                <w:sz w:val="20"/>
                <w:szCs w:val="20"/>
                <w:color w:val="auto"/>
              </w:rPr>
            </w:pPr>
            <w:r>
              <w:rPr>
                <w:rFonts w:ascii="Arial" w:cs="Arial" w:eastAsia="Arial" w:hAnsi="Arial"/>
                <w:sz w:val="14"/>
                <w:szCs w:val="14"/>
                <w:color w:val="auto"/>
              </w:rPr>
              <w:t>01/01/2021</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15,000</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290,550</w:t>
            </w:r>
          </w:p>
        </w:tc>
        <w:tc>
          <w:tcPr>
            <w:tcW w:w="100" w:type="dxa"/>
            <w:vAlign w:val="bottom"/>
          </w:tcPr>
          <w:p>
            <w:pPr>
              <w:spacing w:after="0"/>
              <w:rPr>
                <w:sz w:val="17"/>
                <w:szCs w:val="17"/>
                <w:color w:val="auto"/>
              </w:rPr>
            </w:pPr>
          </w:p>
        </w:tc>
        <w:tc>
          <w:tcPr>
            <w:tcW w:w="2280" w:type="dxa"/>
            <w:vAlign w:val="bottom"/>
          </w:tcPr>
          <w:p>
            <w:pPr>
              <w:jc w:val="right"/>
              <w:ind w:right="384"/>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01/01/2022</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30,000</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581,100</w:t>
            </w:r>
          </w:p>
        </w:tc>
        <w:tc>
          <w:tcPr>
            <w:tcW w:w="100" w:type="dxa"/>
            <w:vAlign w:val="bottom"/>
          </w:tcPr>
          <w:p>
            <w:pPr>
              <w:spacing w:after="0"/>
              <w:rPr>
                <w:sz w:val="17"/>
                <w:szCs w:val="17"/>
                <w:color w:val="auto"/>
              </w:rPr>
            </w:pPr>
          </w:p>
        </w:tc>
        <w:tc>
          <w:tcPr>
            <w:tcW w:w="2280" w:type="dxa"/>
            <w:vAlign w:val="bottom"/>
          </w:tcPr>
          <w:p>
            <w:pPr>
              <w:jc w:val="right"/>
              <w:ind w:right="384"/>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01/04/2023</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45,000</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871,650</w:t>
            </w:r>
          </w:p>
        </w:tc>
        <w:tc>
          <w:tcPr>
            <w:tcW w:w="100" w:type="dxa"/>
            <w:vAlign w:val="bottom"/>
          </w:tcPr>
          <w:p>
            <w:pPr>
              <w:spacing w:after="0"/>
              <w:rPr>
                <w:sz w:val="17"/>
                <w:szCs w:val="17"/>
                <w:color w:val="auto"/>
              </w:rPr>
            </w:pPr>
          </w:p>
        </w:tc>
        <w:tc>
          <w:tcPr>
            <w:tcW w:w="2280" w:type="dxa"/>
            <w:vAlign w:val="bottom"/>
          </w:tcPr>
          <w:p>
            <w:pPr>
              <w:jc w:val="right"/>
              <w:ind w:right="384"/>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01/04/2024</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75,000</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1,452,750</w:t>
            </w:r>
          </w:p>
        </w:tc>
        <w:tc>
          <w:tcPr>
            <w:tcW w:w="100" w:type="dxa"/>
            <w:vAlign w:val="bottom"/>
          </w:tcPr>
          <w:p>
            <w:pPr>
              <w:spacing w:after="0"/>
              <w:rPr>
                <w:sz w:val="17"/>
                <w:szCs w:val="17"/>
                <w:color w:val="auto"/>
              </w:rPr>
            </w:pPr>
          </w:p>
        </w:tc>
        <w:tc>
          <w:tcPr>
            <w:tcW w:w="2280" w:type="dxa"/>
            <w:vAlign w:val="bottom"/>
          </w:tcPr>
          <w:p>
            <w:pPr>
              <w:jc w:val="right"/>
              <w:ind w:right="384"/>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00" w:type="dxa"/>
            <w:vAlign w:val="bottom"/>
            <w:shd w:val="clear" w:color="auto" w:fill="E5E5E5"/>
          </w:tcPr>
          <w:p>
            <w:pPr>
              <w:spacing w:after="0"/>
              <w:rPr>
                <w:sz w:val="15"/>
                <w:szCs w:val="15"/>
                <w:color w:val="auto"/>
              </w:rPr>
            </w:pPr>
          </w:p>
        </w:tc>
        <w:tc>
          <w:tcPr>
            <w:tcW w:w="2520" w:type="dxa"/>
            <w:vAlign w:val="bottom"/>
            <w:shd w:val="clear" w:color="auto" w:fill="E5E5E5"/>
          </w:tcPr>
          <w:p>
            <w:pPr>
              <w:spacing w:after="0"/>
              <w:rPr>
                <w:sz w:val="20"/>
                <w:szCs w:val="20"/>
                <w:color w:val="auto"/>
              </w:rPr>
            </w:pPr>
            <w:r>
              <w:rPr>
                <w:rFonts w:ascii="Arial" w:cs="Arial" w:eastAsia="Arial" w:hAnsi="Arial"/>
                <w:sz w:val="14"/>
                <w:szCs w:val="14"/>
                <w:b w:val="1"/>
                <w:bCs w:val="1"/>
                <w:color w:val="0071CE"/>
                <w:shd w:val="clear" w:color="auto" w:fill="E5E5E5"/>
              </w:rPr>
              <w:t>Patrick O’Brien</w:t>
            </w:r>
          </w:p>
        </w:tc>
        <w:tc>
          <w:tcPr>
            <w:tcW w:w="14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01/01/2021</w:t>
            </w:r>
          </w:p>
        </w:tc>
        <w:tc>
          <w:tcPr>
            <w:tcW w:w="100" w:type="dxa"/>
            <w:vAlign w:val="bottom"/>
            <w:shd w:val="clear" w:color="auto" w:fill="E5E5E5"/>
          </w:tcPr>
          <w:p>
            <w:pPr>
              <w:spacing w:after="0"/>
              <w:rPr>
                <w:sz w:val="15"/>
                <w:szCs w:val="15"/>
                <w:color w:val="auto"/>
              </w:rPr>
            </w:pPr>
          </w:p>
        </w:tc>
        <w:tc>
          <w:tcPr>
            <w:tcW w:w="1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15,000</w:t>
            </w:r>
          </w:p>
        </w:tc>
        <w:tc>
          <w:tcPr>
            <w:tcW w:w="158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290,550</w:t>
            </w:r>
          </w:p>
        </w:tc>
        <w:tc>
          <w:tcPr>
            <w:tcW w:w="100" w:type="dxa"/>
            <w:vAlign w:val="bottom"/>
            <w:shd w:val="clear" w:color="auto" w:fill="E5E5E5"/>
          </w:tcPr>
          <w:p>
            <w:pPr>
              <w:spacing w:after="0"/>
              <w:rPr>
                <w:sz w:val="15"/>
                <w:szCs w:val="15"/>
                <w:color w:val="auto"/>
              </w:rPr>
            </w:pPr>
          </w:p>
        </w:tc>
        <w:tc>
          <w:tcPr>
            <w:tcW w:w="2280" w:type="dxa"/>
            <w:vAlign w:val="bottom"/>
            <w:shd w:val="clear" w:color="auto" w:fill="E5E5E5"/>
          </w:tcPr>
          <w:p>
            <w:pPr>
              <w:jc w:val="right"/>
              <w:ind w:right="384"/>
              <w:spacing w:after="0"/>
              <w:rPr>
                <w:sz w:val="20"/>
                <w:szCs w:val="20"/>
                <w:color w:val="auto"/>
              </w:rPr>
            </w:pPr>
            <w:r>
              <w:rPr>
                <w:rFonts w:ascii="Arial" w:cs="Arial" w:eastAsia="Arial" w:hAnsi="Arial"/>
                <w:sz w:val="14"/>
                <w:szCs w:val="14"/>
                <w:color w:val="auto"/>
              </w:rPr>
              <w:t>—</w:t>
            </w:r>
          </w:p>
        </w:tc>
        <w:tc>
          <w:tcPr>
            <w:tcW w:w="15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1"/>
        </w:trPr>
        <w:tc>
          <w:tcPr>
            <w:tcW w:w="100" w:type="dxa"/>
            <w:vAlign w:val="bottom"/>
            <w:shd w:val="clear" w:color="auto" w:fill="E5E5E5"/>
          </w:tcPr>
          <w:p>
            <w:pPr>
              <w:spacing w:after="0"/>
              <w:rPr>
                <w:sz w:val="19"/>
                <w:szCs w:val="19"/>
                <w:color w:val="auto"/>
              </w:rPr>
            </w:pPr>
          </w:p>
        </w:tc>
        <w:tc>
          <w:tcPr>
            <w:tcW w:w="2520" w:type="dxa"/>
            <w:vAlign w:val="bottom"/>
            <w:shd w:val="clear" w:color="auto" w:fill="E5E5E5"/>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01/01/2022</w:t>
            </w:r>
          </w:p>
        </w:tc>
        <w:tc>
          <w:tcPr>
            <w:tcW w:w="100" w:type="dxa"/>
            <w:vAlign w:val="bottom"/>
            <w:shd w:val="clear" w:color="auto" w:fill="E5E5E5"/>
          </w:tcPr>
          <w:p>
            <w:pPr>
              <w:spacing w:after="0"/>
              <w:rPr>
                <w:sz w:val="19"/>
                <w:szCs w:val="19"/>
                <w:color w:val="auto"/>
              </w:rPr>
            </w:pPr>
          </w:p>
        </w:tc>
        <w:tc>
          <w:tcPr>
            <w:tcW w:w="1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30,000</w:t>
            </w:r>
          </w:p>
        </w:tc>
        <w:tc>
          <w:tcPr>
            <w:tcW w:w="158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581,100</w:t>
            </w:r>
          </w:p>
        </w:tc>
        <w:tc>
          <w:tcPr>
            <w:tcW w:w="100" w:type="dxa"/>
            <w:vAlign w:val="bottom"/>
            <w:shd w:val="clear" w:color="auto" w:fill="E5E5E5"/>
          </w:tcPr>
          <w:p>
            <w:pPr>
              <w:spacing w:after="0"/>
              <w:rPr>
                <w:sz w:val="19"/>
                <w:szCs w:val="19"/>
                <w:color w:val="auto"/>
              </w:rPr>
            </w:pPr>
          </w:p>
        </w:tc>
        <w:tc>
          <w:tcPr>
            <w:tcW w:w="2280" w:type="dxa"/>
            <w:vAlign w:val="bottom"/>
            <w:shd w:val="clear" w:color="auto" w:fill="E5E5E5"/>
          </w:tcPr>
          <w:p>
            <w:pPr>
              <w:jc w:val="right"/>
              <w:ind w:right="384"/>
              <w:spacing w:after="0"/>
              <w:rPr>
                <w:sz w:val="20"/>
                <w:szCs w:val="20"/>
                <w:color w:val="auto"/>
              </w:rPr>
            </w:pPr>
            <w:r>
              <w:rPr>
                <w:rFonts w:ascii="Arial" w:cs="Arial" w:eastAsia="Arial" w:hAnsi="Arial"/>
                <w:sz w:val="14"/>
                <w:szCs w:val="14"/>
                <w:color w:val="auto"/>
              </w:rPr>
              <w:t>—</w:t>
            </w:r>
          </w:p>
        </w:tc>
        <w:tc>
          <w:tcPr>
            <w:tcW w:w="15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00" w:type="dxa"/>
            <w:vAlign w:val="bottom"/>
            <w:shd w:val="clear" w:color="auto" w:fill="E5E5E5"/>
          </w:tcPr>
          <w:p>
            <w:pPr>
              <w:spacing w:after="0"/>
              <w:rPr>
                <w:sz w:val="17"/>
                <w:szCs w:val="17"/>
                <w:color w:val="auto"/>
              </w:rPr>
            </w:pPr>
          </w:p>
        </w:tc>
        <w:tc>
          <w:tcPr>
            <w:tcW w:w="2520" w:type="dxa"/>
            <w:vAlign w:val="bottom"/>
            <w:shd w:val="clear" w:color="auto" w:fill="E5E5E5"/>
          </w:tcPr>
          <w:p>
            <w:pPr>
              <w:spacing w:after="0"/>
              <w:rPr>
                <w:sz w:val="17"/>
                <w:szCs w:val="17"/>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01/04/2023</w:t>
            </w:r>
          </w:p>
        </w:tc>
        <w:tc>
          <w:tcPr>
            <w:tcW w:w="100" w:type="dxa"/>
            <w:vAlign w:val="bottom"/>
            <w:shd w:val="clear" w:color="auto" w:fill="E5E5E5"/>
          </w:tcPr>
          <w:p>
            <w:pPr>
              <w:spacing w:after="0"/>
              <w:rPr>
                <w:sz w:val="17"/>
                <w:szCs w:val="17"/>
                <w:color w:val="auto"/>
              </w:rPr>
            </w:pPr>
          </w:p>
        </w:tc>
        <w:tc>
          <w:tcPr>
            <w:tcW w:w="1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48,750</w:t>
            </w:r>
          </w:p>
        </w:tc>
        <w:tc>
          <w:tcPr>
            <w:tcW w:w="100" w:type="dxa"/>
            <w:vAlign w:val="bottom"/>
            <w:shd w:val="clear" w:color="auto" w:fill="E5E5E5"/>
          </w:tcPr>
          <w:p>
            <w:pPr>
              <w:spacing w:after="0"/>
              <w:rPr>
                <w:sz w:val="17"/>
                <w:szCs w:val="17"/>
                <w:color w:val="auto"/>
              </w:rPr>
            </w:pPr>
          </w:p>
        </w:tc>
        <w:tc>
          <w:tcPr>
            <w:tcW w:w="1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944,288</w:t>
            </w:r>
          </w:p>
        </w:tc>
        <w:tc>
          <w:tcPr>
            <w:tcW w:w="100" w:type="dxa"/>
            <w:vAlign w:val="bottom"/>
            <w:shd w:val="clear" w:color="auto" w:fill="E5E5E5"/>
          </w:tcPr>
          <w:p>
            <w:pPr>
              <w:spacing w:after="0"/>
              <w:rPr>
                <w:sz w:val="17"/>
                <w:szCs w:val="17"/>
                <w:color w:val="auto"/>
              </w:rPr>
            </w:pPr>
          </w:p>
        </w:tc>
        <w:tc>
          <w:tcPr>
            <w:tcW w:w="2280" w:type="dxa"/>
            <w:vAlign w:val="bottom"/>
            <w:shd w:val="clear" w:color="auto" w:fill="E5E5E5"/>
          </w:tcPr>
          <w:p>
            <w:pPr>
              <w:jc w:val="right"/>
              <w:ind w:right="384"/>
              <w:spacing w:after="0"/>
              <w:rPr>
                <w:sz w:val="20"/>
                <w:szCs w:val="20"/>
                <w:color w:val="auto"/>
              </w:rPr>
            </w:pPr>
            <w:r>
              <w:rPr>
                <w:rFonts w:ascii="Arial" w:cs="Arial" w:eastAsia="Arial" w:hAnsi="Arial"/>
                <w:sz w:val="14"/>
                <w:szCs w:val="14"/>
                <w:color w:val="auto"/>
              </w:rPr>
              <w:t>—</w:t>
            </w:r>
          </w:p>
        </w:tc>
        <w:tc>
          <w:tcPr>
            <w:tcW w:w="15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100" w:type="dxa"/>
            <w:vAlign w:val="bottom"/>
            <w:shd w:val="clear" w:color="auto" w:fill="E5E5E5"/>
          </w:tcPr>
          <w:p>
            <w:pPr>
              <w:spacing w:after="0"/>
              <w:rPr>
                <w:sz w:val="18"/>
                <w:szCs w:val="18"/>
                <w:color w:val="auto"/>
              </w:rPr>
            </w:pPr>
          </w:p>
        </w:tc>
        <w:tc>
          <w:tcPr>
            <w:tcW w:w="2520" w:type="dxa"/>
            <w:vAlign w:val="bottom"/>
            <w:shd w:val="clear" w:color="auto" w:fill="E5E5E5"/>
          </w:tcPr>
          <w:p>
            <w:pPr>
              <w:spacing w:after="0"/>
              <w:rPr>
                <w:sz w:val="18"/>
                <w:szCs w:val="18"/>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01/04/2024</w:t>
            </w:r>
          </w:p>
        </w:tc>
        <w:tc>
          <w:tcPr>
            <w:tcW w:w="100" w:type="dxa"/>
            <w:vAlign w:val="bottom"/>
            <w:shd w:val="clear" w:color="auto" w:fill="E5E5E5"/>
          </w:tcPr>
          <w:p>
            <w:pPr>
              <w:spacing w:after="0"/>
              <w:rPr>
                <w:sz w:val="18"/>
                <w:szCs w:val="18"/>
                <w:color w:val="auto"/>
              </w:rPr>
            </w:pPr>
          </w:p>
        </w:tc>
        <w:tc>
          <w:tcPr>
            <w:tcW w:w="1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85,000</w:t>
            </w:r>
          </w:p>
        </w:tc>
        <w:tc>
          <w:tcPr>
            <w:tcW w:w="100" w:type="dxa"/>
            <w:vAlign w:val="bottom"/>
            <w:shd w:val="clear" w:color="auto" w:fill="E5E5E5"/>
          </w:tcPr>
          <w:p>
            <w:pPr>
              <w:spacing w:after="0"/>
              <w:rPr>
                <w:sz w:val="18"/>
                <w:szCs w:val="18"/>
                <w:color w:val="auto"/>
              </w:rPr>
            </w:pPr>
          </w:p>
        </w:tc>
        <w:tc>
          <w:tcPr>
            <w:tcW w:w="14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1,646,450</w:t>
            </w:r>
          </w:p>
        </w:tc>
        <w:tc>
          <w:tcPr>
            <w:tcW w:w="100" w:type="dxa"/>
            <w:vAlign w:val="bottom"/>
            <w:shd w:val="clear" w:color="auto" w:fill="E5E5E5"/>
          </w:tcPr>
          <w:p>
            <w:pPr>
              <w:spacing w:after="0"/>
              <w:rPr>
                <w:sz w:val="18"/>
                <w:szCs w:val="18"/>
                <w:color w:val="auto"/>
              </w:rPr>
            </w:pPr>
          </w:p>
        </w:tc>
        <w:tc>
          <w:tcPr>
            <w:tcW w:w="2280" w:type="dxa"/>
            <w:vAlign w:val="bottom"/>
            <w:shd w:val="clear" w:color="auto" w:fill="E5E5E5"/>
          </w:tcPr>
          <w:p>
            <w:pPr>
              <w:jc w:val="right"/>
              <w:ind w:right="384"/>
              <w:spacing w:after="0"/>
              <w:rPr>
                <w:sz w:val="20"/>
                <w:szCs w:val="20"/>
                <w:color w:val="auto"/>
              </w:rPr>
            </w:pPr>
            <w:r>
              <w:rPr>
                <w:rFonts w:ascii="Arial" w:cs="Arial" w:eastAsia="Arial" w:hAnsi="Arial"/>
                <w:sz w:val="14"/>
                <w:szCs w:val="14"/>
                <w:color w:val="auto"/>
              </w:rPr>
              <w:t>—</w:t>
            </w:r>
          </w:p>
        </w:tc>
        <w:tc>
          <w:tcPr>
            <w:tcW w:w="15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520" w:type="dxa"/>
            <w:vAlign w:val="bottom"/>
          </w:tcPr>
          <w:p>
            <w:pPr>
              <w:spacing w:after="0"/>
              <w:rPr>
                <w:sz w:val="20"/>
                <w:szCs w:val="20"/>
                <w:color w:val="auto"/>
              </w:rPr>
            </w:pPr>
            <w:r>
              <w:rPr>
                <w:rFonts w:ascii="Arial" w:cs="Arial" w:eastAsia="Arial" w:hAnsi="Arial"/>
                <w:sz w:val="14"/>
                <w:szCs w:val="14"/>
                <w:b w:val="1"/>
                <w:bCs w:val="1"/>
                <w:color w:val="0071CE"/>
              </w:rPr>
              <w:t>James Hamilton</w:t>
            </w:r>
          </w:p>
        </w:tc>
        <w:tc>
          <w:tcPr>
            <w:tcW w:w="1480" w:type="dxa"/>
            <w:vAlign w:val="bottom"/>
          </w:tcPr>
          <w:p>
            <w:pPr>
              <w:jc w:val="right"/>
              <w:spacing w:after="0"/>
              <w:rPr>
                <w:sz w:val="20"/>
                <w:szCs w:val="20"/>
                <w:color w:val="auto"/>
              </w:rPr>
            </w:pPr>
            <w:r>
              <w:rPr>
                <w:rFonts w:ascii="Arial" w:cs="Arial" w:eastAsia="Arial" w:hAnsi="Arial"/>
                <w:sz w:val="14"/>
                <w:szCs w:val="14"/>
                <w:color w:val="auto"/>
              </w:rPr>
              <w:t>01/01/2021</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12,500</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242,125</w:t>
            </w:r>
          </w:p>
        </w:tc>
        <w:tc>
          <w:tcPr>
            <w:tcW w:w="100" w:type="dxa"/>
            <w:vAlign w:val="bottom"/>
          </w:tcPr>
          <w:p>
            <w:pPr>
              <w:spacing w:after="0"/>
              <w:rPr>
                <w:sz w:val="17"/>
                <w:szCs w:val="17"/>
                <w:color w:val="auto"/>
              </w:rPr>
            </w:pPr>
          </w:p>
        </w:tc>
        <w:tc>
          <w:tcPr>
            <w:tcW w:w="2280" w:type="dxa"/>
            <w:vAlign w:val="bottom"/>
          </w:tcPr>
          <w:p>
            <w:pPr>
              <w:jc w:val="right"/>
              <w:ind w:right="384"/>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01/01/2022</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27,500</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532,675</w:t>
            </w:r>
          </w:p>
        </w:tc>
        <w:tc>
          <w:tcPr>
            <w:tcW w:w="100" w:type="dxa"/>
            <w:vAlign w:val="bottom"/>
          </w:tcPr>
          <w:p>
            <w:pPr>
              <w:spacing w:after="0"/>
              <w:rPr>
                <w:sz w:val="17"/>
                <w:szCs w:val="17"/>
                <w:color w:val="auto"/>
              </w:rPr>
            </w:pPr>
          </w:p>
        </w:tc>
        <w:tc>
          <w:tcPr>
            <w:tcW w:w="2280" w:type="dxa"/>
            <w:vAlign w:val="bottom"/>
          </w:tcPr>
          <w:p>
            <w:pPr>
              <w:jc w:val="right"/>
              <w:ind w:right="384"/>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01/04/2023</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45,000</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871,650</w:t>
            </w:r>
          </w:p>
        </w:tc>
        <w:tc>
          <w:tcPr>
            <w:tcW w:w="100" w:type="dxa"/>
            <w:vAlign w:val="bottom"/>
          </w:tcPr>
          <w:p>
            <w:pPr>
              <w:spacing w:after="0"/>
              <w:rPr>
                <w:sz w:val="17"/>
                <w:szCs w:val="17"/>
                <w:color w:val="auto"/>
              </w:rPr>
            </w:pPr>
          </w:p>
        </w:tc>
        <w:tc>
          <w:tcPr>
            <w:tcW w:w="2280" w:type="dxa"/>
            <w:vAlign w:val="bottom"/>
          </w:tcPr>
          <w:p>
            <w:pPr>
              <w:jc w:val="right"/>
              <w:ind w:right="384"/>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01/04/2024</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75,000</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1,452,750</w:t>
            </w:r>
          </w:p>
        </w:tc>
        <w:tc>
          <w:tcPr>
            <w:tcW w:w="100" w:type="dxa"/>
            <w:vAlign w:val="bottom"/>
          </w:tcPr>
          <w:p>
            <w:pPr>
              <w:spacing w:after="0"/>
              <w:rPr>
                <w:sz w:val="17"/>
                <w:szCs w:val="17"/>
                <w:color w:val="auto"/>
              </w:rPr>
            </w:pPr>
          </w:p>
        </w:tc>
        <w:tc>
          <w:tcPr>
            <w:tcW w:w="2280" w:type="dxa"/>
            <w:vAlign w:val="bottom"/>
          </w:tcPr>
          <w:p>
            <w:pPr>
              <w:jc w:val="right"/>
              <w:ind w:right="384"/>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100" w:type="dxa"/>
            <w:vAlign w:val="bottom"/>
            <w:shd w:val="clear" w:color="auto" w:fill="DBDBDB"/>
          </w:tcPr>
          <w:p>
            <w:pPr>
              <w:spacing w:after="0"/>
              <w:rPr>
                <w:sz w:val="17"/>
                <w:szCs w:val="17"/>
                <w:color w:val="auto"/>
              </w:rPr>
            </w:pPr>
          </w:p>
        </w:tc>
        <w:tc>
          <w:tcPr>
            <w:tcW w:w="2520" w:type="dxa"/>
            <w:vAlign w:val="bottom"/>
            <w:shd w:val="clear" w:color="auto" w:fill="DBDBDB"/>
          </w:tcPr>
          <w:p>
            <w:pPr>
              <w:spacing w:after="0"/>
              <w:rPr>
                <w:sz w:val="20"/>
                <w:szCs w:val="20"/>
                <w:color w:val="auto"/>
              </w:rPr>
            </w:pPr>
            <w:r>
              <w:rPr>
                <w:rFonts w:ascii="Arial" w:cs="Arial" w:eastAsia="Arial" w:hAnsi="Arial"/>
                <w:sz w:val="14"/>
                <w:szCs w:val="14"/>
                <w:b w:val="1"/>
                <w:bCs w:val="1"/>
                <w:color w:val="0071CE"/>
              </w:rPr>
              <w:t>Javier San Martin</w:t>
            </w:r>
          </w:p>
        </w:tc>
        <w:tc>
          <w:tcPr>
            <w:tcW w:w="14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01/04/2024</w:t>
            </w:r>
          </w:p>
        </w:tc>
        <w:tc>
          <w:tcPr>
            <w:tcW w:w="100" w:type="dxa"/>
            <w:vAlign w:val="bottom"/>
            <w:shd w:val="clear" w:color="auto" w:fill="DBDBDB"/>
          </w:tcPr>
          <w:p>
            <w:pPr>
              <w:spacing w:after="0"/>
              <w:rPr>
                <w:sz w:val="17"/>
                <w:szCs w:val="17"/>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7"/>
                <w:szCs w:val="17"/>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7"/>
                <w:szCs w:val="17"/>
                <w:color w:val="auto"/>
              </w:rPr>
            </w:pPr>
          </w:p>
        </w:tc>
        <w:tc>
          <w:tcPr>
            <w:tcW w:w="2280" w:type="dxa"/>
            <w:vAlign w:val="bottom"/>
            <w:shd w:val="clear" w:color="auto" w:fill="DBDBDB"/>
          </w:tcPr>
          <w:p>
            <w:pPr>
              <w:jc w:val="right"/>
              <w:ind w:right="384"/>
              <w:spacing w:after="0"/>
              <w:rPr>
                <w:sz w:val="20"/>
                <w:szCs w:val="20"/>
                <w:color w:val="auto"/>
              </w:rPr>
            </w:pPr>
            <w:r>
              <w:rPr>
                <w:rFonts w:ascii="Arial" w:cs="Arial" w:eastAsia="Arial" w:hAnsi="Arial"/>
                <w:sz w:val="14"/>
                <w:szCs w:val="14"/>
                <w:color w:val="auto"/>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520" w:type="dxa"/>
            <w:vAlign w:val="bottom"/>
          </w:tcPr>
          <w:p>
            <w:pPr>
              <w:ind w:left="40"/>
              <w:spacing w:after="0"/>
              <w:rPr>
                <w:sz w:val="20"/>
                <w:szCs w:val="20"/>
                <w:color w:val="auto"/>
              </w:rPr>
            </w:pPr>
            <w:r>
              <w:rPr>
                <w:rFonts w:ascii="Arial" w:cs="Arial" w:eastAsia="Arial" w:hAnsi="Arial"/>
                <w:sz w:val="14"/>
                <w:szCs w:val="14"/>
                <w:b w:val="1"/>
                <w:bCs w:val="1"/>
                <w:color w:val="0071CE"/>
              </w:rPr>
              <w:t>Tracie Oliver</w:t>
            </w:r>
          </w:p>
        </w:tc>
        <w:tc>
          <w:tcPr>
            <w:tcW w:w="1480" w:type="dxa"/>
            <w:vAlign w:val="bottom"/>
          </w:tcPr>
          <w:p>
            <w:pPr>
              <w:jc w:val="right"/>
              <w:spacing w:after="0"/>
              <w:rPr>
                <w:sz w:val="20"/>
                <w:szCs w:val="20"/>
                <w:color w:val="auto"/>
              </w:rPr>
            </w:pPr>
            <w:r>
              <w:rPr>
                <w:rFonts w:ascii="Arial" w:cs="Arial" w:eastAsia="Arial" w:hAnsi="Arial"/>
                <w:sz w:val="14"/>
                <w:szCs w:val="14"/>
                <w:color w:val="auto"/>
              </w:rPr>
              <w:t>07/01/2022</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35,000</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677,950</w:t>
            </w:r>
          </w:p>
        </w:tc>
        <w:tc>
          <w:tcPr>
            <w:tcW w:w="100" w:type="dxa"/>
            <w:vAlign w:val="bottom"/>
          </w:tcPr>
          <w:p>
            <w:pPr>
              <w:spacing w:after="0"/>
              <w:rPr>
                <w:sz w:val="17"/>
                <w:szCs w:val="17"/>
                <w:color w:val="auto"/>
              </w:rPr>
            </w:pPr>
          </w:p>
        </w:tc>
        <w:tc>
          <w:tcPr>
            <w:tcW w:w="2280" w:type="dxa"/>
            <w:vAlign w:val="bottom"/>
          </w:tcPr>
          <w:p>
            <w:pPr>
              <w:jc w:val="right"/>
              <w:ind w:right="204"/>
              <w:spacing w:after="0"/>
              <w:rPr>
                <w:sz w:val="20"/>
                <w:szCs w:val="20"/>
                <w:color w:val="auto"/>
              </w:rPr>
            </w:pPr>
            <w:r>
              <w:rPr>
                <w:rFonts w:ascii="Arial" w:cs="Arial" w:eastAsia="Arial" w:hAnsi="Arial"/>
                <w:sz w:val="14"/>
                <w:szCs w:val="14"/>
                <w:color w:val="auto"/>
              </w:rPr>
              <w:t>— —</w:t>
            </w: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01/04/2023</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375</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7,264</w:t>
            </w:r>
          </w:p>
        </w:tc>
        <w:tc>
          <w:tcPr>
            <w:tcW w:w="100" w:type="dxa"/>
            <w:vAlign w:val="bottom"/>
          </w:tcPr>
          <w:p>
            <w:pPr>
              <w:spacing w:after="0"/>
              <w:rPr>
                <w:sz w:val="17"/>
                <w:szCs w:val="17"/>
                <w:color w:val="auto"/>
              </w:rPr>
            </w:pPr>
          </w:p>
        </w:tc>
        <w:tc>
          <w:tcPr>
            <w:tcW w:w="2280" w:type="dxa"/>
            <w:vAlign w:val="bottom"/>
          </w:tcPr>
          <w:p>
            <w:pPr>
              <w:jc w:val="right"/>
              <w:ind w:right="204"/>
              <w:spacing w:after="0"/>
              <w:rPr>
                <w:sz w:val="20"/>
                <w:szCs w:val="20"/>
                <w:color w:val="auto"/>
              </w:rPr>
            </w:pPr>
            <w:r>
              <w:rPr>
                <w:rFonts w:ascii="Arial" w:cs="Arial" w:eastAsia="Arial" w:hAnsi="Arial"/>
                <w:sz w:val="14"/>
                <w:szCs w:val="14"/>
                <w:color w:val="auto"/>
              </w:rPr>
              <w:t>— —</w:t>
            </w: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100" w:type="dxa"/>
            <w:vAlign w:val="bottom"/>
            <w:tcBorders>
              <w:bottom w:val="single" w:sz="8" w:color="0071CE"/>
            </w:tcBorders>
          </w:tcPr>
          <w:p>
            <w:pPr>
              <w:spacing w:after="0"/>
              <w:rPr>
                <w:sz w:val="17"/>
                <w:szCs w:val="17"/>
                <w:color w:val="auto"/>
              </w:rPr>
            </w:pPr>
          </w:p>
        </w:tc>
        <w:tc>
          <w:tcPr>
            <w:tcW w:w="2520" w:type="dxa"/>
            <w:vAlign w:val="bottom"/>
            <w:tcBorders>
              <w:bottom w:val="single" w:sz="8" w:color="0071CE"/>
            </w:tcBorders>
          </w:tcPr>
          <w:p>
            <w:pPr>
              <w:spacing w:after="0"/>
              <w:rPr>
                <w:sz w:val="17"/>
                <w:szCs w:val="17"/>
                <w:color w:val="auto"/>
              </w:rPr>
            </w:pPr>
          </w:p>
        </w:tc>
        <w:tc>
          <w:tcPr>
            <w:tcW w:w="1480" w:type="dxa"/>
            <w:vAlign w:val="bottom"/>
            <w:tcBorders>
              <w:bottom w:val="single" w:sz="8" w:color="026DCE"/>
            </w:tcBorders>
          </w:tcPr>
          <w:p>
            <w:pPr>
              <w:jc w:val="right"/>
              <w:spacing w:after="0"/>
              <w:rPr>
                <w:sz w:val="20"/>
                <w:szCs w:val="20"/>
                <w:color w:val="auto"/>
              </w:rPr>
            </w:pPr>
            <w:r>
              <w:rPr>
                <w:rFonts w:ascii="Arial" w:cs="Arial" w:eastAsia="Arial" w:hAnsi="Arial"/>
                <w:sz w:val="14"/>
                <w:szCs w:val="14"/>
                <w:color w:val="auto"/>
              </w:rPr>
              <w:t>01/04/2024</w:t>
            </w:r>
          </w:p>
        </w:tc>
        <w:tc>
          <w:tcPr>
            <w:tcW w:w="100" w:type="dxa"/>
            <w:vAlign w:val="bottom"/>
            <w:tcBorders>
              <w:bottom w:val="single" w:sz="8" w:color="0071CE"/>
            </w:tcBorders>
          </w:tcPr>
          <w:p>
            <w:pPr>
              <w:spacing w:after="0"/>
              <w:rPr>
                <w:sz w:val="17"/>
                <w:szCs w:val="17"/>
                <w:color w:val="auto"/>
              </w:rPr>
            </w:pPr>
          </w:p>
        </w:tc>
        <w:tc>
          <w:tcPr>
            <w:tcW w:w="1480" w:type="dxa"/>
            <w:vAlign w:val="bottom"/>
            <w:tcBorders>
              <w:bottom w:val="single" w:sz="8" w:color="026DCE"/>
            </w:tcBorders>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tcBorders>
              <w:bottom w:val="single" w:sz="8" w:color="0071CE"/>
            </w:tcBorders>
          </w:tcPr>
          <w:p>
            <w:pPr>
              <w:spacing w:after="0"/>
              <w:rPr>
                <w:sz w:val="17"/>
                <w:szCs w:val="17"/>
                <w:color w:val="auto"/>
              </w:rPr>
            </w:pPr>
          </w:p>
        </w:tc>
        <w:tc>
          <w:tcPr>
            <w:tcW w:w="1480" w:type="dxa"/>
            <w:vAlign w:val="bottom"/>
            <w:tcBorders>
              <w:bottom w:val="single" w:sz="8" w:color="026DCE"/>
            </w:tcBorders>
          </w:tcPr>
          <w:p>
            <w:pPr>
              <w:jc w:val="right"/>
              <w:spacing w:after="0"/>
              <w:rPr>
                <w:sz w:val="20"/>
                <w:szCs w:val="20"/>
                <w:color w:val="auto"/>
              </w:rPr>
            </w:pPr>
            <w:r>
              <w:rPr>
                <w:rFonts w:ascii="Arial" w:cs="Arial" w:eastAsia="Arial" w:hAnsi="Arial"/>
                <w:sz w:val="14"/>
                <w:szCs w:val="14"/>
                <w:color w:val="auto"/>
              </w:rPr>
              <w:t>1,452,750</w:t>
            </w:r>
          </w:p>
        </w:tc>
        <w:tc>
          <w:tcPr>
            <w:tcW w:w="100" w:type="dxa"/>
            <w:vAlign w:val="bottom"/>
            <w:tcBorders>
              <w:bottom w:val="single" w:sz="8" w:color="0071CE"/>
            </w:tcBorders>
          </w:tcPr>
          <w:p>
            <w:pPr>
              <w:spacing w:after="0"/>
              <w:rPr>
                <w:sz w:val="17"/>
                <w:szCs w:val="17"/>
                <w:color w:val="auto"/>
              </w:rPr>
            </w:pPr>
          </w:p>
        </w:tc>
        <w:tc>
          <w:tcPr>
            <w:tcW w:w="2280" w:type="dxa"/>
            <w:vAlign w:val="bottom"/>
            <w:tcBorders>
              <w:bottom w:val="single" w:sz="8" w:color="026DCE"/>
            </w:tcBorders>
          </w:tcPr>
          <w:p>
            <w:pPr>
              <w:jc w:val="right"/>
              <w:ind w:right="204"/>
              <w:spacing w:after="0"/>
              <w:rPr>
                <w:sz w:val="20"/>
                <w:szCs w:val="20"/>
                <w:color w:val="auto"/>
              </w:rPr>
            </w:pPr>
            <w:r>
              <w:rPr>
                <w:rFonts w:ascii="Arial" w:cs="Arial" w:eastAsia="Arial" w:hAnsi="Arial"/>
                <w:sz w:val="14"/>
                <w:szCs w:val="14"/>
                <w:color w:val="auto"/>
              </w:rPr>
              <w:t>— —</w:t>
            </w:r>
          </w:p>
        </w:tc>
        <w:tc>
          <w:tcPr>
            <w:tcW w:w="1580" w:type="dxa"/>
            <w:vAlign w:val="bottom"/>
            <w:tcBorders>
              <w:bottom w:val="single" w:sz="8" w:color="026DCE"/>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-4413885</wp:posOffset>
            </wp:positionV>
            <wp:extent cx="44659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465955"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556895</wp:posOffset>
            </wp:positionV>
            <wp:extent cx="986155" cy="2057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E"/>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0" w:hanging="392"/>
        <w:spacing w:after="0"/>
        <w:tabs>
          <w:tab w:leader="none" w:pos="4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RSUs have various vesting parameters but generally vest in four equal annual installments beginning one year from the grant date.</w:t>
      </w:r>
    </w:p>
    <w:p>
      <w:pPr>
        <w:spacing w:after="0" w:line="28" w:lineRule="exact"/>
        <w:rPr>
          <w:rFonts w:ascii="Arial" w:cs="Arial" w:eastAsia="Arial" w:hAnsi="Arial"/>
          <w:sz w:val="14"/>
          <w:szCs w:val="14"/>
          <w:color w:val="auto"/>
        </w:rPr>
      </w:pPr>
    </w:p>
    <w:p>
      <w:pPr>
        <w:ind w:left="400" w:hanging="392"/>
        <w:spacing w:after="0" w:line="221" w:lineRule="auto"/>
        <w:tabs>
          <w:tab w:leader="none" w:pos="4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Value is based on our Company’s Common Stock closing price of $19.37 on September 30, 2024.</w:t>
      </w:r>
    </w:p>
    <w:p>
      <w:pPr>
        <w:ind w:left="420" w:hanging="412"/>
        <w:spacing w:after="0" w:line="303" w:lineRule="auto"/>
        <w:tabs>
          <w:tab w:leader="none" w:pos="407"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amounts reported for Christopher Anzalone in this column reflect the January 2020, January 2021, July 2022, December 2022, and December 2023 awards that contain performance-based vesting conditions. These awards and their vesting conditions are described above in the “Compensation Discussion and Analysis” under the heading “Equity Compensation" in this year’s proxy statement and in prior proxy statements,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475615</wp:posOffset>
            </wp:positionV>
            <wp:extent cx="986155" cy="2057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12" w:right="4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Fiscal 2024 Options Exercises and Stock Vested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with respect to the NEOs, concerning options exercised or RSUs or PRSUs vested during fiscal 2024.</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shd w:val="clear" w:color="auto" w:fill="0071CE"/>
          </w:tcPr>
          <w:p>
            <w:pPr>
              <w:spacing w:after="0"/>
              <w:rPr>
                <w:sz w:val="17"/>
                <w:szCs w:val="17"/>
                <w:color w:val="auto"/>
              </w:rPr>
            </w:pPr>
          </w:p>
        </w:tc>
        <w:tc>
          <w:tcPr>
            <w:tcW w:w="3380" w:type="dxa"/>
            <w:vAlign w:val="bottom"/>
            <w:gridSpan w:val="5"/>
            <w:shd w:val="clear" w:color="auto" w:fill="0071CE"/>
          </w:tcPr>
          <w:p>
            <w:pPr>
              <w:ind w:left="1080"/>
              <w:spacing w:after="0"/>
              <w:rPr>
                <w:sz w:val="20"/>
                <w:szCs w:val="20"/>
                <w:color w:val="auto"/>
              </w:rPr>
            </w:pPr>
            <w:r>
              <w:rPr>
                <w:rFonts w:ascii="Arial" w:cs="Arial" w:eastAsia="Arial" w:hAnsi="Arial"/>
                <w:sz w:val="14"/>
                <w:szCs w:val="14"/>
                <w:b w:val="1"/>
                <w:bCs w:val="1"/>
                <w:color w:val="FFFFFF"/>
              </w:rPr>
              <w:t>Option Awards</w:t>
            </w:r>
          </w:p>
        </w:tc>
        <w:tc>
          <w:tcPr>
            <w:tcW w:w="2980" w:type="dxa"/>
            <w:vAlign w:val="bottom"/>
            <w:gridSpan w:val="3"/>
            <w:shd w:val="clear" w:color="auto" w:fill="0071CE"/>
          </w:tcPr>
          <w:p>
            <w:pPr>
              <w:jc w:val="right"/>
              <w:ind w:right="960"/>
              <w:spacing w:after="0"/>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257"/>
        </w:trPr>
        <w:tc>
          <w:tcPr>
            <w:tcW w:w="4860" w:type="dxa"/>
            <w:vAlign w:val="bottom"/>
            <w:shd w:val="clear" w:color="auto" w:fill="0071CE"/>
          </w:tcPr>
          <w:p>
            <w:pPr>
              <w:spacing w:after="0"/>
              <w:rPr>
                <w:sz w:val="22"/>
                <w:szCs w:val="22"/>
                <w:color w:val="auto"/>
              </w:rPr>
            </w:pPr>
          </w:p>
        </w:tc>
        <w:tc>
          <w:tcPr>
            <w:tcW w:w="1680" w:type="dxa"/>
            <w:vAlign w:val="bottom"/>
            <w:shd w:val="clear" w:color="auto" w:fill="0071CE"/>
          </w:tcPr>
          <w:p>
            <w:pPr>
              <w:jc w:val="center"/>
              <w:ind w:right="123"/>
              <w:spacing w:after="0"/>
              <w:rPr>
                <w:sz w:val="20"/>
                <w:szCs w:val="20"/>
                <w:color w:val="auto"/>
              </w:rPr>
            </w:pPr>
            <w:r>
              <w:rPr>
                <w:rFonts w:ascii="Arial" w:cs="Arial" w:eastAsia="Arial" w:hAnsi="Arial"/>
                <w:sz w:val="14"/>
                <w:szCs w:val="14"/>
                <w:b w:val="1"/>
                <w:bCs w:val="1"/>
                <w:color w:val="FFFFFF"/>
              </w:rPr>
              <w:t>Number of Shares</w:t>
            </w:r>
          </w:p>
        </w:tc>
        <w:tc>
          <w:tcPr>
            <w:tcW w:w="100" w:type="dxa"/>
            <w:vAlign w:val="bottom"/>
            <w:shd w:val="clear" w:color="auto" w:fill="0071CE"/>
          </w:tcPr>
          <w:p>
            <w:pPr>
              <w:spacing w:after="0"/>
              <w:rPr>
                <w:sz w:val="22"/>
                <w:szCs w:val="22"/>
                <w:color w:val="auto"/>
              </w:rPr>
            </w:pPr>
          </w:p>
        </w:tc>
        <w:tc>
          <w:tcPr>
            <w:tcW w:w="1600" w:type="dxa"/>
            <w:vAlign w:val="bottom"/>
            <w:gridSpan w:val="3"/>
            <w:vMerge w:val="restart"/>
            <w:shd w:val="clear" w:color="auto" w:fill="0071CE"/>
          </w:tcPr>
          <w:p>
            <w:pPr>
              <w:ind w:left="20"/>
              <w:spacing w:after="0"/>
              <w:rPr>
                <w:sz w:val="20"/>
                <w:szCs w:val="20"/>
                <w:color w:val="auto"/>
              </w:rPr>
            </w:pPr>
            <w:r>
              <w:rPr>
                <w:rFonts w:ascii="Arial" w:cs="Arial" w:eastAsia="Arial" w:hAnsi="Arial"/>
                <w:sz w:val="14"/>
                <w:szCs w:val="14"/>
                <w:b w:val="1"/>
                <w:bCs w:val="1"/>
                <w:color w:val="FFFFFF"/>
              </w:rPr>
              <w:t>Value Realized on</w:t>
            </w:r>
          </w:p>
        </w:tc>
        <w:tc>
          <w:tcPr>
            <w:tcW w:w="1460" w:type="dxa"/>
            <w:vAlign w:val="bottom"/>
            <w:shd w:val="clear" w:color="auto" w:fill="0071CE"/>
          </w:tcPr>
          <w:p>
            <w:pPr>
              <w:jc w:val="center"/>
              <w:ind w:right="23"/>
              <w:spacing w:after="0"/>
              <w:rPr>
                <w:sz w:val="20"/>
                <w:szCs w:val="20"/>
                <w:color w:val="auto"/>
              </w:rPr>
            </w:pPr>
            <w:r>
              <w:rPr>
                <w:rFonts w:ascii="Arial" w:cs="Arial" w:eastAsia="Arial" w:hAnsi="Arial"/>
                <w:sz w:val="14"/>
                <w:szCs w:val="14"/>
                <w:b w:val="1"/>
                <w:bCs w:val="1"/>
                <w:color w:val="FFFFFF"/>
              </w:rPr>
              <w:t>Number of Shares</w:t>
            </w:r>
          </w:p>
        </w:tc>
        <w:tc>
          <w:tcPr>
            <w:tcW w:w="1520" w:type="dxa"/>
            <w:vAlign w:val="bottom"/>
            <w:gridSpan w:val="2"/>
            <w:vMerge w:val="restart"/>
            <w:shd w:val="clear" w:color="auto" w:fill="0071CE"/>
          </w:tcPr>
          <w:p>
            <w:pPr>
              <w:jc w:val="right"/>
              <w:ind w:right="80"/>
              <w:spacing w:after="0"/>
              <w:rPr>
                <w:sz w:val="20"/>
                <w:szCs w:val="20"/>
                <w:color w:val="auto"/>
              </w:rPr>
            </w:pPr>
            <w:r>
              <w:rPr>
                <w:rFonts w:ascii="Arial" w:cs="Arial" w:eastAsia="Arial" w:hAnsi="Arial"/>
                <w:sz w:val="14"/>
                <w:szCs w:val="14"/>
                <w:b w:val="1"/>
                <w:bCs w:val="1"/>
                <w:color w:val="FFFFFF"/>
              </w:rPr>
              <w:t>Value Realized on</w:t>
            </w:r>
          </w:p>
        </w:tc>
        <w:tc>
          <w:tcPr>
            <w:tcW w:w="0" w:type="dxa"/>
            <w:vAlign w:val="bottom"/>
          </w:tcPr>
          <w:p>
            <w:pPr>
              <w:spacing w:after="0"/>
              <w:rPr>
                <w:sz w:val="1"/>
                <w:szCs w:val="1"/>
                <w:color w:val="auto"/>
              </w:rPr>
            </w:pPr>
          </w:p>
        </w:tc>
      </w:tr>
      <w:tr>
        <w:trPr>
          <w:trHeight w:val="148"/>
        </w:trPr>
        <w:tc>
          <w:tcPr>
            <w:tcW w:w="4860" w:type="dxa"/>
            <w:vAlign w:val="bottom"/>
            <w:vMerge w:val="restart"/>
            <w:shd w:val="clear" w:color="auto" w:fill="0071CE"/>
          </w:tcPr>
          <w:p>
            <w:pPr>
              <w:ind w:left="140"/>
              <w:spacing w:after="0"/>
              <w:rPr>
                <w:sz w:val="20"/>
                <w:szCs w:val="20"/>
                <w:color w:val="auto"/>
              </w:rPr>
            </w:pPr>
            <w:r>
              <w:rPr>
                <w:rFonts w:ascii="Arial" w:cs="Arial" w:eastAsia="Arial" w:hAnsi="Arial"/>
                <w:sz w:val="14"/>
                <w:szCs w:val="14"/>
                <w:b w:val="1"/>
                <w:bCs w:val="1"/>
                <w:color w:val="FFFFFF"/>
              </w:rPr>
              <w:t>Name</w:t>
            </w:r>
          </w:p>
        </w:tc>
        <w:tc>
          <w:tcPr>
            <w:tcW w:w="1680" w:type="dxa"/>
            <w:vAlign w:val="bottom"/>
            <w:shd w:val="clear" w:color="auto" w:fill="0071CE"/>
          </w:tcPr>
          <w:p>
            <w:pPr>
              <w:jc w:val="center"/>
              <w:ind w:right="123"/>
              <w:spacing w:after="0" w:line="149" w:lineRule="exact"/>
              <w:rPr>
                <w:sz w:val="20"/>
                <w:szCs w:val="20"/>
                <w:color w:val="auto"/>
              </w:rPr>
            </w:pPr>
            <w:r>
              <w:rPr>
                <w:rFonts w:ascii="Arial" w:cs="Arial" w:eastAsia="Arial" w:hAnsi="Arial"/>
                <w:sz w:val="14"/>
                <w:szCs w:val="14"/>
                <w:b w:val="1"/>
                <w:bCs w:val="1"/>
                <w:color w:val="FFFFFF"/>
              </w:rPr>
              <w:t>Acquired on</w:t>
            </w:r>
          </w:p>
        </w:tc>
        <w:tc>
          <w:tcPr>
            <w:tcW w:w="100" w:type="dxa"/>
            <w:vAlign w:val="bottom"/>
            <w:shd w:val="clear" w:color="auto" w:fill="0071CE"/>
          </w:tcPr>
          <w:p>
            <w:pPr>
              <w:spacing w:after="0"/>
              <w:rPr>
                <w:sz w:val="12"/>
                <w:szCs w:val="12"/>
                <w:color w:val="auto"/>
              </w:rPr>
            </w:pPr>
          </w:p>
        </w:tc>
        <w:tc>
          <w:tcPr>
            <w:tcW w:w="1600" w:type="dxa"/>
            <w:vAlign w:val="bottom"/>
            <w:gridSpan w:val="3"/>
            <w:vMerge w:val="continue"/>
            <w:shd w:val="clear" w:color="auto" w:fill="0071CE"/>
          </w:tcPr>
          <w:p>
            <w:pPr>
              <w:spacing w:after="0"/>
              <w:rPr>
                <w:sz w:val="12"/>
                <w:szCs w:val="12"/>
                <w:color w:val="auto"/>
              </w:rPr>
            </w:pPr>
          </w:p>
        </w:tc>
        <w:tc>
          <w:tcPr>
            <w:tcW w:w="1460" w:type="dxa"/>
            <w:vAlign w:val="bottom"/>
            <w:shd w:val="clear" w:color="auto" w:fill="0071CE"/>
          </w:tcPr>
          <w:p>
            <w:pPr>
              <w:jc w:val="center"/>
              <w:ind w:right="23"/>
              <w:spacing w:after="0" w:line="149" w:lineRule="exact"/>
              <w:rPr>
                <w:sz w:val="20"/>
                <w:szCs w:val="20"/>
                <w:color w:val="auto"/>
              </w:rPr>
            </w:pPr>
            <w:r>
              <w:rPr>
                <w:rFonts w:ascii="Arial" w:cs="Arial" w:eastAsia="Arial" w:hAnsi="Arial"/>
                <w:sz w:val="14"/>
                <w:szCs w:val="14"/>
                <w:b w:val="1"/>
                <w:bCs w:val="1"/>
                <w:color w:val="FFFFFF"/>
              </w:rPr>
              <w:t>Acquired on</w:t>
            </w:r>
          </w:p>
        </w:tc>
        <w:tc>
          <w:tcPr>
            <w:tcW w:w="1520" w:type="dxa"/>
            <w:vAlign w:val="bottom"/>
            <w:gridSpan w:val="2"/>
            <w:vMerge w:val="continue"/>
            <w:shd w:val="clear" w:color="auto" w:fill="0071C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860" w:type="dxa"/>
            <w:vAlign w:val="bottom"/>
            <w:vMerge w:val="continue"/>
            <w:shd w:val="clear" w:color="auto" w:fill="0071CE"/>
          </w:tcPr>
          <w:p>
            <w:pPr>
              <w:spacing w:after="0"/>
              <w:rPr>
                <w:sz w:val="16"/>
                <w:szCs w:val="16"/>
                <w:color w:val="auto"/>
              </w:rPr>
            </w:pPr>
          </w:p>
        </w:tc>
        <w:tc>
          <w:tcPr>
            <w:tcW w:w="1680" w:type="dxa"/>
            <w:vAlign w:val="bottom"/>
            <w:shd w:val="clear" w:color="auto" w:fill="0071CE"/>
          </w:tcPr>
          <w:p>
            <w:pPr>
              <w:jc w:val="center"/>
              <w:ind w:right="103"/>
              <w:spacing w:after="0"/>
              <w:rPr>
                <w:sz w:val="20"/>
                <w:szCs w:val="20"/>
                <w:color w:val="auto"/>
              </w:rPr>
            </w:pPr>
            <w:r>
              <w:rPr>
                <w:rFonts w:ascii="Arial" w:cs="Arial" w:eastAsia="Arial" w:hAnsi="Arial"/>
                <w:sz w:val="14"/>
                <w:szCs w:val="14"/>
                <w:b w:val="1"/>
                <w:bCs w:val="1"/>
                <w:color w:val="FFFFFF"/>
              </w:rPr>
              <w:t>Exercise</w:t>
            </w:r>
          </w:p>
        </w:tc>
        <w:tc>
          <w:tcPr>
            <w:tcW w:w="100" w:type="dxa"/>
            <w:vAlign w:val="bottom"/>
            <w:shd w:val="clear" w:color="auto" w:fill="0071CE"/>
          </w:tcPr>
          <w:p>
            <w:pPr>
              <w:spacing w:after="0"/>
              <w:rPr>
                <w:sz w:val="16"/>
                <w:szCs w:val="16"/>
                <w:color w:val="auto"/>
              </w:rPr>
            </w:pPr>
          </w:p>
        </w:tc>
        <w:tc>
          <w:tcPr>
            <w:tcW w:w="1600" w:type="dxa"/>
            <w:vAlign w:val="bottom"/>
            <w:gridSpan w:val="3"/>
            <w:shd w:val="clear" w:color="auto" w:fill="0071CE"/>
          </w:tcPr>
          <w:p>
            <w:pPr>
              <w:ind w:left="220"/>
              <w:spacing w:after="0"/>
              <w:rPr>
                <w:sz w:val="20"/>
                <w:szCs w:val="20"/>
                <w:color w:val="auto"/>
              </w:rPr>
            </w:pPr>
            <w:r>
              <w:rPr>
                <w:rFonts w:ascii="Arial" w:cs="Arial" w:eastAsia="Arial" w:hAnsi="Arial"/>
                <w:sz w:val="14"/>
                <w:szCs w:val="14"/>
                <w:b w:val="1"/>
                <w:bCs w:val="1"/>
                <w:color w:val="FFFFFF"/>
              </w:rPr>
              <w:t>Exercise (1)</w:t>
            </w:r>
          </w:p>
        </w:tc>
        <w:tc>
          <w:tcPr>
            <w:tcW w:w="1460" w:type="dxa"/>
            <w:vAlign w:val="bottom"/>
            <w:shd w:val="clear" w:color="auto" w:fill="0071CE"/>
          </w:tcPr>
          <w:p>
            <w:pPr>
              <w:jc w:val="center"/>
              <w:ind w:right="23"/>
              <w:spacing w:after="0"/>
              <w:rPr>
                <w:sz w:val="20"/>
                <w:szCs w:val="20"/>
                <w:color w:val="auto"/>
              </w:rPr>
            </w:pPr>
            <w:r>
              <w:rPr>
                <w:rFonts w:ascii="Arial" w:cs="Arial" w:eastAsia="Arial" w:hAnsi="Arial"/>
                <w:sz w:val="14"/>
                <w:szCs w:val="14"/>
                <w:b w:val="1"/>
                <w:bCs w:val="1"/>
                <w:color w:val="FFFFFF"/>
              </w:rPr>
              <w:t>Vesting</w:t>
            </w:r>
          </w:p>
        </w:tc>
        <w:tc>
          <w:tcPr>
            <w:tcW w:w="280" w:type="dxa"/>
            <w:vAlign w:val="bottom"/>
            <w:shd w:val="clear" w:color="auto" w:fill="0071CE"/>
          </w:tcPr>
          <w:p>
            <w:pPr>
              <w:spacing w:after="0"/>
              <w:rPr>
                <w:sz w:val="16"/>
                <w:szCs w:val="16"/>
                <w:color w:val="auto"/>
              </w:rPr>
            </w:pPr>
          </w:p>
        </w:tc>
        <w:tc>
          <w:tcPr>
            <w:tcW w:w="1240" w:type="dxa"/>
            <w:vAlign w:val="bottom"/>
            <w:shd w:val="clear" w:color="auto" w:fill="0071CE"/>
          </w:tcPr>
          <w:p>
            <w:pPr>
              <w:jc w:val="right"/>
              <w:ind w:right="280"/>
              <w:spacing w:after="0"/>
              <w:rPr>
                <w:sz w:val="20"/>
                <w:szCs w:val="20"/>
                <w:color w:val="auto"/>
              </w:rPr>
            </w:pPr>
            <w:r>
              <w:rPr>
                <w:rFonts w:ascii="Arial" w:cs="Arial" w:eastAsia="Arial" w:hAnsi="Arial"/>
                <w:sz w:val="14"/>
                <w:szCs w:val="14"/>
                <w:b w:val="1"/>
                <w:bCs w:val="1"/>
                <w:color w:val="FFFFFF"/>
              </w:rPr>
              <w:t>Vesting (2)</w:t>
            </w:r>
          </w:p>
        </w:tc>
        <w:tc>
          <w:tcPr>
            <w:tcW w:w="0" w:type="dxa"/>
            <w:vAlign w:val="bottom"/>
          </w:tcPr>
          <w:p>
            <w:pPr>
              <w:spacing w:after="0"/>
              <w:rPr>
                <w:sz w:val="1"/>
                <w:szCs w:val="1"/>
                <w:color w:val="auto"/>
              </w:rPr>
            </w:pPr>
          </w:p>
        </w:tc>
      </w:tr>
      <w:tr>
        <w:trPr>
          <w:trHeight w:val="216"/>
        </w:trPr>
        <w:tc>
          <w:tcPr>
            <w:tcW w:w="4860" w:type="dxa"/>
            <w:vAlign w:val="bottom"/>
            <w:shd w:val="clear" w:color="auto" w:fill="E5E5E5"/>
          </w:tcPr>
          <w:p>
            <w:pPr>
              <w:ind w:left="120"/>
              <w:spacing w:after="0"/>
              <w:rPr>
                <w:sz w:val="20"/>
                <w:szCs w:val="20"/>
                <w:color w:val="auto"/>
              </w:rPr>
            </w:pPr>
            <w:r>
              <w:rPr>
                <w:rFonts w:ascii="Arial" w:cs="Arial" w:eastAsia="Arial" w:hAnsi="Arial"/>
                <w:sz w:val="16"/>
                <w:szCs w:val="16"/>
                <w:color w:val="auto"/>
              </w:rPr>
              <w:t>Christopher Anzalone</w:t>
            </w:r>
          </w:p>
        </w:tc>
        <w:tc>
          <w:tcPr>
            <w:tcW w:w="1680" w:type="dxa"/>
            <w:vAlign w:val="bottom"/>
            <w:shd w:val="clear" w:color="auto" w:fill="E5E5E5"/>
          </w:tcPr>
          <w:p>
            <w:pPr>
              <w:jc w:val="right"/>
              <w:ind w:right="143"/>
              <w:spacing w:after="0"/>
              <w:rPr>
                <w:sz w:val="20"/>
                <w:szCs w:val="20"/>
                <w:color w:val="auto"/>
              </w:rPr>
            </w:pPr>
            <w:r>
              <w:rPr>
                <w:rFonts w:ascii="Arial" w:cs="Arial" w:eastAsia="Arial" w:hAnsi="Arial"/>
                <w:sz w:val="16"/>
                <w:szCs w:val="16"/>
                <w:color w:val="auto"/>
              </w:rPr>
              <w:t>57,499</w:t>
            </w:r>
          </w:p>
        </w:tc>
        <w:tc>
          <w:tcPr>
            <w:tcW w:w="10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E5E5E5"/>
          </w:tcPr>
          <w:p>
            <w:pPr>
              <w:ind w:left="580"/>
              <w:spacing w:after="0"/>
              <w:rPr>
                <w:sz w:val="20"/>
                <w:szCs w:val="20"/>
                <w:color w:val="auto"/>
              </w:rPr>
            </w:pPr>
            <w:r>
              <w:rPr>
                <w:rFonts w:ascii="Arial" w:cs="Arial" w:eastAsia="Arial" w:hAnsi="Arial"/>
                <w:sz w:val="16"/>
                <w:szCs w:val="16"/>
                <w:color w:val="auto"/>
              </w:rPr>
              <w:t>1,024,000</w:t>
            </w:r>
          </w:p>
        </w:tc>
        <w:tc>
          <w:tcPr>
            <w:tcW w:w="18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14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95,087</w:t>
            </w:r>
          </w:p>
        </w:tc>
        <w:tc>
          <w:tcPr>
            <w:tcW w:w="280" w:type="dxa"/>
            <w:vAlign w:val="bottom"/>
            <w:shd w:val="clear" w:color="auto" w:fill="E5E5E5"/>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2,603,325</w:t>
            </w:r>
          </w:p>
        </w:tc>
        <w:tc>
          <w:tcPr>
            <w:tcW w:w="0" w:type="dxa"/>
            <w:vAlign w:val="bottom"/>
          </w:tcPr>
          <w:p>
            <w:pPr>
              <w:spacing w:after="0"/>
              <w:rPr>
                <w:sz w:val="1"/>
                <w:szCs w:val="1"/>
                <w:color w:val="auto"/>
              </w:rPr>
            </w:pPr>
          </w:p>
        </w:tc>
      </w:tr>
      <w:tr>
        <w:trPr>
          <w:trHeight w:val="215"/>
        </w:trPr>
        <w:tc>
          <w:tcPr>
            <w:tcW w:w="4860" w:type="dxa"/>
            <w:vAlign w:val="bottom"/>
          </w:tcPr>
          <w:p>
            <w:pPr>
              <w:ind w:left="120"/>
              <w:spacing w:after="0"/>
              <w:rPr>
                <w:sz w:val="20"/>
                <w:szCs w:val="20"/>
                <w:color w:val="auto"/>
              </w:rPr>
            </w:pPr>
            <w:r>
              <w:rPr>
                <w:rFonts w:ascii="Arial" w:cs="Arial" w:eastAsia="Arial" w:hAnsi="Arial"/>
                <w:sz w:val="16"/>
                <w:szCs w:val="16"/>
                <w:color w:val="auto"/>
              </w:rPr>
              <w:t>Kenneth Myszkowski</w:t>
            </w:r>
          </w:p>
        </w:tc>
        <w:tc>
          <w:tcPr>
            <w:tcW w:w="1680" w:type="dxa"/>
            <w:vAlign w:val="bottom"/>
          </w:tcPr>
          <w:p>
            <w:pPr>
              <w:jc w:val="right"/>
              <w:ind w:right="14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0" w:type="dxa"/>
            <w:vAlign w:val="bottom"/>
            <w:gridSpan w:val="3"/>
          </w:tcPr>
          <w:p>
            <w:pPr>
              <w:ind w:left="118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66,250</w:t>
            </w:r>
          </w:p>
        </w:tc>
        <w:tc>
          <w:tcPr>
            <w:tcW w:w="2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2,212,813</w:t>
            </w:r>
          </w:p>
        </w:tc>
        <w:tc>
          <w:tcPr>
            <w:tcW w:w="0" w:type="dxa"/>
            <w:vAlign w:val="bottom"/>
          </w:tcPr>
          <w:p>
            <w:pPr>
              <w:spacing w:after="0"/>
              <w:rPr>
                <w:sz w:val="1"/>
                <w:szCs w:val="1"/>
                <w:color w:val="auto"/>
              </w:rPr>
            </w:pPr>
          </w:p>
        </w:tc>
      </w:tr>
      <w:tr>
        <w:trPr>
          <w:trHeight w:val="217"/>
        </w:trPr>
        <w:tc>
          <w:tcPr>
            <w:tcW w:w="4860" w:type="dxa"/>
            <w:vAlign w:val="bottom"/>
            <w:shd w:val="clear" w:color="auto" w:fill="E5E5E5"/>
          </w:tcPr>
          <w:p>
            <w:pPr>
              <w:ind w:left="120"/>
              <w:spacing w:after="0"/>
              <w:rPr>
                <w:sz w:val="20"/>
                <w:szCs w:val="20"/>
                <w:color w:val="auto"/>
              </w:rPr>
            </w:pPr>
            <w:r>
              <w:rPr>
                <w:rFonts w:ascii="Arial" w:cs="Arial" w:eastAsia="Arial" w:hAnsi="Arial"/>
                <w:sz w:val="16"/>
                <w:szCs w:val="16"/>
                <w:color w:val="auto"/>
              </w:rPr>
              <w:t>Patrick O’Brien</w:t>
            </w:r>
          </w:p>
        </w:tc>
        <w:tc>
          <w:tcPr>
            <w:tcW w:w="1680" w:type="dxa"/>
            <w:vAlign w:val="bottom"/>
            <w:shd w:val="clear" w:color="auto" w:fill="E5E5E5"/>
          </w:tcPr>
          <w:p>
            <w:pPr>
              <w:jc w:val="right"/>
              <w:ind w:right="143"/>
              <w:spacing w:after="0"/>
              <w:rPr>
                <w:sz w:val="20"/>
                <w:szCs w:val="20"/>
                <w:color w:val="auto"/>
              </w:rPr>
            </w:pPr>
            <w:r>
              <w:rPr>
                <w:rFonts w:ascii="Arial" w:cs="Arial" w:eastAsia="Arial" w:hAnsi="Arial"/>
                <w:sz w:val="16"/>
                <w:szCs w:val="16"/>
                <w:color w:val="auto"/>
              </w:rPr>
              <w:t>—</w:t>
            </w:r>
          </w:p>
        </w:tc>
        <w:tc>
          <w:tcPr>
            <w:tcW w:w="100" w:type="dxa"/>
            <w:vAlign w:val="bottom"/>
            <w:shd w:val="clear" w:color="auto" w:fill="E5E5E5"/>
          </w:tcPr>
          <w:p>
            <w:pPr>
              <w:spacing w:after="0"/>
              <w:rPr>
                <w:sz w:val="18"/>
                <w:szCs w:val="18"/>
                <w:color w:val="auto"/>
              </w:rPr>
            </w:pPr>
          </w:p>
        </w:tc>
        <w:tc>
          <w:tcPr>
            <w:tcW w:w="1600" w:type="dxa"/>
            <w:vAlign w:val="bottom"/>
            <w:gridSpan w:val="3"/>
            <w:shd w:val="clear" w:color="auto" w:fill="E5E5E5"/>
          </w:tcPr>
          <w:p>
            <w:pPr>
              <w:ind w:left="1180"/>
              <w:spacing w:after="0"/>
              <w:rPr>
                <w:sz w:val="20"/>
                <w:szCs w:val="20"/>
                <w:color w:val="auto"/>
              </w:rPr>
            </w:pPr>
            <w:r>
              <w:rPr>
                <w:rFonts w:ascii="Arial" w:cs="Arial" w:eastAsia="Arial" w:hAnsi="Arial"/>
                <w:sz w:val="16"/>
                <w:szCs w:val="16"/>
                <w:color w:val="auto"/>
              </w:rPr>
              <w:t>—</w:t>
            </w:r>
          </w:p>
        </w:tc>
        <w:tc>
          <w:tcPr>
            <w:tcW w:w="14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63,750</w:t>
            </w:r>
          </w:p>
        </w:tc>
        <w:tc>
          <w:tcPr>
            <w:tcW w:w="280" w:type="dxa"/>
            <w:vAlign w:val="bottom"/>
            <w:shd w:val="clear" w:color="auto" w:fill="E5E5E5"/>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2,139,688</w:t>
            </w:r>
          </w:p>
        </w:tc>
        <w:tc>
          <w:tcPr>
            <w:tcW w:w="0" w:type="dxa"/>
            <w:vAlign w:val="bottom"/>
          </w:tcPr>
          <w:p>
            <w:pPr>
              <w:spacing w:after="0"/>
              <w:rPr>
                <w:sz w:val="1"/>
                <w:szCs w:val="1"/>
                <w:color w:val="auto"/>
              </w:rPr>
            </w:pPr>
          </w:p>
        </w:tc>
      </w:tr>
      <w:tr>
        <w:trPr>
          <w:trHeight w:val="215"/>
        </w:trPr>
        <w:tc>
          <w:tcPr>
            <w:tcW w:w="4860" w:type="dxa"/>
            <w:vAlign w:val="bottom"/>
          </w:tcPr>
          <w:p>
            <w:pPr>
              <w:ind w:left="120"/>
              <w:spacing w:after="0"/>
              <w:rPr>
                <w:sz w:val="20"/>
                <w:szCs w:val="20"/>
                <w:color w:val="auto"/>
              </w:rPr>
            </w:pPr>
            <w:r>
              <w:rPr>
                <w:rFonts w:ascii="Arial" w:cs="Arial" w:eastAsia="Arial" w:hAnsi="Arial"/>
                <w:sz w:val="16"/>
                <w:szCs w:val="16"/>
                <w:color w:val="auto"/>
              </w:rPr>
              <w:t>James Hamilton</w:t>
            </w:r>
          </w:p>
        </w:tc>
        <w:tc>
          <w:tcPr>
            <w:tcW w:w="1680" w:type="dxa"/>
            <w:vAlign w:val="bottom"/>
          </w:tcPr>
          <w:p>
            <w:pPr>
              <w:jc w:val="right"/>
              <w:ind w:right="14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0" w:type="dxa"/>
            <w:vAlign w:val="bottom"/>
            <w:gridSpan w:val="3"/>
          </w:tcPr>
          <w:p>
            <w:pPr>
              <w:ind w:left="118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52,500</w:t>
            </w:r>
          </w:p>
        </w:tc>
        <w:tc>
          <w:tcPr>
            <w:tcW w:w="2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1,773,225</w:t>
            </w:r>
          </w:p>
        </w:tc>
        <w:tc>
          <w:tcPr>
            <w:tcW w:w="0" w:type="dxa"/>
            <w:vAlign w:val="bottom"/>
          </w:tcPr>
          <w:p>
            <w:pPr>
              <w:spacing w:after="0"/>
              <w:rPr>
                <w:sz w:val="1"/>
                <w:szCs w:val="1"/>
                <w:color w:val="auto"/>
              </w:rPr>
            </w:pPr>
          </w:p>
        </w:tc>
      </w:tr>
      <w:tr>
        <w:trPr>
          <w:trHeight w:val="217"/>
        </w:trPr>
        <w:tc>
          <w:tcPr>
            <w:tcW w:w="4860" w:type="dxa"/>
            <w:vAlign w:val="bottom"/>
            <w:shd w:val="clear" w:color="auto" w:fill="E5E5E5"/>
          </w:tcPr>
          <w:p>
            <w:pPr>
              <w:ind w:left="120"/>
              <w:spacing w:after="0"/>
              <w:rPr>
                <w:sz w:val="20"/>
                <w:szCs w:val="20"/>
                <w:color w:val="auto"/>
              </w:rPr>
            </w:pPr>
            <w:r>
              <w:rPr>
                <w:rFonts w:ascii="Arial" w:cs="Arial" w:eastAsia="Arial" w:hAnsi="Arial"/>
                <w:sz w:val="16"/>
                <w:szCs w:val="16"/>
                <w:color w:val="auto"/>
              </w:rPr>
              <w:t>Javier San Martin</w:t>
            </w:r>
          </w:p>
        </w:tc>
        <w:tc>
          <w:tcPr>
            <w:tcW w:w="1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 —</w:t>
            </w:r>
          </w:p>
        </w:tc>
        <w:tc>
          <w:tcPr>
            <w:tcW w:w="100" w:type="dxa"/>
            <w:vAlign w:val="bottom"/>
            <w:shd w:val="clear" w:color="auto" w:fill="E5E5E5"/>
          </w:tcPr>
          <w:p>
            <w:pPr>
              <w:spacing w:after="0"/>
              <w:rPr>
                <w:sz w:val="18"/>
                <w:szCs w:val="18"/>
                <w:color w:val="auto"/>
              </w:rPr>
            </w:pPr>
          </w:p>
        </w:tc>
        <w:tc>
          <w:tcPr>
            <w:tcW w:w="1600" w:type="dxa"/>
            <w:vAlign w:val="bottom"/>
            <w:gridSpan w:val="3"/>
            <w:shd w:val="clear" w:color="auto" w:fill="E5E5E5"/>
          </w:tcPr>
          <w:p>
            <w:pPr>
              <w:ind w:left="1180"/>
              <w:spacing w:after="0"/>
              <w:rPr>
                <w:sz w:val="20"/>
                <w:szCs w:val="20"/>
                <w:color w:val="auto"/>
              </w:rPr>
            </w:pPr>
            <w:r>
              <w:rPr>
                <w:rFonts w:ascii="Arial" w:cs="Arial" w:eastAsia="Arial" w:hAnsi="Arial"/>
                <w:sz w:val="16"/>
                <w:szCs w:val="16"/>
                <w:color w:val="auto"/>
              </w:rPr>
              <w:t>— —</w:t>
            </w:r>
          </w:p>
        </w:tc>
        <w:tc>
          <w:tcPr>
            <w:tcW w:w="14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52,500</w:t>
            </w:r>
          </w:p>
        </w:tc>
        <w:tc>
          <w:tcPr>
            <w:tcW w:w="280" w:type="dxa"/>
            <w:vAlign w:val="bottom"/>
            <w:shd w:val="clear" w:color="auto" w:fill="E5E5E5"/>
          </w:tcPr>
          <w:p>
            <w:pPr>
              <w:spacing w:after="0"/>
              <w:rPr>
                <w:sz w:val="18"/>
                <w:szCs w:val="18"/>
                <w:color w:val="auto"/>
              </w:rPr>
            </w:pP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1,570,200</w:t>
            </w:r>
          </w:p>
        </w:tc>
        <w:tc>
          <w:tcPr>
            <w:tcW w:w="0" w:type="dxa"/>
            <w:vAlign w:val="bottom"/>
          </w:tcPr>
          <w:p>
            <w:pPr>
              <w:spacing w:after="0"/>
              <w:rPr>
                <w:sz w:val="1"/>
                <w:szCs w:val="1"/>
                <w:color w:val="auto"/>
              </w:rPr>
            </w:pPr>
          </w:p>
        </w:tc>
      </w:tr>
      <w:tr>
        <w:trPr>
          <w:trHeight w:val="237"/>
        </w:trPr>
        <w:tc>
          <w:tcPr>
            <w:tcW w:w="4860" w:type="dxa"/>
            <w:vAlign w:val="bottom"/>
            <w:tcBorders>
              <w:bottom w:val="single" w:sz="8" w:color="0071CE"/>
            </w:tcBorders>
          </w:tcPr>
          <w:p>
            <w:pPr>
              <w:ind w:left="120"/>
              <w:spacing w:after="0"/>
              <w:rPr>
                <w:sz w:val="20"/>
                <w:szCs w:val="20"/>
                <w:color w:val="auto"/>
              </w:rPr>
            </w:pPr>
            <w:r>
              <w:rPr>
                <w:rFonts w:ascii="Arial" w:cs="Arial" w:eastAsia="Arial" w:hAnsi="Arial"/>
                <w:sz w:val="16"/>
                <w:szCs w:val="16"/>
                <w:color w:val="auto"/>
              </w:rPr>
              <w:t>Tracie Oliver</w:t>
            </w:r>
          </w:p>
        </w:tc>
        <w:tc>
          <w:tcPr>
            <w:tcW w:w="1680" w:type="dxa"/>
            <w:vAlign w:val="bottom"/>
            <w:tcBorders>
              <w:bottom w:val="single" w:sz="8" w:color="026DCE"/>
            </w:tcBorders>
          </w:tcPr>
          <w:p>
            <w:pPr>
              <w:jc w:val="right"/>
              <w:ind w:right="14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026DCE"/>
            </w:tcBorders>
          </w:tcPr>
          <w:p>
            <w:pPr>
              <w:spacing w:after="0"/>
              <w:rPr>
                <w:sz w:val="20"/>
                <w:szCs w:val="20"/>
                <w:color w:val="auto"/>
              </w:rPr>
            </w:pPr>
          </w:p>
        </w:tc>
        <w:tc>
          <w:tcPr>
            <w:tcW w:w="1360" w:type="dxa"/>
            <w:vAlign w:val="bottom"/>
            <w:tcBorders>
              <w:bottom w:val="single" w:sz="8" w:color="026DCE"/>
            </w:tcBorders>
          </w:tcPr>
          <w:p>
            <w:pPr>
              <w:ind w:left="1180"/>
              <w:spacing w:after="0"/>
              <w:rPr>
                <w:sz w:val="20"/>
                <w:szCs w:val="20"/>
                <w:color w:val="auto"/>
              </w:rPr>
            </w:pPr>
            <w:r>
              <w:rPr>
                <w:rFonts w:ascii="Arial" w:cs="Arial" w:eastAsia="Arial" w:hAnsi="Arial"/>
                <w:sz w:val="16"/>
                <w:szCs w:val="16"/>
                <w:color w:val="auto"/>
                <w:w w:val="99"/>
              </w:rPr>
              <w:t>—</w:t>
            </w:r>
          </w:p>
        </w:tc>
        <w:tc>
          <w:tcPr>
            <w:tcW w:w="180" w:type="dxa"/>
            <w:vAlign w:val="bottom"/>
            <w:tcBorders>
              <w:bottom w:val="single" w:sz="8" w:color="0071CE"/>
            </w:tcBorders>
          </w:tcPr>
          <w:p>
            <w:pPr>
              <w:spacing w:after="0"/>
              <w:rPr>
                <w:sz w:val="20"/>
                <w:szCs w:val="20"/>
                <w:color w:val="auto"/>
              </w:rPr>
            </w:pPr>
          </w:p>
        </w:tc>
        <w:tc>
          <w:tcPr>
            <w:tcW w:w="60" w:type="dxa"/>
            <w:vAlign w:val="bottom"/>
            <w:tcBorders>
              <w:bottom w:val="single" w:sz="8" w:color="026DCE"/>
            </w:tcBorders>
          </w:tcPr>
          <w:p>
            <w:pPr>
              <w:spacing w:after="0"/>
              <w:rPr>
                <w:sz w:val="20"/>
                <w:szCs w:val="20"/>
                <w:color w:val="auto"/>
              </w:rPr>
            </w:pPr>
          </w:p>
        </w:tc>
        <w:tc>
          <w:tcPr>
            <w:tcW w:w="1460" w:type="dxa"/>
            <w:vAlign w:val="bottom"/>
            <w:tcBorders>
              <w:bottom w:val="single" w:sz="8" w:color="026DCE"/>
            </w:tcBorders>
          </w:tcPr>
          <w:p>
            <w:pPr>
              <w:jc w:val="right"/>
              <w:spacing w:after="0"/>
              <w:rPr>
                <w:sz w:val="20"/>
                <w:szCs w:val="20"/>
                <w:color w:val="auto"/>
              </w:rPr>
            </w:pPr>
            <w:r>
              <w:rPr>
                <w:rFonts w:ascii="Arial" w:cs="Arial" w:eastAsia="Arial" w:hAnsi="Arial"/>
                <w:sz w:val="16"/>
                <w:szCs w:val="16"/>
                <w:color w:val="auto"/>
              </w:rPr>
              <w:t>17,625</w:t>
            </w:r>
          </w:p>
        </w:tc>
        <w:tc>
          <w:tcPr>
            <w:tcW w:w="280" w:type="dxa"/>
            <w:vAlign w:val="bottom"/>
            <w:tcBorders>
              <w:bottom w:val="single" w:sz="8" w:color="026DCE"/>
            </w:tcBorders>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026DCE"/>
            </w:tcBorders>
          </w:tcPr>
          <w:p>
            <w:pPr>
              <w:jc w:val="right"/>
              <w:spacing w:after="0"/>
              <w:rPr>
                <w:sz w:val="20"/>
                <w:szCs w:val="20"/>
                <w:color w:val="auto"/>
              </w:rPr>
            </w:pPr>
            <w:r>
              <w:rPr>
                <w:rFonts w:ascii="Arial" w:cs="Arial" w:eastAsia="Arial" w:hAnsi="Arial"/>
                <w:sz w:val="16"/>
                <w:szCs w:val="16"/>
                <w:color w:val="auto"/>
              </w:rPr>
              <w:t>460,191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-1224915</wp:posOffset>
            </wp:positionV>
            <wp:extent cx="403733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146" w:lineRule="exact"/>
        <w:rPr>
          <w:sz w:val="20"/>
          <w:szCs w:val="20"/>
          <w:color w:val="auto"/>
        </w:rPr>
      </w:pPr>
    </w:p>
    <w:p>
      <w:pPr>
        <w:ind w:left="400" w:hanging="392"/>
        <w:spacing w:after="0"/>
        <w:tabs>
          <w:tab w:leader="none" w:pos="4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Value is calculated as the price of our Common Stock upon exercise, less the exercise price, multiplied by the number of shares exercised.</w:t>
      </w:r>
    </w:p>
    <w:p>
      <w:pPr>
        <w:spacing w:after="0" w:line="109" w:lineRule="exact"/>
        <w:rPr>
          <w:rFonts w:ascii="Arial" w:cs="Arial" w:eastAsia="Arial" w:hAnsi="Arial"/>
          <w:sz w:val="14"/>
          <w:szCs w:val="14"/>
          <w:color w:val="auto"/>
        </w:rPr>
      </w:pPr>
    </w:p>
    <w:p>
      <w:pPr>
        <w:ind w:left="400" w:hanging="392"/>
        <w:spacing w:after="0"/>
        <w:tabs>
          <w:tab w:leader="none" w:pos="4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Value is calculated as the price of our Common Stock upon vesting, multiplied by the number of shares vested.</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Benefits — Potential Payments Upon Termination or Change in Control</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the following severance or change of control arrangements with its NEOs:</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Dr. Anzalone’s employment agreement with the Company provides that, if the Company terminates Dr. Anzalone’s employment without Cause or if Dr. Anzalone terminates his employment for Good Reason, on his date of termination, Dr. Anzalone will receive a one-time lump sum payment equal to the sum of: (i) one month of base salary and (ii) premiums for thirty (30) days of medical and dental benefits. To receive such payments Dr. Anzalone is required to execute a general release in favor of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Dr. Anzalone’s employment agreement:</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means (i) the conviction (by trial or upon a plea of nolo contendere) of a felony or other crime involving moral turpitude or the commission of any other material act or omission involving dishonesty, disloyalty or fraud with respect to the Company or any of its subsidiaries or any of their customers or suppliers, (ii) reporting to work under the influence of alcohol or illegal drugs, the use of illegal drugs (whether or not at the workplace) or other repeated conduct causing the Company or any of its subsidiaries substantial public disgrace or disrepute or economic harm, (iii) the engaging of gross misconduct and the failure to cease such conduct and rectify any harm to the Company resulting therefrom within 30 days after written demand therefor by the Company identifying with reasonable particularity such conduct and harm, or (iv) any other material breach by Dr. Anzalone of his employment agreement and the failure to cease such breach and rectify any harm to the Company within 30 days after written demand by the Company identifying with reasonable particularity such breach and harm; and</w:t>
      </w:r>
    </w:p>
    <w:p>
      <w:pPr>
        <w:spacing w:after="0" w:line="206"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means (i) Dr. Anzalone’s duties, responsibilities, titles or offices are diminished as compared to those described in his employment agreement without his written consent, and the Company fails to reinstate such duties, responsibilities, titles or offices within 30 days after written demand by Dr.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481330</wp:posOffset>
            </wp:positionV>
            <wp:extent cx="986155" cy="2057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E"/>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0"/>
        <w:spacing w:after="0" w:line="225" w:lineRule="auto"/>
        <w:rPr>
          <w:sz w:val="20"/>
          <w:szCs w:val="20"/>
          <w:color w:val="auto"/>
        </w:rPr>
      </w:pPr>
      <w:r>
        <w:rPr>
          <w:rFonts w:ascii="Arial" w:cs="Arial" w:eastAsia="Arial" w:hAnsi="Arial"/>
          <w:sz w:val="16"/>
          <w:szCs w:val="16"/>
          <w:color w:val="auto"/>
        </w:rPr>
        <w:t>identifying with reasonable particularity the diminishment, (ii) the relocation of Dr. Anzalone’s base office to an office that is more than thirty (30) highway miles from Pasadena, CA, (iii) the failure of the Company to obtain a satisfactory agreement from any successor to assume and agree to perform the obligations under the employment agreement and (iv) any other material breach of Dr. Anzalone’s employment agreement by the Company and the failure to cease such breach and rectify any harm to Dr. Anzalone resulting within 30 days after written demand by Dr. Anzalone identifying with reasonable particularity the breach and harm.</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Pursuant to his offer of employment by the Company, Mr. Myszkowski is entitled to severance pay equal to three months’ base salary plus an amount equal to the premiums on his medical and dental benefits for the same period upon termination of his employment without cause.</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Pursuant to his offer of employment by the Company, Mr. O’Brien is entitled to severance pay equal to six months’ base salary upon a qualifying termination of his employment without cause only upon change of control as defined in the Company’s 2013 Incentive Plan.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not entered into a severance arrangement with Dr. San Martin or Dr. Hamilton or Ms. Oliver.</w:t>
      </w:r>
    </w:p>
    <w:p>
      <w:pPr>
        <w:spacing w:after="0" w:line="23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Additionally, pursuant to the 2004 Equity Incentive Plan, the 2013 Incentive Plan, and the 2021 Incentive Plan, any unvested awards held by plan participants, including the NEOs, become fully vested upon a change of control of the Company, except as otherwise determined by the Board and except with respect to the outstanding awards held by the CEO whose awards will only become fully vested if he experiences a qualifying termination of employment following a change of control.</w:t>
      </w:r>
    </w:p>
    <w:p>
      <w:pPr>
        <w:spacing w:after="0" w:line="17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following tables set forth information regarding potential termination and change of control arrangements with our executive officers had their employment been terminated or a change in control of the Company taken place on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827405</wp:posOffset>
            </wp:positionV>
            <wp:extent cx="986155" cy="2057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Termination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00" w:type="dxa"/>
            <w:vAlign w:val="bottom"/>
            <w:shd w:val="clear" w:color="auto" w:fill="0071CE"/>
          </w:tcPr>
          <w:p>
            <w:pPr>
              <w:spacing w:after="0"/>
              <w:rPr>
                <w:sz w:val="15"/>
                <w:szCs w:val="15"/>
                <w:color w:val="auto"/>
              </w:rPr>
            </w:pPr>
          </w:p>
        </w:tc>
        <w:tc>
          <w:tcPr>
            <w:tcW w:w="1280" w:type="dxa"/>
            <w:vAlign w:val="bottom"/>
            <w:vMerge w:val="restart"/>
            <w:shd w:val="clear" w:color="auto" w:fill="0071CE"/>
          </w:tcPr>
          <w:p>
            <w:pPr>
              <w:jc w:val="right"/>
              <w:ind w:right="421"/>
              <w:spacing w:after="0"/>
              <w:rPr>
                <w:sz w:val="20"/>
                <w:szCs w:val="20"/>
                <w:color w:val="auto"/>
              </w:rPr>
            </w:pPr>
            <w:r>
              <w:rPr>
                <w:rFonts w:ascii="Arial" w:cs="Arial" w:eastAsia="Arial" w:hAnsi="Arial"/>
                <w:sz w:val="14"/>
                <w:szCs w:val="14"/>
                <w:b w:val="1"/>
                <w:bCs w:val="1"/>
                <w:color w:val="FFFFFF"/>
              </w:rPr>
              <w:t>Salary</w:t>
            </w:r>
          </w:p>
        </w:tc>
        <w:tc>
          <w:tcPr>
            <w:tcW w:w="1200" w:type="dxa"/>
            <w:vAlign w:val="bottom"/>
            <w:vMerge w:val="restart"/>
            <w:shd w:val="clear" w:color="auto" w:fill="0071CE"/>
          </w:tcPr>
          <w:p>
            <w:pPr>
              <w:jc w:val="right"/>
              <w:ind w:right="341"/>
              <w:spacing w:after="0"/>
              <w:rPr>
                <w:sz w:val="20"/>
                <w:szCs w:val="20"/>
                <w:color w:val="auto"/>
              </w:rPr>
            </w:pPr>
            <w:r>
              <w:rPr>
                <w:rFonts w:ascii="Arial" w:cs="Arial" w:eastAsia="Arial" w:hAnsi="Arial"/>
                <w:sz w:val="14"/>
                <w:szCs w:val="14"/>
                <w:b w:val="1"/>
                <w:bCs w:val="1"/>
                <w:color w:val="FFFFFF"/>
              </w:rPr>
              <w:t>Benefits</w:t>
            </w:r>
          </w:p>
        </w:tc>
        <w:tc>
          <w:tcPr>
            <w:tcW w:w="1260" w:type="dxa"/>
            <w:vAlign w:val="bottom"/>
            <w:shd w:val="clear" w:color="auto" w:fill="0071CE"/>
          </w:tcPr>
          <w:p>
            <w:pPr>
              <w:jc w:val="center"/>
              <w:ind w:right="121"/>
              <w:spacing w:after="0"/>
              <w:rPr>
                <w:sz w:val="20"/>
                <w:szCs w:val="20"/>
                <w:color w:val="auto"/>
              </w:rPr>
            </w:pPr>
            <w:r>
              <w:rPr>
                <w:rFonts w:ascii="Arial" w:cs="Arial" w:eastAsia="Arial" w:hAnsi="Arial"/>
                <w:sz w:val="14"/>
                <w:szCs w:val="14"/>
                <w:b w:val="1"/>
                <w:bCs w:val="1"/>
                <w:color w:val="FFFFFF"/>
                <w:w w:val="99"/>
              </w:rPr>
              <w:t>Stock</w:t>
            </w:r>
          </w:p>
        </w:tc>
        <w:tc>
          <w:tcPr>
            <w:tcW w:w="1200" w:type="dxa"/>
            <w:vAlign w:val="bottom"/>
            <w:shd w:val="clear" w:color="auto" w:fill="0071CE"/>
          </w:tcPr>
          <w:p>
            <w:pPr>
              <w:jc w:val="center"/>
              <w:ind w:right="141"/>
              <w:spacing w:after="0"/>
              <w:rPr>
                <w:sz w:val="20"/>
                <w:szCs w:val="20"/>
                <w:color w:val="auto"/>
              </w:rPr>
            </w:pPr>
            <w:r>
              <w:rPr>
                <w:rFonts w:ascii="Arial" w:cs="Arial" w:eastAsia="Arial" w:hAnsi="Arial"/>
                <w:sz w:val="14"/>
                <w:szCs w:val="14"/>
                <w:b w:val="1"/>
                <w:bCs w:val="1"/>
                <w:color w:val="FFFFFF"/>
              </w:rPr>
              <w:t>Option</w:t>
            </w:r>
          </w:p>
        </w:tc>
        <w:tc>
          <w:tcPr>
            <w:tcW w:w="1080" w:type="dxa"/>
            <w:vAlign w:val="bottom"/>
            <w:shd w:val="clear" w:color="auto" w:fill="0071C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200" w:type="dxa"/>
            <w:vAlign w:val="bottom"/>
            <w:vMerge w:val="restart"/>
            <w:shd w:val="clear" w:color="auto" w:fill="0071CE"/>
          </w:tcPr>
          <w:p>
            <w:pPr>
              <w:ind w:left="140"/>
              <w:spacing w:after="0"/>
              <w:rPr>
                <w:sz w:val="20"/>
                <w:szCs w:val="20"/>
                <w:color w:val="auto"/>
              </w:rPr>
            </w:pPr>
            <w:r>
              <w:rPr>
                <w:rFonts w:ascii="Arial" w:cs="Arial" w:eastAsia="Arial" w:hAnsi="Arial"/>
                <w:sz w:val="14"/>
                <w:szCs w:val="14"/>
                <w:b w:val="1"/>
                <w:bCs w:val="1"/>
                <w:color w:val="FFFFFF"/>
              </w:rPr>
              <w:t>Triggering Event</w:t>
            </w:r>
          </w:p>
        </w:tc>
        <w:tc>
          <w:tcPr>
            <w:tcW w:w="1280" w:type="dxa"/>
            <w:vAlign w:val="bottom"/>
            <w:vMerge w:val="continue"/>
            <w:shd w:val="clear" w:color="auto" w:fill="0071CE"/>
          </w:tcPr>
          <w:p>
            <w:pPr>
              <w:spacing w:after="0"/>
              <w:rPr>
                <w:sz w:val="12"/>
                <w:szCs w:val="12"/>
                <w:color w:val="auto"/>
              </w:rPr>
            </w:pPr>
          </w:p>
        </w:tc>
        <w:tc>
          <w:tcPr>
            <w:tcW w:w="1200" w:type="dxa"/>
            <w:vAlign w:val="bottom"/>
            <w:vMerge w:val="continue"/>
            <w:shd w:val="clear" w:color="auto" w:fill="0071CE"/>
          </w:tcPr>
          <w:p>
            <w:pPr>
              <w:spacing w:after="0"/>
              <w:rPr>
                <w:sz w:val="12"/>
                <w:szCs w:val="12"/>
                <w:color w:val="auto"/>
              </w:rPr>
            </w:pPr>
          </w:p>
        </w:tc>
        <w:tc>
          <w:tcPr>
            <w:tcW w:w="1260" w:type="dxa"/>
            <w:vAlign w:val="bottom"/>
            <w:shd w:val="clear" w:color="auto" w:fill="0071CE"/>
          </w:tcPr>
          <w:p>
            <w:pPr>
              <w:jc w:val="center"/>
              <w:ind w:right="141"/>
              <w:spacing w:after="0" w:line="149" w:lineRule="exact"/>
              <w:rPr>
                <w:sz w:val="20"/>
                <w:szCs w:val="20"/>
                <w:color w:val="auto"/>
              </w:rPr>
            </w:pPr>
            <w:r>
              <w:rPr>
                <w:rFonts w:ascii="Arial" w:cs="Arial" w:eastAsia="Arial" w:hAnsi="Arial"/>
                <w:sz w:val="14"/>
                <w:szCs w:val="14"/>
                <w:b w:val="1"/>
                <w:bCs w:val="1"/>
                <w:color w:val="FFFFFF"/>
              </w:rPr>
              <w:t>Awards</w:t>
            </w:r>
          </w:p>
        </w:tc>
        <w:tc>
          <w:tcPr>
            <w:tcW w:w="1200" w:type="dxa"/>
            <w:vAlign w:val="bottom"/>
            <w:shd w:val="clear" w:color="auto" w:fill="0071CE"/>
          </w:tcPr>
          <w:p>
            <w:pPr>
              <w:jc w:val="center"/>
              <w:ind w:right="121"/>
              <w:spacing w:after="0" w:line="149" w:lineRule="exact"/>
              <w:rPr>
                <w:sz w:val="20"/>
                <w:szCs w:val="20"/>
                <w:color w:val="auto"/>
              </w:rPr>
            </w:pPr>
            <w:r>
              <w:rPr>
                <w:rFonts w:ascii="Arial" w:cs="Arial" w:eastAsia="Arial" w:hAnsi="Arial"/>
                <w:sz w:val="14"/>
                <w:szCs w:val="14"/>
                <w:b w:val="1"/>
                <w:bCs w:val="1"/>
                <w:color w:val="FFFFFF"/>
              </w:rPr>
              <w:t>Awards</w:t>
            </w:r>
          </w:p>
        </w:tc>
        <w:tc>
          <w:tcPr>
            <w:tcW w:w="1080" w:type="dxa"/>
            <w:vAlign w:val="bottom"/>
            <w:vMerge w:val="restart"/>
            <w:shd w:val="clear" w:color="auto" w:fill="0071CE"/>
          </w:tcPr>
          <w:p>
            <w:pPr>
              <w:jc w:val="right"/>
              <w:ind w:right="34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0071CE"/>
            </w:tcBorders>
            <w:vMerge w:val="continue"/>
            <w:shd w:val="clear" w:color="auto" w:fill="0071CE"/>
          </w:tcPr>
          <w:p>
            <w:pPr>
              <w:spacing w:after="0"/>
              <w:rPr>
                <w:sz w:val="17"/>
                <w:szCs w:val="17"/>
                <w:color w:val="auto"/>
              </w:rPr>
            </w:pPr>
          </w:p>
        </w:tc>
        <w:tc>
          <w:tcPr>
            <w:tcW w:w="1280" w:type="dxa"/>
            <w:vAlign w:val="bottom"/>
            <w:tcBorders>
              <w:bottom w:val="single" w:sz="8" w:color="0071CE"/>
            </w:tcBorders>
            <w:shd w:val="clear" w:color="auto" w:fill="0071CE"/>
          </w:tcPr>
          <w:p>
            <w:pPr>
              <w:jc w:val="right"/>
              <w:ind w:right="541"/>
              <w:spacing w:after="0"/>
              <w:rPr>
                <w:sz w:val="20"/>
                <w:szCs w:val="20"/>
                <w:color w:val="auto"/>
              </w:rPr>
            </w:pPr>
            <w:r>
              <w:rPr>
                <w:rFonts w:ascii="Arial" w:cs="Arial" w:eastAsia="Arial" w:hAnsi="Arial"/>
                <w:sz w:val="14"/>
                <w:szCs w:val="14"/>
                <w:b w:val="1"/>
                <w:bCs w:val="1"/>
                <w:color w:val="FFFFFF"/>
              </w:rPr>
              <w:t>($)</w:t>
            </w:r>
          </w:p>
        </w:tc>
        <w:tc>
          <w:tcPr>
            <w:tcW w:w="1200" w:type="dxa"/>
            <w:vAlign w:val="bottom"/>
            <w:tcBorders>
              <w:bottom w:val="single" w:sz="8" w:color="0071CE"/>
            </w:tcBorders>
            <w:shd w:val="clear" w:color="auto" w:fill="0071CE"/>
          </w:tcPr>
          <w:p>
            <w:pPr>
              <w:jc w:val="right"/>
              <w:ind w:right="521"/>
              <w:spacing w:after="0"/>
              <w:rPr>
                <w:sz w:val="20"/>
                <w:szCs w:val="20"/>
                <w:color w:val="auto"/>
              </w:rPr>
            </w:pPr>
            <w:r>
              <w:rPr>
                <w:rFonts w:ascii="Arial" w:cs="Arial" w:eastAsia="Arial" w:hAnsi="Arial"/>
                <w:sz w:val="14"/>
                <w:szCs w:val="14"/>
                <w:b w:val="1"/>
                <w:bCs w:val="1"/>
                <w:color w:val="FFFFFF"/>
              </w:rPr>
              <w:t>($)</w:t>
            </w:r>
          </w:p>
        </w:tc>
        <w:tc>
          <w:tcPr>
            <w:tcW w:w="1260" w:type="dxa"/>
            <w:vAlign w:val="bottom"/>
            <w:tcBorders>
              <w:bottom w:val="single" w:sz="8" w:color="0071CE"/>
            </w:tcBorders>
            <w:shd w:val="clear" w:color="auto" w:fill="0071CE"/>
          </w:tcPr>
          <w:p>
            <w:pPr>
              <w:jc w:val="center"/>
              <w:ind w:right="121"/>
              <w:spacing w:after="0"/>
              <w:rPr>
                <w:sz w:val="20"/>
                <w:szCs w:val="20"/>
                <w:color w:val="auto"/>
              </w:rPr>
            </w:pPr>
            <w:r>
              <w:rPr>
                <w:rFonts w:ascii="Arial" w:cs="Arial" w:eastAsia="Arial" w:hAnsi="Arial"/>
                <w:sz w:val="14"/>
                <w:szCs w:val="14"/>
                <w:b w:val="1"/>
                <w:bCs w:val="1"/>
                <w:color w:val="FFFFFF"/>
                <w:w w:val="99"/>
              </w:rPr>
              <w:t>(1)($)</w:t>
            </w:r>
          </w:p>
        </w:tc>
        <w:tc>
          <w:tcPr>
            <w:tcW w:w="1200" w:type="dxa"/>
            <w:vAlign w:val="bottom"/>
            <w:tcBorders>
              <w:bottom w:val="single" w:sz="8" w:color="0071CE"/>
            </w:tcBorders>
            <w:shd w:val="clear" w:color="auto" w:fill="0071CE"/>
          </w:tcPr>
          <w:p>
            <w:pPr>
              <w:jc w:val="center"/>
              <w:ind w:right="121"/>
              <w:spacing w:after="0"/>
              <w:rPr>
                <w:sz w:val="20"/>
                <w:szCs w:val="20"/>
                <w:color w:val="auto"/>
              </w:rPr>
            </w:pPr>
            <w:r>
              <w:rPr>
                <w:rFonts w:ascii="Arial" w:cs="Arial" w:eastAsia="Arial" w:hAnsi="Arial"/>
                <w:sz w:val="14"/>
                <w:szCs w:val="14"/>
                <w:b w:val="1"/>
                <w:bCs w:val="1"/>
                <w:color w:val="FFFFFF"/>
              </w:rPr>
              <w:t>(1)($)</w:t>
            </w:r>
          </w:p>
        </w:tc>
        <w:tc>
          <w:tcPr>
            <w:tcW w:w="1080" w:type="dxa"/>
            <w:vAlign w:val="bottom"/>
            <w:tcBorders>
              <w:bottom w:val="single" w:sz="8" w:color="0071CE"/>
            </w:tcBorders>
            <w:vMerge w:val="continue"/>
            <w:shd w:val="clear" w:color="auto" w:fill="0071C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Termination by Employer without Cause</w:t>
            </w:r>
          </w:p>
        </w:tc>
        <w:tc>
          <w:tcPr>
            <w:tcW w:w="1280" w:type="dxa"/>
            <w:vAlign w:val="bottom"/>
            <w:shd w:val="clear" w:color="auto" w:fill="E5E5E5"/>
          </w:tcPr>
          <w:p>
            <w:pPr>
              <w:spacing w:after="0"/>
              <w:rPr>
                <w:sz w:val="18"/>
                <w:szCs w:val="18"/>
                <w:color w:val="auto"/>
              </w:rPr>
            </w:pPr>
          </w:p>
        </w:tc>
        <w:tc>
          <w:tcPr>
            <w:tcW w:w="120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18"/>
                <w:szCs w:val="18"/>
                <w:color w:val="auto"/>
              </w:rPr>
            </w:pPr>
          </w:p>
        </w:tc>
        <w:tc>
          <w:tcPr>
            <w:tcW w:w="120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00" w:type="dxa"/>
            <w:vAlign w:val="bottom"/>
          </w:tcPr>
          <w:p>
            <w:pPr>
              <w:ind w:left="440"/>
              <w:spacing w:after="0"/>
              <w:rPr>
                <w:sz w:val="20"/>
                <w:szCs w:val="20"/>
                <w:color w:val="auto"/>
              </w:rPr>
            </w:pPr>
            <w:r>
              <w:rPr>
                <w:rFonts w:ascii="Arial" w:cs="Arial" w:eastAsia="Arial" w:hAnsi="Arial"/>
                <w:sz w:val="16"/>
                <w:szCs w:val="16"/>
                <w:color w:val="auto"/>
              </w:rPr>
              <w:t>Christopher Anzalone (2)</w:t>
            </w:r>
          </w:p>
        </w:tc>
        <w:tc>
          <w:tcPr>
            <w:tcW w:w="1280" w:type="dxa"/>
            <w:vAlign w:val="bottom"/>
          </w:tcPr>
          <w:p>
            <w:pPr>
              <w:jc w:val="right"/>
              <w:ind w:right="141"/>
              <w:spacing w:after="0"/>
              <w:rPr>
                <w:sz w:val="20"/>
                <w:szCs w:val="20"/>
                <w:color w:val="auto"/>
              </w:rPr>
            </w:pPr>
            <w:r>
              <w:rPr>
                <w:rFonts w:ascii="Arial" w:cs="Arial" w:eastAsia="Arial" w:hAnsi="Arial"/>
                <w:sz w:val="16"/>
                <w:szCs w:val="16"/>
                <w:color w:val="auto"/>
              </w:rPr>
              <w:t>80,000</w:t>
            </w: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2,307</w:t>
            </w:r>
          </w:p>
        </w:tc>
        <w:tc>
          <w:tcPr>
            <w:tcW w:w="12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82,307</w:t>
            </w:r>
          </w:p>
        </w:tc>
        <w:tc>
          <w:tcPr>
            <w:tcW w:w="0" w:type="dxa"/>
            <w:vAlign w:val="bottom"/>
          </w:tcPr>
          <w:p>
            <w:pPr>
              <w:spacing w:after="0"/>
              <w:rPr>
                <w:sz w:val="1"/>
                <w:szCs w:val="1"/>
                <w:color w:val="auto"/>
              </w:rPr>
            </w:pPr>
          </w:p>
        </w:tc>
      </w:tr>
      <w:tr>
        <w:trPr>
          <w:trHeight w:val="217"/>
        </w:trPr>
        <w:tc>
          <w:tcPr>
            <w:tcW w:w="5200" w:type="dxa"/>
            <w:vAlign w:val="bottom"/>
            <w:shd w:val="clear" w:color="auto" w:fill="E5E5E5"/>
          </w:tcPr>
          <w:p>
            <w:pPr>
              <w:ind w:left="440"/>
              <w:spacing w:after="0"/>
              <w:rPr>
                <w:sz w:val="20"/>
                <w:szCs w:val="20"/>
                <w:color w:val="auto"/>
              </w:rPr>
            </w:pPr>
            <w:r>
              <w:rPr>
                <w:rFonts w:ascii="Arial" w:cs="Arial" w:eastAsia="Arial" w:hAnsi="Arial"/>
                <w:sz w:val="16"/>
                <w:szCs w:val="16"/>
                <w:color w:val="auto"/>
              </w:rPr>
              <w:t>Kenneth Myszkowski</w:t>
            </w:r>
          </w:p>
        </w:tc>
        <w:tc>
          <w:tcPr>
            <w:tcW w:w="128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140,000</w:t>
            </w:r>
          </w:p>
        </w:tc>
        <w:tc>
          <w:tcPr>
            <w:tcW w:w="1200" w:type="dxa"/>
            <w:vAlign w:val="bottom"/>
            <w:shd w:val="clear" w:color="auto" w:fill="E5E5E5"/>
          </w:tcPr>
          <w:p>
            <w:pPr>
              <w:jc w:val="right"/>
              <w:ind w:right="121"/>
              <w:spacing w:after="0"/>
              <w:rPr>
                <w:sz w:val="20"/>
                <w:szCs w:val="20"/>
                <w:color w:val="auto"/>
              </w:rPr>
            </w:pPr>
            <w:r>
              <w:rPr>
                <w:rFonts w:ascii="Arial" w:cs="Arial" w:eastAsia="Arial" w:hAnsi="Arial"/>
                <w:sz w:val="16"/>
                <w:szCs w:val="16"/>
                <w:color w:val="auto"/>
              </w:rPr>
              <w:t>8,848</w:t>
            </w:r>
          </w:p>
        </w:tc>
        <w:tc>
          <w:tcPr>
            <w:tcW w:w="1260" w:type="dxa"/>
            <w:vAlign w:val="bottom"/>
            <w:shd w:val="clear" w:color="auto" w:fill="E5E5E5"/>
          </w:tcPr>
          <w:p>
            <w:pPr>
              <w:jc w:val="right"/>
              <w:ind w:right="161"/>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ind w:left="8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148,848</w:t>
            </w:r>
          </w:p>
        </w:tc>
        <w:tc>
          <w:tcPr>
            <w:tcW w:w="0" w:type="dxa"/>
            <w:vAlign w:val="bottom"/>
          </w:tcPr>
          <w:p>
            <w:pPr>
              <w:spacing w:after="0"/>
              <w:rPr>
                <w:sz w:val="1"/>
                <w:szCs w:val="1"/>
                <w:color w:val="auto"/>
              </w:rPr>
            </w:pPr>
          </w:p>
        </w:tc>
      </w:tr>
      <w:tr>
        <w:trPr>
          <w:trHeight w:val="215"/>
        </w:trPr>
        <w:tc>
          <w:tcPr>
            <w:tcW w:w="5200" w:type="dxa"/>
            <w:vAlign w:val="bottom"/>
          </w:tcPr>
          <w:p>
            <w:pPr>
              <w:ind w:left="440"/>
              <w:spacing w:after="0"/>
              <w:rPr>
                <w:sz w:val="20"/>
                <w:szCs w:val="20"/>
                <w:color w:val="auto"/>
              </w:rPr>
            </w:pPr>
            <w:r>
              <w:rPr>
                <w:rFonts w:ascii="Arial" w:cs="Arial" w:eastAsia="Arial" w:hAnsi="Arial"/>
                <w:sz w:val="16"/>
                <w:szCs w:val="16"/>
                <w:color w:val="auto"/>
              </w:rPr>
              <w:t>Patrick O’Brien</w:t>
            </w:r>
          </w:p>
        </w:tc>
        <w:tc>
          <w:tcPr>
            <w:tcW w:w="12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200" w:type="dxa"/>
            <w:vAlign w:val="bottom"/>
            <w:shd w:val="clear" w:color="auto" w:fill="E5E5E5"/>
          </w:tcPr>
          <w:p>
            <w:pPr>
              <w:ind w:left="440"/>
              <w:spacing w:after="0"/>
              <w:rPr>
                <w:sz w:val="20"/>
                <w:szCs w:val="20"/>
                <w:color w:val="auto"/>
              </w:rPr>
            </w:pPr>
            <w:r>
              <w:rPr>
                <w:rFonts w:ascii="Arial" w:cs="Arial" w:eastAsia="Arial" w:hAnsi="Arial"/>
                <w:sz w:val="16"/>
                <w:szCs w:val="16"/>
                <w:color w:val="auto"/>
              </w:rPr>
              <w:t>James Hamilton</w:t>
            </w:r>
          </w:p>
        </w:tc>
        <w:tc>
          <w:tcPr>
            <w:tcW w:w="128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jc w:val="right"/>
              <w:ind w:right="121"/>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E5E5"/>
          </w:tcPr>
          <w:p>
            <w:pPr>
              <w:jc w:val="right"/>
              <w:ind w:right="161"/>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ind w:left="8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200" w:type="dxa"/>
            <w:vAlign w:val="bottom"/>
          </w:tcPr>
          <w:p>
            <w:pPr>
              <w:ind w:left="120"/>
              <w:spacing w:after="0"/>
              <w:rPr>
                <w:sz w:val="20"/>
                <w:szCs w:val="20"/>
                <w:color w:val="auto"/>
              </w:rPr>
            </w:pPr>
            <w:r>
              <w:rPr>
                <w:rFonts w:ascii="Arial" w:cs="Arial" w:eastAsia="Arial" w:hAnsi="Arial"/>
                <w:sz w:val="16"/>
                <w:szCs w:val="16"/>
                <w:color w:val="auto"/>
              </w:rPr>
              <w:t>Change in Control</w:t>
            </w: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200" w:type="dxa"/>
            <w:vAlign w:val="bottom"/>
            <w:shd w:val="clear" w:color="auto" w:fill="E5E5E5"/>
          </w:tcPr>
          <w:p>
            <w:pPr>
              <w:ind w:left="440"/>
              <w:spacing w:after="0"/>
              <w:rPr>
                <w:sz w:val="20"/>
                <w:szCs w:val="20"/>
                <w:color w:val="auto"/>
              </w:rPr>
            </w:pPr>
            <w:r>
              <w:rPr>
                <w:rFonts w:ascii="Arial" w:cs="Arial" w:eastAsia="Arial" w:hAnsi="Arial"/>
                <w:sz w:val="16"/>
                <w:szCs w:val="16"/>
                <w:color w:val="auto"/>
              </w:rPr>
              <w:t>Christopher Anzalone (2)</w:t>
            </w:r>
          </w:p>
        </w:tc>
        <w:tc>
          <w:tcPr>
            <w:tcW w:w="128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jc w:val="right"/>
              <w:ind w:right="121"/>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E5E5"/>
          </w:tcPr>
          <w:p>
            <w:pPr>
              <w:jc w:val="right"/>
              <w:ind w:right="161"/>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ind w:left="8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200" w:type="dxa"/>
            <w:vAlign w:val="bottom"/>
          </w:tcPr>
          <w:p>
            <w:pPr>
              <w:ind w:left="440"/>
              <w:spacing w:after="0"/>
              <w:rPr>
                <w:sz w:val="20"/>
                <w:szCs w:val="20"/>
                <w:color w:val="auto"/>
              </w:rPr>
            </w:pPr>
            <w:r>
              <w:rPr>
                <w:rFonts w:ascii="Arial" w:cs="Arial" w:eastAsia="Arial" w:hAnsi="Arial"/>
                <w:sz w:val="16"/>
                <w:szCs w:val="16"/>
                <w:color w:val="auto"/>
              </w:rPr>
              <w:t>Kenneth Myszkowski</w:t>
            </w:r>
          </w:p>
        </w:tc>
        <w:tc>
          <w:tcPr>
            <w:tcW w:w="1280" w:type="dxa"/>
            <w:vAlign w:val="bottom"/>
          </w:tcPr>
          <w:p>
            <w:pPr>
              <w:jc w:val="right"/>
              <w:ind w:right="141"/>
              <w:spacing w:after="0"/>
              <w:rPr>
                <w:sz w:val="20"/>
                <w:szCs w:val="20"/>
                <w:color w:val="auto"/>
              </w:rPr>
            </w:pPr>
            <w:r>
              <w:rPr>
                <w:rFonts w:ascii="Arial" w:cs="Arial" w:eastAsia="Arial" w:hAnsi="Arial"/>
                <w:sz w:val="16"/>
                <w:szCs w:val="16"/>
                <w:color w:val="auto"/>
              </w:rPr>
              <w:t>140,000</w:t>
            </w: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8,848</w:t>
            </w:r>
          </w:p>
        </w:tc>
        <w:tc>
          <w:tcPr>
            <w:tcW w:w="1260" w:type="dxa"/>
            <w:vAlign w:val="bottom"/>
          </w:tcPr>
          <w:p>
            <w:pPr>
              <w:jc w:val="right"/>
              <w:ind w:right="161"/>
              <w:spacing w:after="0"/>
              <w:rPr>
                <w:sz w:val="20"/>
                <w:szCs w:val="20"/>
                <w:color w:val="auto"/>
              </w:rPr>
            </w:pPr>
            <w:r>
              <w:rPr>
                <w:rFonts w:ascii="Arial" w:cs="Arial" w:eastAsia="Arial" w:hAnsi="Arial"/>
                <w:sz w:val="16"/>
                <w:szCs w:val="16"/>
                <w:color w:val="auto"/>
              </w:rPr>
              <w:t>3,196,050</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3,344,898</w:t>
            </w:r>
          </w:p>
        </w:tc>
        <w:tc>
          <w:tcPr>
            <w:tcW w:w="0" w:type="dxa"/>
            <w:vAlign w:val="bottom"/>
          </w:tcPr>
          <w:p>
            <w:pPr>
              <w:spacing w:after="0"/>
              <w:rPr>
                <w:sz w:val="1"/>
                <w:szCs w:val="1"/>
                <w:color w:val="auto"/>
              </w:rPr>
            </w:pPr>
          </w:p>
        </w:tc>
      </w:tr>
      <w:tr>
        <w:trPr>
          <w:trHeight w:val="217"/>
        </w:trPr>
        <w:tc>
          <w:tcPr>
            <w:tcW w:w="5200" w:type="dxa"/>
            <w:vAlign w:val="bottom"/>
            <w:shd w:val="clear" w:color="auto" w:fill="E5E5E5"/>
          </w:tcPr>
          <w:p>
            <w:pPr>
              <w:ind w:left="440"/>
              <w:spacing w:after="0"/>
              <w:rPr>
                <w:sz w:val="20"/>
                <w:szCs w:val="20"/>
                <w:color w:val="auto"/>
              </w:rPr>
            </w:pPr>
            <w:r>
              <w:rPr>
                <w:rFonts w:ascii="Arial" w:cs="Arial" w:eastAsia="Arial" w:hAnsi="Arial"/>
                <w:sz w:val="16"/>
                <w:szCs w:val="16"/>
                <w:color w:val="auto"/>
              </w:rPr>
              <w:t>Patrick O’Brien</w:t>
            </w:r>
          </w:p>
        </w:tc>
        <w:tc>
          <w:tcPr>
            <w:tcW w:w="1280" w:type="dxa"/>
            <w:vAlign w:val="bottom"/>
            <w:shd w:val="clear" w:color="auto" w:fill="E5E5E5"/>
          </w:tcPr>
          <w:p>
            <w:pPr>
              <w:jc w:val="right"/>
              <w:ind w:right="141"/>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jc w:val="right"/>
              <w:ind w:right="121"/>
              <w:spacing w:after="0"/>
              <w:rPr>
                <w:sz w:val="20"/>
                <w:szCs w:val="20"/>
                <w:color w:val="auto"/>
              </w:rPr>
            </w:pPr>
            <w:r>
              <w:rPr>
                <w:rFonts w:ascii="Arial" w:cs="Arial" w:eastAsia="Arial" w:hAnsi="Arial"/>
                <w:sz w:val="16"/>
                <w:szCs w:val="16"/>
                <w:color w:val="auto"/>
              </w:rPr>
              <w:t>—</w:t>
            </w:r>
          </w:p>
        </w:tc>
        <w:tc>
          <w:tcPr>
            <w:tcW w:w="1260" w:type="dxa"/>
            <w:vAlign w:val="bottom"/>
            <w:shd w:val="clear" w:color="auto" w:fill="E5E5E5"/>
          </w:tcPr>
          <w:p>
            <w:pPr>
              <w:jc w:val="right"/>
              <w:ind w:right="161"/>
              <w:spacing w:after="0"/>
              <w:rPr>
                <w:sz w:val="20"/>
                <w:szCs w:val="20"/>
                <w:color w:val="auto"/>
              </w:rPr>
            </w:pPr>
            <w:r>
              <w:rPr>
                <w:rFonts w:ascii="Arial" w:cs="Arial" w:eastAsia="Arial" w:hAnsi="Arial"/>
                <w:sz w:val="16"/>
                <w:szCs w:val="16"/>
                <w:color w:val="auto"/>
              </w:rPr>
              <w:t>3,462,388</w:t>
            </w:r>
          </w:p>
        </w:tc>
        <w:tc>
          <w:tcPr>
            <w:tcW w:w="1200" w:type="dxa"/>
            <w:vAlign w:val="bottom"/>
            <w:shd w:val="clear" w:color="auto" w:fill="E5E5E5"/>
          </w:tcPr>
          <w:p>
            <w:pPr>
              <w:ind w:left="8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3,462,388</w:t>
            </w:r>
          </w:p>
        </w:tc>
        <w:tc>
          <w:tcPr>
            <w:tcW w:w="0" w:type="dxa"/>
            <w:vAlign w:val="bottom"/>
          </w:tcPr>
          <w:p>
            <w:pPr>
              <w:spacing w:after="0"/>
              <w:rPr>
                <w:sz w:val="1"/>
                <w:szCs w:val="1"/>
                <w:color w:val="auto"/>
              </w:rPr>
            </w:pPr>
          </w:p>
        </w:tc>
      </w:tr>
      <w:tr>
        <w:trPr>
          <w:trHeight w:val="215"/>
        </w:trPr>
        <w:tc>
          <w:tcPr>
            <w:tcW w:w="5200" w:type="dxa"/>
            <w:vAlign w:val="bottom"/>
          </w:tcPr>
          <w:p>
            <w:pPr>
              <w:ind w:left="440"/>
              <w:spacing w:after="0"/>
              <w:rPr>
                <w:sz w:val="20"/>
                <w:szCs w:val="20"/>
                <w:color w:val="auto"/>
              </w:rPr>
            </w:pPr>
            <w:r>
              <w:rPr>
                <w:rFonts w:ascii="Arial" w:cs="Arial" w:eastAsia="Arial" w:hAnsi="Arial"/>
                <w:sz w:val="16"/>
                <w:szCs w:val="16"/>
                <w:color w:val="auto"/>
              </w:rPr>
              <w:t>James Hamilton</w:t>
            </w:r>
          </w:p>
        </w:tc>
        <w:tc>
          <w:tcPr>
            <w:tcW w:w="12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61"/>
              <w:spacing w:after="0"/>
              <w:rPr>
                <w:sz w:val="20"/>
                <w:szCs w:val="20"/>
                <w:color w:val="auto"/>
              </w:rPr>
            </w:pPr>
            <w:r>
              <w:rPr>
                <w:rFonts w:ascii="Arial" w:cs="Arial" w:eastAsia="Arial" w:hAnsi="Arial"/>
                <w:sz w:val="16"/>
                <w:szCs w:val="16"/>
                <w:color w:val="auto"/>
              </w:rPr>
              <w:t>3,099,200</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3,099,200</w:t>
            </w:r>
          </w:p>
        </w:tc>
        <w:tc>
          <w:tcPr>
            <w:tcW w:w="0" w:type="dxa"/>
            <w:vAlign w:val="bottom"/>
          </w:tcPr>
          <w:p>
            <w:pPr>
              <w:spacing w:after="0"/>
              <w:rPr>
                <w:sz w:val="1"/>
                <w:szCs w:val="1"/>
                <w:color w:val="auto"/>
              </w:rPr>
            </w:pPr>
          </w:p>
        </w:tc>
      </w:tr>
      <w:tr>
        <w:trPr>
          <w:trHeight w:val="217"/>
        </w:trPr>
        <w:tc>
          <w:tcPr>
            <w:tcW w:w="52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Involuntary Termination Following a Change in Control</w:t>
            </w:r>
          </w:p>
        </w:tc>
        <w:tc>
          <w:tcPr>
            <w:tcW w:w="1280" w:type="dxa"/>
            <w:vAlign w:val="bottom"/>
            <w:shd w:val="clear" w:color="auto" w:fill="E5E5E5"/>
          </w:tcPr>
          <w:p>
            <w:pPr>
              <w:spacing w:after="0"/>
              <w:rPr>
                <w:sz w:val="18"/>
                <w:szCs w:val="18"/>
                <w:color w:val="auto"/>
              </w:rPr>
            </w:pPr>
          </w:p>
        </w:tc>
        <w:tc>
          <w:tcPr>
            <w:tcW w:w="120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18"/>
                <w:szCs w:val="18"/>
                <w:color w:val="auto"/>
              </w:rPr>
            </w:pPr>
          </w:p>
        </w:tc>
        <w:tc>
          <w:tcPr>
            <w:tcW w:w="1200" w:type="dxa"/>
            <w:vAlign w:val="bottom"/>
            <w:shd w:val="clear" w:color="auto" w:fill="E5E5E5"/>
          </w:tcPr>
          <w:p>
            <w:pPr>
              <w:spacing w:after="0"/>
              <w:rPr>
                <w:sz w:val="18"/>
                <w:szCs w:val="18"/>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200" w:type="dxa"/>
            <w:vAlign w:val="bottom"/>
          </w:tcPr>
          <w:p>
            <w:pPr>
              <w:ind w:left="440"/>
              <w:spacing w:after="0"/>
              <w:rPr>
                <w:sz w:val="20"/>
                <w:szCs w:val="20"/>
                <w:color w:val="auto"/>
              </w:rPr>
            </w:pPr>
            <w:r>
              <w:rPr>
                <w:rFonts w:ascii="Arial" w:cs="Arial" w:eastAsia="Arial" w:hAnsi="Arial"/>
                <w:sz w:val="16"/>
                <w:szCs w:val="16"/>
                <w:color w:val="auto"/>
              </w:rPr>
              <w:t>Christopher Anzalone</w:t>
            </w:r>
          </w:p>
        </w:tc>
        <w:tc>
          <w:tcPr>
            <w:tcW w:w="1280" w:type="dxa"/>
            <w:vAlign w:val="bottom"/>
          </w:tcPr>
          <w:p>
            <w:pPr>
              <w:jc w:val="right"/>
              <w:ind w:right="141"/>
              <w:spacing w:after="0"/>
              <w:rPr>
                <w:sz w:val="20"/>
                <w:szCs w:val="20"/>
                <w:color w:val="auto"/>
              </w:rPr>
            </w:pPr>
            <w:r>
              <w:rPr>
                <w:rFonts w:ascii="Arial" w:cs="Arial" w:eastAsia="Arial" w:hAnsi="Arial"/>
                <w:sz w:val="16"/>
                <w:szCs w:val="16"/>
                <w:color w:val="auto"/>
              </w:rPr>
              <w:t>80,000</w:t>
            </w: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2,307</w:t>
            </w:r>
          </w:p>
        </w:tc>
        <w:tc>
          <w:tcPr>
            <w:tcW w:w="1260" w:type="dxa"/>
            <w:vAlign w:val="bottom"/>
          </w:tcPr>
          <w:p>
            <w:pPr>
              <w:jc w:val="right"/>
              <w:ind w:right="161"/>
              <w:spacing w:after="0"/>
              <w:rPr>
                <w:sz w:val="20"/>
                <w:szCs w:val="20"/>
                <w:color w:val="auto"/>
              </w:rPr>
            </w:pPr>
            <w:r>
              <w:rPr>
                <w:rFonts w:ascii="Arial" w:cs="Arial" w:eastAsia="Arial" w:hAnsi="Arial"/>
                <w:sz w:val="16"/>
                <w:szCs w:val="16"/>
                <w:color w:val="auto"/>
              </w:rPr>
              <w:t>42,669,418</w:t>
            </w:r>
          </w:p>
        </w:tc>
        <w:tc>
          <w:tcPr>
            <w:tcW w:w="1200" w:type="dxa"/>
            <w:vAlign w:val="bottom"/>
          </w:tcPr>
          <w:p>
            <w:pPr>
              <w:ind w:left="8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42,751,725</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0071CE"/>
            </w:tcBorders>
            <w:shd w:val="clear" w:color="auto" w:fill="E5E5E5"/>
          </w:tcPr>
          <w:p>
            <w:pPr>
              <w:ind w:left="440"/>
              <w:spacing w:after="0"/>
              <w:rPr>
                <w:sz w:val="20"/>
                <w:szCs w:val="20"/>
                <w:color w:val="auto"/>
              </w:rPr>
            </w:pPr>
            <w:r>
              <w:rPr>
                <w:rFonts w:ascii="Arial" w:cs="Arial" w:eastAsia="Arial" w:hAnsi="Arial"/>
                <w:sz w:val="16"/>
                <w:szCs w:val="16"/>
                <w:color w:val="auto"/>
              </w:rPr>
              <w:t>Patrick O’Brien</w:t>
            </w:r>
          </w:p>
        </w:tc>
        <w:tc>
          <w:tcPr>
            <w:tcW w:w="1280" w:type="dxa"/>
            <w:vAlign w:val="bottom"/>
            <w:tcBorders>
              <w:bottom w:val="single" w:sz="8" w:color="0071CE"/>
            </w:tcBorders>
            <w:shd w:val="clear" w:color="auto" w:fill="E5E5E5"/>
          </w:tcPr>
          <w:p>
            <w:pPr>
              <w:jc w:val="right"/>
              <w:ind w:right="141"/>
              <w:spacing w:after="0"/>
              <w:rPr>
                <w:sz w:val="20"/>
                <w:szCs w:val="20"/>
                <w:color w:val="auto"/>
              </w:rPr>
            </w:pPr>
            <w:r>
              <w:rPr>
                <w:rFonts w:ascii="Arial" w:cs="Arial" w:eastAsia="Arial" w:hAnsi="Arial"/>
                <w:sz w:val="16"/>
                <w:szCs w:val="16"/>
                <w:color w:val="auto"/>
              </w:rPr>
              <w:t>280,000</w:t>
            </w:r>
          </w:p>
        </w:tc>
        <w:tc>
          <w:tcPr>
            <w:tcW w:w="1200" w:type="dxa"/>
            <w:vAlign w:val="bottom"/>
            <w:tcBorders>
              <w:bottom w:val="single" w:sz="8" w:color="0071CE"/>
            </w:tcBorders>
            <w:shd w:val="clear" w:color="auto" w:fill="E5E5E5"/>
          </w:tcPr>
          <w:p>
            <w:pPr>
              <w:jc w:val="right"/>
              <w:ind w:right="12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0071CE"/>
            </w:tcBorders>
            <w:shd w:val="clear" w:color="auto" w:fill="E5E5E5"/>
          </w:tcPr>
          <w:p>
            <w:pPr>
              <w:jc w:val="right"/>
              <w:ind w:right="16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0071CE"/>
            </w:tcBorders>
            <w:shd w:val="clear" w:color="auto" w:fill="E5E5E5"/>
          </w:tcPr>
          <w:p>
            <w:pPr>
              <w:ind w:left="8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0071CE"/>
            </w:tcBorders>
            <w:shd w:val="clear" w:color="auto" w:fill="E5E5E5"/>
          </w:tcPr>
          <w:p>
            <w:pPr>
              <w:jc w:val="right"/>
              <w:spacing w:after="0"/>
              <w:rPr>
                <w:sz w:val="20"/>
                <w:szCs w:val="20"/>
                <w:color w:val="auto"/>
              </w:rPr>
            </w:pPr>
            <w:r>
              <w:rPr>
                <w:rFonts w:ascii="Arial" w:cs="Arial" w:eastAsia="Arial" w:hAnsi="Arial"/>
                <w:sz w:val="16"/>
                <w:szCs w:val="16"/>
                <w:color w:val="auto"/>
              </w:rPr>
              <w:t>280,000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20" w:hanging="312"/>
        <w:spacing w:after="0"/>
        <w:tabs>
          <w:tab w:leader="none" w:pos="3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For stock awards the value is calculated as the number of unvested shares multiplied by the Company’s closing stock price at September 30, 2024 of $19.37.</w:t>
      </w:r>
    </w:p>
    <w:p>
      <w:pPr>
        <w:spacing w:after="0" w:line="122" w:lineRule="exact"/>
        <w:rPr>
          <w:rFonts w:ascii="Arial" w:cs="Arial" w:eastAsia="Arial" w:hAnsi="Arial"/>
          <w:sz w:val="14"/>
          <w:szCs w:val="14"/>
          <w:color w:val="auto"/>
        </w:rPr>
      </w:pPr>
    </w:p>
    <w:p>
      <w:pPr>
        <w:ind w:left="340" w:right="720" w:hanging="332"/>
        <w:spacing w:after="0" w:line="305" w:lineRule="auto"/>
        <w:tabs>
          <w:tab w:leader="none" w:pos="327" w:val="left"/>
        </w:tabs>
        <w:numPr>
          <w:ilvl w:val="0"/>
          <w:numId w:val="62"/>
        </w:numPr>
        <w:rPr>
          <w:rFonts w:ascii="Arial" w:cs="Arial" w:eastAsia="Arial" w:hAnsi="Arial"/>
          <w:sz w:val="14"/>
          <w:szCs w:val="14"/>
          <w:color w:val="auto"/>
        </w:rPr>
      </w:pPr>
      <w:r>
        <w:rPr>
          <w:rFonts w:ascii="Arial" w:cs="Arial" w:eastAsia="Arial" w:hAnsi="Arial"/>
          <w:sz w:val="14"/>
          <w:szCs w:val="14"/>
          <w:color w:val="auto"/>
        </w:rPr>
        <w:t>Dr. Anzalone’s employment contract also provides for payment of the values set forth above upon his resignation for “good reason” as defined in his employment agreement.</w:t>
      </w:r>
    </w:p>
    <w:p>
      <w:pPr>
        <w:spacing w:after="0" w:line="36"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Dr. San Martin entered into a standard separation and release of claims agreement with the Company, under which he received a one-time payment of $603,200 in exchange for the release claims. Ms. Oliver did not receive any payments or benefits in connection with her departure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1871980</wp:posOffset>
            </wp:positionV>
            <wp:extent cx="986155" cy="2057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E"/>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Pursuant to Item 402(u) of Regulation S-K, we are required to calculate and disclose the median of the annual total compensation of all of our employees (excluding our CEO, Dr. Anzalone), the annual total compensation of Dr. Anzalone, and the ratio of these two amounts.</w:t>
      </w:r>
    </w:p>
    <w:p>
      <w:pPr>
        <w:spacing w:after="0" w:line="11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Based on the fact that we had a significant number of new hires during fiscal 2024, we did not elect to use the same median employee as the prior year. Our median employee was identified using the entire population of our employees as of September 30, 2024 based on a consistently applied compensation measure, or CACM, that reasonably reflects the annual compensation of our employees. The CACM selected by us for our disclosure included annual base salary, the cash bonus amount for fiscal 2024, the grant-date fair value for stock-based awards (calculated in accordance with requirements for the Summary Compensation Table), and welfare and health benefits for fiscal 2024.</w:t>
      </w:r>
    </w:p>
    <w:p>
      <w:pPr>
        <w:spacing w:after="0" w:line="199"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Based on the CACM methodology described above, we identified the median employee and calculated the fiscal 2024 compensation for this selected employee in the same manner we determine the annual total compensation of our NEOs for purposes of the Summary Compensation Table. The median of the annual total compensation of all our employees was $174,364.00. Dr. Anzalone’s fiscal 2024 annual total compensation as disclosed in the Fiscal 2024 Summary Compensation Table was $ 12,423,473. As a result, our CEO to median employee pay ratio for fiscal 2024 is 70:1.</w:t>
      </w:r>
    </w:p>
    <w:p>
      <w:pPr>
        <w:spacing w:after="0" w:line="18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This pay ratio is a reasonable estimate calculated by a method consistent with the SEC requirements, described above, based on our payroll and employment records. As a result of a variety of factors, including employee populations, potential differences in the components used for the CACM, compensation philosophies and certain assumptions, pay ratios reported by other companies may not be comparable to our pay ratio. The pay ratio is not utilized by our management or our compensation committee for compensation-related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3273425</wp:posOffset>
            </wp:positionV>
            <wp:extent cx="986155" cy="2057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ind w:right="80"/>
        <w:spacing w:after="0" w:line="243" w:lineRule="auto"/>
        <w:rPr>
          <w:sz w:val="20"/>
          <w:szCs w:val="20"/>
          <w:color w:val="auto"/>
        </w:rPr>
      </w:pPr>
      <w:r>
        <w:rPr>
          <w:rFonts w:ascii="Arial" w:cs="Arial" w:eastAsia="Arial" w:hAnsi="Arial"/>
          <w:sz w:val="16"/>
          <w:szCs w:val="16"/>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 This information has been prepared in accordance with Item 402(v) and does not necessarily reflect the actual amount of compensation earned by or paid to our named executive officers ("NEOs") for the applicable year. Please refer to the Compensation Discussion and Analysis section of this proxy statement for a discussion of our executive compensation program objectives and the ways in which we align executive compensation with performance.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shd w:val="clear" w:color="auto" w:fill="026DCE"/>
          </w:tcPr>
          <w:p>
            <w:pPr>
              <w:spacing w:after="0"/>
              <w:rPr>
                <w:sz w:val="14"/>
                <w:szCs w:val="14"/>
                <w:color w:val="auto"/>
              </w:rPr>
            </w:pPr>
          </w:p>
        </w:tc>
        <w:tc>
          <w:tcPr>
            <w:tcW w:w="1340" w:type="dxa"/>
            <w:vAlign w:val="bottom"/>
            <w:shd w:val="clear" w:color="auto" w:fill="0071CE"/>
          </w:tcPr>
          <w:p>
            <w:pPr>
              <w:spacing w:after="0"/>
              <w:rPr>
                <w:sz w:val="14"/>
                <w:szCs w:val="14"/>
                <w:color w:val="auto"/>
              </w:rPr>
            </w:pPr>
          </w:p>
        </w:tc>
        <w:tc>
          <w:tcPr>
            <w:tcW w:w="1300" w:type="dxa"/>
            <w:vAlign w:val="bottom"/>
            <w:shd w:val="clear" w:color="auto" w:fill="0071CE"/>
          </w:tcPr>
          <w:p>
            <w:pPr>
              <w:spacing w:after="0"/>
              <w:rPr>
                <w:sz w:val="14"/>
                <w:szCs w:val="14"/>
                <w:color w:val="auto"/>
              </w:rPr>
            </w:pPr>
          </w:p>
        </w:tc>
        <w:tc>
          <w:tcPr>
            <w:tcW w:w="1420" w:type="dxa"/>
            <w:vAlign w:val="bottom"/>
            <w:shd w:val="clear" w:color="auto" w:fill="0071CE"/>
          </w:tcPr>
          <w:p>
            <w:pPr>
              <w:spacing w:after="0"/>
              <w:rPr>
                <w:sz w:val="14"/>
                <w:szCs w:val="14"/>
                <w:color w:val="auto"/>
              </w:rPr>
            </w:pPr>
          </w:p>
        </w:tc>
        <w:tc>
          <w:tcPr>
            <w:tcW w:w="1320" w:type="dxa"/>
            <w:vAlign w:val="bottom"/>
            <w:shd w:val="clear" w:color="auto" w:fill="0071CE"/>
          </w:tcPr>
          <w:p>
            <w:pPr>
              <w:spacing w:after="0"/>
              <w:rPr>
                <w:sz w:val="14"/>
                <w:szCs w:val="14"/>
                <w:color w:val="auto"/>
              </w:rPr>
            </w:pPr>
          </w:p>
        </w:tc>
        <w:tc>
          <w:tcPr>
            <w:tcW w:w="2660" w:type="dxa"/>
            <w:vAlign w:val="bottom"/>
            <w:gridSpan w:val="2"/>
            <w:shd w:val="clear" w:color="auto" w:fill="0071CE"/>
          </w:tcPr>
          <w:p>
            <w:pPr>
              <w:ind w:left="20"/>
              <w:spacing w:after="0"/>
              <w:rPr>
                <w:sz w:val="20"/>
                <w:szCs w:val="20"/>
                <w:color w:val="auto"/>
              </w:rPr>
            </w:pPr>
            <w:r>
              <w:rPr>
                <w:rFonts w:ascii="Arial" w:cs="Arial" w:eastAsia="Arial" w:hAnsi="Arial"/>
                <w:sz w:val="14"/>
                <w:szCs w:val="14"/>
                <w:b w:val="1"/>
                <w:bCs w:val="1"/>
                <w:color w:val="FFFFFF"/>
              </w:rPr>
              <w:t>Value of Initial Fixed $100 Investment</w:t>
            </w:r>
          </w:p>
        </w:tc>
        <w:tc>
          <w:tcPr>
            <w:tcW w:w="2260" w:type="dxa"/>
            <w:vAlign w:val="bottom"/>
            <w:gridSpan w:val="2"/>
            <w:vMerge w:val="restart"/>
            <w:shd w:val="clear" w:color="auto" w:fill="0071CE"/>
          </w:tcPr>
          <w:p>
            <w:pPr>
              <w:ind w:left="740"/>
              <w:spacing w:after="0"/>
              <w:rPr>
                <w:sz w:val="20"/>
                <w:szCs w:val="20"/>
                <w:color w:val="auto"/>
              </w:rPr>
            </w:pPr>
            <w:r>
              <w:rPr>
                <w:rFonts w:ascii="Arial" w:cs="Arial" w:eastAsia="Arial" w:hAnsi="Arial"/>
                <w:sz w:val="14"/>
                <w:szCs w:val="14"/>
                <w:b w:val="1"/>
                <w:bCs w:val="1"/>
                <w:color w:val="FFFFFF"/>
              </w:rPr>
              <w:t>(in thousands)</w:t>
            </w:r>
          </w:p>
        </w:tc>
        <w:tc>
          <w:tcPr>
            <w:tcW w:w="280" w:type="dxa"/>
            <w:vAlign w:val="bottom"/>
            <w:shd w:val="clear" w:color="auto" w:fill="0071C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 w:type="dxa"/>
            <w:vAlign w:val="bottom"/>
            <w:shd w:val="clear" w:color="auto" w:fill="026DCE"/>
          </w:tcPr>
          <w:p>
            <w:pPr>
              <w:spacing w:after="0"/>
              <w:rPr>
                <w:sz w:val="10"/>
                <w:szCs w:val="10"/>
                <w:color w:val="auto"/>
              </w:rPr>
            </w:pPr>
          </w:p>
        </w:tc>
        <w:tc>
          <w:tcPr>
            <w:tcW w:w="1340" w:type="dxa"/>
            <w:vAlign w:val="bottom"/>
            <w:shd w:val="clear" w:color="auto" w:fill="0071CE"/>
          </w:tcPr>
          <w:p>
            <w:pPr>
              <w:spacing w:after="0"/>
              <w:rPr>
                <w:sz w:val="10"/>
                <w:szCs w:val="10"/>
                <w:color w:val="auto"/>
              </w:rPr>
            </w:pPr>
          </w:p>
        </w:tc>
        <w:tc>
          <w:tcPr>
            <w:tcW w:w="1300" w:type="dxa"/>
            <w:vAlign w:val="bottom"/>
            <w:shd w:val="clear" w:color="auto" w:fill="0071CE"/>
          </w:tcPr>
          <w:p>
            <w:pPr>
              <w:spacing w:after="0"/>
              <w:rPr>
                <w:sz w:val="10"/>
                <w:szCs w:val="10"/>
                <w:color w:val="auto"/>
              </w:rPr>
            </w:pPr>
          </w:p>
        </w:tc>
        <w:tc>
          <w:tcPr>
            <w:tcW w:w="1420" w:type="dxa"/>
            <w:vAlign w:val="bottom"/>
            <w:shd w:val="clear" w:color="auto" w:fill="0071CE"/>
          </w:tcPr>
          <w:p>
            <w:pPr>
              <w:spacing w:after="0"/>
              <w:rPr>
                <w:sz w:val="10"/>
                <w:szCs w:val="10"/>
                <w:color w:val="auto"/>
              </w:rPr>
            </w:pPr>
          </w:p>
        </w:tc>
        <w:tc>
          <w:tcPr>
            <w:tcW w:w="1320" w:type="dxa"/>
            <w:vAlign w:val="bottom"/>
            <w:shd w:val="clear" w:color="auto" w:fill="0071CE"/>
          </w:tcPr>
          <w:p>
            <w:pPr>
              <w:spacing w:after="0"/>
              <w:rPr>
                <w:sz w:val="10"/>
                <w:szCs w:val="10"/>
                <w:color w:val="auto"/>
              </w:rPr>
            </w:pPr>
          </w:p>
        </w:tc>
        <w:tc>
          <w:tcPr>
            <w:tcW w:w="2660" w:type="dxa"/>
            <w:vAlign w:val="bottom"/>
            <w:gridSpan w:val="2"/>
            <w:vMerge w:val="restart"/>
            <w:shd w:val="clear" w:color="auto" w:fill="0071CE"/>
          </w:tcPr>
          <w:p>
            <w:pPr>
              <w:ind w:left="940"/>
              <w:spacing w:after="0"/>
              <w:rPr>
                <w:sz w:val="20"/>
                <w:szCs w:val="20"/>
                <w:color w:val="auto"/>
              </w:rPr>
            </w:pPr>
            <w:r>
              <w:rPr>
                <w:rFonts w:ascii="Arial" w:cs="Arial" w:eastAsia="Arial" w:hAnsi="Arial"/>
                <w:sz w:val="14"/>
                <w:szCs w:val="14"/>
                <w:b w:val="1"/>
                <w:bCs w:val="1"/>
                <w:color w:val="FFFFFF"/>
              </w:rPr>
              <w:t>Based On:</w:t>
            </w:r>
          </w:p>
        </w:tc>
        <w:tc>
          <w:tcPr>
            <w:tcW w:w="2260" w:type="dxa"/>
            <w:vAlign w:val="bottom"/>
            <w:gridSpan w:val="2"/>
            <w:vMerge w:val="continue"/>
            <w:shd w:val="clear" w:color="auto" w:fill="0071CE"/>
          </w:tcPr>
          <w:p>
            <w:pPr>
              <w:spacing w:after="0"/>
              <w:rPr>
                <w:sz w:val="10"/>
                <w:szCs w:val="10"/>
                <w:color w:val="auto"/>
              </w:rPr>
            </w:pPr>
          </w:p>
        </w:tc>
        <w:tc>
          <w:tcPr>
            <w:tcW w:w="280" w:type="dxa"/>
            <w:vAlign w:val="bottom"/>
            <w:shd w:val="clear" w:color="auto" w:fill="0071C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60" w:type="dxa"/>
            <w:vAlign w:val="bottom"/>
            <w:shd w:val="clear" w:color="auto" w:fill="026DCE"/>
          </w:tcPr>
          <w:p>
            <w:pPr>
              <w:spacing w:after="0"/>
              <w:rPr>
                <w:sz w:val="6"/>
                <w:szCs w:val="6"/>
                <w:color w:val="auto"/>
              </w:rPr>
            </w:pPr>
          </w:p>
        </w:tc>
        <w:tc>
          <w:tcPr>
            <w:tcW w:w="1340" w:type="dxa"/>
            <w:vAlign w:val="bottom"/>
            <w:shd w:val="clear" w:color="auto" w:fill="0071CE"/>
          </w:tcPr>
          <w:p>
            <w:pPr>
              <w:spacing w:after="0"/>
              <w:rPr>
                <w:sz w:val="6"/>
                <w:szCs w:val="6"/>
                <w:color w:val="auto"/>
              </w:rPr>
            </w:pPr>
          </w:p>
        </w:tc>
        <w:tc>
          <w:tcPr>
            <w:tcW w:w="1300" w:type="dxa"/>
            <w:vAlign w:val="bottom"/>
            <w:shd w:val="clear" w:color="auto" w:fill="0071CE"/>
          </w:tcPr>
          <w:p>
            <w:pPr>
              <w:spacing w:after="0"/>
              <w:rPr>
                <w:sz w:val="6"/>
                <w:szCs w:val="6"/>
                <w:color w:val="auto"/>
              </w:rPr>
            </w:pPr>
          </w:p>
        </w:tc>
        <w:tc>
          <w:tcPr>
            <w:tcW w:w="1420" w:type="dxa"/>
            <w:vAlign w:val="bottom"/>
            <w:shd w:val="clear" w:color="auto" w:fill="0071CE"/>
          </w:tcPr>
          <w:p>
            <w:pPr>
              <w:spacing w:after="0"/>
              <w:rPr>
                <w:sz w:val="6"/>
                <w:szCs w:val="6"/>
                <w:color w:val="auto"/>
              </w:rPr>
            </w:pPr>
          </w:p>
        </w:tc>
        <w:tc>
          <w:tcPr>
            <w:tcW w:w="1320" w:type="dxa"/>
            <w:vAlign w:val="bottom"/>
            <w:shd w:val="clear" w:color="auto" w:fill="0071CE"/>
          </w:tcPr>
          <w:p>
            <w:pPr>
              <w:spacing w:after="0"/>
              <w:rPr>
                <w:sz w:val="6"/>
                <w:szCs w:val="6"/>
                <w:color w:val="auto"/>
              </w:rPr>
            </w:pPr>
          </w:p>
        </w:tc>
        <w:tc>
          <w:tcPr>
            <w:tcW w:w="2660" w:type="dxa"/>
            <w:vAlign w:val="bottom"/>
            <w:gridSpan w:val="2"/>
            <w:vMerge w:val="continue"/>
            <w:shd w:val="clear" w:color="auto" w:fill="0071CE"/>
          </w:tcPr>
          <w:p>
            <w:pPr>
              <w:spacing w:after="0"/>
              <w:rPr>
                <w:sz w:val="6"/>
                <w:szCs w:val="6"/>
                <w:color w:val="auto"/>
              </w:rPr>
            </w:pPr>
          </w:p>
        </w:tc>
        <w:tc>
          <w:tcPr>
            <w:tcW w:w="1120" w:type="dxa"/>
            <w:vAlign w:val="bottom"/>
            <w:shd w:val="clear" w:color="auto" w:fill="0071CE"/>
          </w:tcPr>
          <w:p>
            <w:pPr>
              <w:spacing w:after="0"/>
              <w:rPr>
                <w:sz w:val="6"/>
                <w:szCs w:val="6"/>
                <w:color w:val="auto"/>
              </w:rPr>
            </w:pPr>
          </w:p>
        </w:tc>
        <w:tc>
          <w:tcPr>
            <w:tcW w:w="1140" w:type="dxa"/>
            <w:vAlign w:val="bottom"/>
            <w:shd w:val="clear" w:color="auto" w:fill="0071CE"/>
          </w:tcPr>
          <w:p>
            <w:pPr>
              <w:spacing w:after="0"/>
              <w:rPr>
                <w:sz w:val="6"/>
                <w:szCs w:val="6"/>
                <w:color w:val="auto"/>
              </w:rPr>
            </w:pPr>
          </w:p>
        </w:tc>
        <w:tc>
          <w:tcPr>
            <w:tcW w:w="280" w:type="dxa"/>
            <w:vAlign w:val="bottom"/>
            <w:shd w:val="clear" w:color="auto" w:fill="0071C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660" w:type="dxa"/>
            <w:vAlign w:val="bottom"/>
            <w:shd w:val="clear" w:color="auto" w:fill="0071CE"/>
          </w:tcPr>
          <w:p>
            <w:pPr>
              <w:spacing w:after="0"/>
              <w:rPr>
                <w:sz w:val="12"/>
                <w:szCs w:val="12"/>
                <w:color w:val="auto"/>
              </w:rPr>
            </w:pPr>
          </w:p>
        </w:tc>
        <w:tc>
          <w:tcPr>
            <w:tcW w:w="134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Summary</w:t>
            </w:r>
          </w:p>
        </w:tc>
        <w:tc>
          <w:tcPr>
            <w:tcW w:w="1300" w:type="dxa"/>
            <w:vAlign w:val="bottom"/>
            <w:shd w:val="clear" w:color="auto" w:fill="0071CE"/>
          </w:tcPr>
          <w:p>
            <w:pPr>
              <w:spacing w:after="0"/>
              <w:rPr>
                <w:sz w:val="12"/>
                <w:szCs w:val="12"/>
                <w:color w:val="auto"/>
              </w:rPr>
            </w:pPr>
          </w:p>
        </w:tc>
        <w:tc>
          <w:tcPr>
            <w:tcW w:w="142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Average Summary</w:t>
            </w:r>
          </w:p>
        </w:tc>
        <w:tc>
          <w:tcPr>
            <w:tcW w:w="132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Average</w:t>
            </w:r>
          </w:p>
        </w:tc>
        <w:tc>
          <w:tcPr>
            <w:tcW w:w="1320" w:type="dxa"/>
            <w:vAlign w:val="bottom"/>
            <w:shd w:val="clear" w:color="auto" w:fill="0071CE"/>
          </w:tcPr>
          <w:p>
            <w:pPr>
              <w:spacing w:after="0"/>
              <w:rPr>
                <w:sz w:val="12"/>
                <w:szCs w:val="12"/>
                <w:color w:val="auto"/>
              </w:rPr>
            </w:pPr>
          </w:p>
        </w:tc>
        <w:tc>
          <w:tcPr>
            <w:tcW w:w="1340" w:type="dxa"/>
            <w:vAlign w:val="bottom"/>
            <w:shd w:val="clear" w:color="auto" w:fill="0071CE"/>
          </w:tcPr>
          <w:p>
            <w:pPr>
              <w:spacing w:after="0"/>
              <w:rPr>
                <w:sz w:val="12"/>
                <w:szCs w:val="12"/>
                <w:color w:val="auto"/>
              </w:rPr>
            </w:pPr>
          </w:p>
        </w:tc>
        <w:tc>
          <w:tcPr>
            <w:tcW w:w="1120" w:type="dxa"/>
            <w:vAlign w:val="bottom"/>
            <w:shd w:val="clear" w:color="auto" w:fill="0071CE"/>
          </w:tcPr>
          <w:p>
            <w:pPr>
              <w:spacing w:after="0"/>
              <w:rPr>
                <w:sz w:val="12"/>
                <w:szCs w:val="12"/>
                <w:color w:val="auto"/>
              </w:rPr>
            </w:pPr>
          </w:p>
        </w:tc>
        <w:tc>
          <w:tcPr>
            <w:tcW w:w="1140" w:type="dxa"/>
            <w:vAlign w:val="bottom"/>
            <w:shd w:val="clear" w:color="auto" w:fill="0071CE"/>
          </w:tcPr>
          <w:p>
            <w:pPr>
              <w:spacing w:after="0"/>
              <w:rPr>
                <w:sz w:val="12"/>
                <w:szCs w:val="12"/>
                <w:color w:val="auto"/>
              </w:rPr>
            </w:pPr>
          </w:p>
        </w:tc>
        <w:tc>
          <w:tcPr>
            <w:tcW w:w="280" w:type="dxa"/>
            <w:vAlign w:val="bottom"/>
            <w:shd w:val="clear" w:color="auto" w:fill="0071C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660" w:type="dxa"/>
            <w:vAlign w:val="bottom"/>
            <w:shd w:val="clear" w:color="auto" w:fill="0071CE"/>
          </w:tcPr>
          <w:p>
            <w:pPr>
              <w:spacing w:after="0"/>
              <w:rPr>
                <w:sz w:val="5"/>
                <w:szCs w:val="5"/>
                <w:color w:val="auto"/>
              </w:rPr>
            </w:pPr>
          </w:p>
        </w:tc>
        <w:tc>
          <w:tcPr>
            <w:tcW w:w="1340" w:type="dxa"/>
            <w:vAlign w:val="bottom"/>
            <w:vMerge w:val="continue"/>
            <w:shd w:val="clear" w:color="auto" w:fill="0071CE"/>
          </w:tcPr>
          <w:p>
            <w:pPr>
              <w:spacing w:after="0"/>
              <w:rPr>
                <w:sz w:val="5"/>
                <w:szCs w:val="5"/>
                <w:color w:val="auto"/>
              </w:rPr>
            </w:pPr>
          </w:p>
        </w:tc>
        <w:tc>
          <w:tcPr>
            <w:tcW w:w="130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Compensation</w:t>
            </w:r>
          </w:p>
        </w:tc>
        <w:tc>
          <w:tcPr>
            <w:tcW w:w="142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Compensation</w:t>
            </w:r>
          </w:p>
        </w:tc>
        <w:tc>
          <w:tcPr>
            <w:tcW w:w="132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Compensation</w:t>
            </w:r>
          </w:p>
        </w:tc>
        <w:tc>
          <w:tcPr>
            <w:tcW w:w="1320" w:type="dxa"/>
            <w:vAlign w:val="bottom"/>
            <w:vMerge w:val="restart"/>
            <w:shd w:val="clear" w:color="auto" w:fill="0071CE"/>
          </w:tcPr>
          <w:p>
            <w:pPr>
              <w:ind w:left="40"/>
              <w:spacing w:after="0"/>
              <w:rPr>
                <w:sz w:val="20"/>
                <w:szCs w:val="20"/>
                <w:color w:val="auto"/>
              </w:rPr>
            </w:pPr>
            <w:r>
              <w:rPr>
                <w:rFonts w:ascii="Arial" w:cs="Arial" w:eastAsia="Arial" w:hAnsi="Arial"/>
                <w:sz w:val="14"/>
                <w:szCs w:val="14"/>
                <w:b w:val="1"/>
                <w:bCs w:val="1"/>
                <w:color w:val="FFFFFF"/>
              </w:rPr>
              <w:t>Total Shareholder</w:t>
            </w:r>
          </w:p>
        </w:tc>
        <w:tc>
          <w:tcPr>
            <w:tcW w:w="134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Peer Group Total</w:t>
            </w:r>
          </w:p>
        </w:tc>
        <w:tc>
          <w:tcPr>
            <w:tcW w:w="1120" w:type="dxa"/>
            <w:vAlign w:val="bottom"/>
            <w:shd w:val="clear" w:color="auto" w:fill="0071CE"/>
          </w:tcPr>
          <w:p>
            <w:pPr>
              <w:spacing w:after="0"/>
              <w:rPr>
                <w:sz w:val="5"/>
                <w:szCs w:val="5"/>
                <w:color w:val="auto"/>
              </w:rPr>
            </w:pPr>
          </w:p>
        </w:tc>
        <w:tc>
          <w:tcPr>
            <w:tcW w:w="1140" w:type="dxa"/>
            <w:vAlign w:val="bottom"/>
            <w:vMerge w:val="restart"/>
            <w:shd w:val="clear" w:color="auto" w:fill="0071CE"/>
          </w:tcPr>
          <w:p>
            <w:pPr>
              <w:jc w:val="center"/>
              <w:ind w:left="322"/>
              <w:spacing w:after="0"/>
              <w:rPr>
                <w:sz w:val="20"/>
                <w:szCs w:val="20"/>
                <w:color w:val="auto"/>
              </w:rPr>
            </w:pPr>
            <w:r>
              <w:rPr>
                <w:rFonts w:ascii="Arial" w:cs="Arial" w:eastAsia="Arial" w:hAnsi="Arial"/>
                <w:sz w:val="14"/>
                <w:szCs w:val="14"/>
                <w:b w:val="1"/>
                <w:bCs w:val="1"/>
                <w:color w:val="FFFFFF"/>
              </w:rPr>
              <w:t>Company</w:t>
            </w:r>
          </w:p>
        </w:tc>
        <w:tc>
          <w:tcPr>
            <w:tcW w:w="280" w:type="dxa"/>
            <w:vAlign w:val="bottom"/>
            <w:shd w:val="clear" w:color="auto" w:fill="0071C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660" w:type="dxa"/>
            <w:vAlign w:val="bottom"/>
            <w:vMerge w:val="restart"/>
            <w:shd w:val="clear" w:color="auto" w:fill="0071CE"/>
          </w:tcPr>
          <w:p>
            <w:pPr>
              <w:jc w:val="right"/>
              <w:spacing w:after="0"/>
              <w:rPr>
                <w:sz w:val="20"/>
                <w:szCs w:val="20"/>
                <w:color w:val="auto"/>
              </w:rPr>
            </w:pPr>
            <w:r>
              <w:rPr>
                <w:rFonts w:ascii="Arial" w:cs="Arial" w:eastAsia="Arial" w:hAnsi="Arial"/>
                <w:sz w:val="14"/>
                <w:szCs w:val="14"/>
                <w:b w:val="1"/>
                <w:bCs w:val="1"/>
                <w:color w:val="FFFFFF"/>
              </w:rPr>
              <w:t>Year (a)</w:t>
            </w:r>
          </w:p>
        </w:tc>
        <w:tc>
          <w:tcPr>
            <w:tcW w:w="1340" w:type="dxa"/>
            <w:vAlign w:val="bottom"/>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Compensation</w:t>
            </w:r>
          </w:p>
        </w:tc>
        <w:tc>
          <w:tcPr>
            <w:tcW w:w="1300" w:type="dxa"/>
            <w:vAlign w:val="bottom"/>
            <w:vMerge w:val="continue"/>
            <w:shd w:val="clear" w:color="auto" w:fill="0071CE"/>
          </w:tcPr>
          <w:p>
            <w:pPr>
              <w:spacing w:after="0"/>
              <w:rPr>
                <w:sz w:val="12"/>
                <w:szCs w:val="12"/>
                <w:color w:val="auto"/>
              </w:rPr>
            </w:pPr>
          </w:p>
        </w:tc>
        <w:tc>
          <w:tcPr>
            <w:tcW w:w="1420" w:type="dxa"/>
            <w:vAlign w:val="bottom"/>
            <w:vMerge w:val="continue"/>
            <w:shd w:val="clear" w:color="auto" w:fill="0071CE"/>
          </w:tcPr>
          <w:p>
            <w:pPr>
              <w:spacing w:after="0"/>
              <w:rPr>
                <w:sz w:val="12"/>
                <w:szCs w:val="12"/>
                <w:color w:val="auto"/>
              </w:rPr>
            </w:pPr>
          </w:p>
        </w:tc>
        <w:tc>
          <w:tcPr>
            <w:tcW w:w="1320" w:type="dxa"/>
            <w:vAlign w:val="bottom"/>
            <w:vMerge w:val="continue"/>
            <w:shd w:val="clear" w:color="auto" w:fill="0071CE"/>
          </w:tcPr>
          <w:p>
            <w:pPr>
              <w:spacing w:after="0"/>
              <w:rPr>
                <w:sz w:val="12"/>
                <w:szCs w:val="12"/>
                <w:color w:val="auto"/>
              </w:rPr>
            </w:pPr>
          </w:p>
        </w:tc>
        <w:tc>
          <w:tcPr>
            <w:tcW w:w="1320" w:type="dxa"/>
            <w:vAlign w:val="bottom"/>
            <w:vMerge w:val="continue"/>
            <w:shd w:val="clear" w:color="auto" w:fill="0071CE"/>
          </w:tcPr>
          <w:p>
            <w:pPr>
              <w:spacing w:after="0"/>
              <w:rPr>
                <w:sz w:val="12"/>
                <w:szCs w:val="12"/>
                <w:color w:val="auto"/>
              </w:rPr>
            </w:pPr>
          </w:p>
        </w:tc>
        <w:tc>
          <w:tcPr>
            <w:tcW w:w="1340" w:type="dxa"/>
            <w:vAlign w:val="bottom"/>
            <w:vMerge w:val="continue"/>
            <w:shd w:val="clear" w:color="auto" w:fill="0071CE"/>
          </w:tcPr>
          <w:p>
            <w:pPr>
              <w:spacing w:after="0"/>
              <w:rPr>
                <w:sz w:val="12"/>
                <w:szCs w:val="12"/>
                <w:color w:val="auto"/>
              </w:rPr>
            </w:pPr>
          </w:p>
        </w:tc>
        <w:tc>
          <w:tcPr>
            <w:tcW w:w="1120" w:type="dxa"/>
            <w:vAlign w:val="bottom"/>
            <w:shd w:val="clear" w:color="auto" w:fill="0071CE"/>
          </w:tcPr>
          <w:p>
            <w:pPr>
              <w:spacing w:after="0"/>
              <w:rPr>
                <w:sz w:val="12"/>
                <w:szCs w:val="12"/>
                <w:color w:val="auto"/>
              </w:rPr>
            </w:pPr>
          </w:p>
        </w:tc>
        <w:tc>
          <w:tcPr>
            <w:tcW w:w="1140" w:type="dxa"/>
            <w:vAlign w:val="bottom"/>
            <w:vMerge w:val="continue"/>
            <w:shd w:val="clear" w:color="auto" w:fill="0071CE"/>
          </w:tcPr>
          <w:p>
            <w:pPr>
              <w:spacing w:after="0"/>
              <w:rPr>
                <w:sz w:val="12"/>
                <w:szCs w:val="12"/>
                <w:color w:val="auto"/>
              </w:rPr>
            </w:pPr>
          </w:p>
        </w:tc>
        <w:tc>
          <w:tcPr>
            <w:tcW w:w="280" w:type="dxa"/>
            <w:vAlign w:val="bottom"/>
            <w:shd w:val="clear" w:color="auto" w:fill="0071C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660" w:type="dxa"/>
            <w:vAlign w:val="bottom"/>
            <w:vMerge w:val="continue"/>
            <w:shd w:val="clear" w:color="auto" w:fill="0071CE"/>
          </w:tcPr>
          <w:p>
            <w:pPr>
              <w:spacing w:after="0"/>
              <w:rPr>
                <w:sz w:val="5"/>
                <w:szCs w:val="5"/>
                <w:color w:val="auto"/>
              </w:rPr>
            </w:pPr>
          </w:p>
        </w:tc>
        <w:tc>
          <w:tcPr>
            <w:tcW w:w="1340" w:type="dxa"/>
            <w:vAlign w:val="bottom"/>
            <w:vMerge w:val="restart"/>
            <w:shd w:val="clear" w:color="auto" w:fill="0071CE"/>
          </w:tcPr>
          <w:p>
            <w:pPr>
              <w:jc w:val="center"/>
              <w:spacing w:after="0" w:line="139" w:lineRule="exact"/>
              <w:rPr>
                <w:sz w:val="20"/>
                <w:szCs w:val="20"/>
                <w:color w:val="auto"/>
              </w:rPr>
            </w:pPr>
            <w:r>
              <w:rPr>
                <w:rFonts w:ascii="Arial" w:cs="Arial" w:eastAsia="Arial" w:hAnsi="Arial"/>
                <w:sz w:val="14"/>
                <w:szCs w:val="14"/>
                <w:b w:val="1"/>
                <w:bCs w:val="1"/>
                <w:color w:val="FFFFFF"/>
                <w:w w:val="99"/>
              </w:rPr>
              <w:t>Table Total for</w:t>
            </w:r>
          </w:p>
        </w:tc>
        <w:tc>
          <w:tcPr>
            <w:tcW w:w="1300" w:type="dxa"/>
            <w:vAlign w:val="bottom"/>
            <w:shd w:val="clear" w:color="auto" w:fill="0071CE"/>
          </w:tcPr>
          <w:p>
            <w:pPr>
              <w:jc w:val="center"/>
              <w:spacing w:after="0" w:line="68" w:lineRule="exact"/>
              <w:rPr>
                <w:sz w:val="20"/>
                <w:szCs w:val="20"/>
                <w:color w:val="auto"/>
              </w:rPr>
            </w:pPr>
            <w:r>
              <w:rPr>
                <w:rFonts w:ascii="Arial" w:cs="Arial" w:eastAsia="Arial" w:hAnsi="Arial"/>
                <w:sz w:val="7"/>
                <w:szCs w:val="7"/>
                <w:b w:val="1"/>
                <w:bCs w:val="1"/>
                <w:color w:val="FFFFFF"/>
              </w:rPr>
              <w:t>Actually Paid to</w:t>
            </w:r>
          </w:p>
        </w:tc>
        <w:tc>
          <w:tcPr>
            <w:tcW w:w="1420" w:type="dxa"/>
            <w:vAlign w:val="bottom"/>
            <w:shd w:val="clear" w:color="auto" w:fill="0071CE"/>
          </w:tcPr>
          <w:p>
            <w:pPr>
              <w:jc w:val="center"/>
              <w:spacing w:after="0" w:line="68" w:lineRule="exact"/>
              <w:rPr>
                <w:sz w:val="20"/>
                <w:szCs w:val="20"/>
                <w:color w:val="auto"/>
              </w:rPr>
            </w:pPr>
            <w:r>
              <w:rPr>
                <w:rFonts w:ascii="Arial" w:cs="Arial" w:eastAsia="Arial" w:hAnsi="Arial"/>
                <w:sz w:val="7"/>
                <w:szCs w:val="7"/>
                <w:b w:val="1"/>
                <w:bCs w:val="1"/>
                <w:color w:val="FFFFFF"/>
              </w:rPr>
              <w:t>Table Total for</w:t>
            </w:r>
          </w:p>
        </w:tc>
        <w:tc>
          <w:tcPr>
            <w:tcW w:w="1320" w:type="dxa"/>
            <w:vAlign w:val="bottom"/>
            <w:shd w:val="clear" w:color="auto" w:fill="0071CE"/>
          </w:tcPr>
          <w:p>
            <w:pPr>
              <w:jc w:val="center"/>
              <w:spacing w:after="0" w:line="68" w:lineRule="exact"/>
              <w:rPr>
                <w:sz w:val="20"/>
                <w:szCs w:val="20"/>
                <w:color w:val="auto"/>
              </w:rPr>
            </w:pPr>
            <w:r>
              <w:rPr>
                <w:rFonts w:ascii="Arial" w:cs="Arial" w:eastAsia="Arial" w:hAnsi="Arial"/>
                <w:sz w:val="7"/>
                <w:szCs w:val="7"/>
                <w:b w:val="1"/>
                <w:bCs w:val="1"/>
                <w:color w:val="FFFFFF"/>
              </w:rPr>
              <w:t>Actually Paid to</w:t>
            </w:r>
          </w:p>
        </w:tc>
        <w:tc>
          <w:tcPr>
            <w:tcW w:w="1320" w:type="dxa"/>
            <w:vAlign w:val="bottom"/>
            <w:vMerge w:val="restart"/>
            <w:shd w:val="clear" w:color="auto" w:fill="0071CE"/>
          </w:tcPr>
          <w:p>
            <w:pPr>
              <w:ind w:left="240"/>
              <w:spacing w:after="0" w:line="139" w:lineRule="exact"/>
              <w:rPr>
                <w:sz w:val="20"/>
                <w:szCs w:val="20"/>
                <w:color w:val="auto"/>
              </w:rPr>
            </w:pPr>
            <w:r>
              <w:rPr>
                <w:rFonts w:ascii="Arial" w:cs="Arial" w:eastAsia="Arial" w:hAnsi="Arial"/>
                <w:sz w:val="14"/>
                <w:szCs w:val="14"/>
                <w:b w:val="1"/>
                <w:bCs w:val="1"/>
                <w:color w:val="FFFFFF"/>
              </w:rPr>
              <w:t>Return (3)(f)</w:t>
            </w:r>
          </w:p>
        </w:tc>
        <w:tc>
          <w:tcPr>
            <w:tcW w:w="1340" w:type="dxa"/>
            <w:vAlign w:val="bottom"/>
            <w:shd w:val="clear" w:color="auto" w:fill="0071CE"/>
          </w:tcPr>
          <w:p>
            <w:pPr>
              <w:jc w:val="center"/>
              <w:spacing w:after="0" w:line="68" w:lineRule="exact"/>
              <w:rPr>
                <w:sz w:val="20"/>
                <w:szCs w:val="20"/>
                <w:color w:val="auto"/>
              </w:rPr>
            </w:pPr>
            <w:r>
              <w:rPr>
                <w:rFonts w:ascii="Arial" w:cs="Arial" w:eastAsia="Arial" w:hAnsi="Arial"/>
                <w:sz w:val="7"/>
                <w:szCs w:val="7"/>
                <w:b w:val="1"/>
                <w:bCs w:val="1"/>
                <w:color w:val="FFFFFF"/>
              </w:rPr>
              <w:t>Shareholder</w:t>
            </w:r>
          </w:p>
        </w:tc>
        <w:tc>
          <w:tcPr>
            <w:tcW w:w="2540" w:type="dxa"/>
            <w:vAlign w:val="bottom"/>
            <w:gridSpan w:val="3"/>
            <w:shd w:val="clear" w:color="auto" w:fill="0071CE"/>
          </w:tcPr>
          <w:p>
            <w:pPr>
              <w:jc w:val="center"/>
              <w:spacing w:after="0" w:line="68" w:lineRule="exact"/>
              <w:rPr>
                <w:sz w:val="20"/>
                <w:szCs w:val="20"/>
                <w:color w:val="auto"/>
              </w:rPr>
            </w:pPr>
            <w:r>
              <w:rPr>
                <w:rFonts w:ascii="Arial" w:cs="Arial" w:eastAsia="Arial" w:hAnsi="Arial"/>
                <w:sz w:val="7"/>
                <w:szCs w:val="7"/>
                <w:b w:val="1"/>
                <w:bCs w:val="1"/>
                <w:color w:val="FFFFFF"/>
              </w:rPr>
              <w:t>Net Loss (5) (h)  Selected Measure</w:t>
            </w:r>
          </w:p>
        </w:tc>
        <w:tc>
          <w:tcPr>
            <w:tcW w:w="0" w:type="dxa"/>
            <w:vAlign w:val="bottom"/>
          </w:tcPr>
          <w:p>
            <w:pPr>
              <w:spacing w:after="0"/>
              <w:rPr>
                <w:sz w:val="1"/>
                <w:szCs w:val="1"/>
                <w:color w:val="auto"/>
              </w:rPr>
            </w:pPr>
          </w:p>
        </w:tc>
      </w:tr>
      <w:tr>
        <w:trPr>
          <w:trHeight w:val="72"/>
        </w:trPr>
        <w:tc>
          <w:tcPr>
            <w:tcW w:w="660" w:type="dxa"/>
            <w:vAlign w:val="bottom"/>
            <w:shd w:val="clear" w:color="auto" w:fill="0071CE"/>
          </w:tcPr>
          <w:p>
            <w:pPr>
              <w:spacing w:after="0"/>
              <w:rPr>
                <w:sz w:val="6"/>
                <w:szCs w:val="6"/>
                <w:color w:val="auto"/>
              </w:rPr>
            </w:pPr>
          </w:p>
        </w:tc>
        <w:tc>
          <w:tcPr>
            <w:tcW w:w="1340" w:type="dxa"/>
            <w:vAlign w:val="bottom"/>
            <w:vMerge w:val="continue"/>
            <w:shd w:val="clear" w:color="auto" w:fill="0071CE"/>
          </w:tcPr>
          <w:p>
            <w:pPr>
              <w:spacing w:after="0"/>
              <w:rPr>
                <w:sz w:val="6"/>
                <w:szCs w:val="6"/>
                <w:color w:val="auto"/>
              </w:rPr>
            </w:pPr>
          </w:p>
        </w:tc>
        <w:tc>
          <w:tcPr>
            <w:tcW w:w="1300" w:type="dxa"/>
            <w:vAlign w:val="bottom"/>
            <w:vMerge w:val="restart"/>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PEO (2)(c)</w:t>
            </w:r>
          </w:p>
        </w:tc>
        <w:tc>
          <w:tcPr>
            <w:tcW w:w="2740" w:type="dxa"/>
            <w:vAlign w:val="bottom"/>
            <w:gridSpan w:val="2"/>
            <w:vMerge w:val="restart"/>
            <w:shd w:val="clear" w:color="auto" w:fill="0071CE"/>
          </w:tcPr>
          <w:p>
            <w:pPr>
              <w:ind w:left="80"/>
              <w:spacing w:after="0" w:line="149" w:lineRule="exact"/>
              <w:rPr>
                <w:sz w:val="20"/>
                <w:szCs w:val="20"/>
                <w:color w:val="auto"/>
              </w:rPr>
            </w:pPr>
            <w:r>
              <w:rPr>
                <w:rFonts w:ascii="Arial" w:cs="Arial" w:eastAsia="Arial" w:hAnsi="Arial"/>
                <w:sz w:val="14"/>
                <w:szCs w:val="14"/>
                <w:b w:val="1"/>
                <w:bCs w:val="1"/>
                <w:color w:val="FFFFFF"/>
              </w:rPr>
              <w:t>Non-PEO NEOs (1) Non-PEO NEOs (2)</w:t>
            </w:r>
          </w:p>
        </w:tc>
        <w:tc>
          <w:tcPr>
            <w:tcW w:w="1320" w:type="dxa"/>
            <w:vAlign w:val="bottom"/>
            <w:vMerge w:val="continue"/>
            <w:shd w:val="clear" w:color="auto" w:fill="0071CE"/>
          </w:tcPr>
          <w:p>
            <w:pPr>
              <w:spacing w:after="0"/>
              <w:rPr>
                <w:sz w:val="6"/>
                <w:szCs w:val="6"/>
                <w:color w:val="auto"/>
              </w:rPr>
            </w:pPr>
          </w:p>
        </w:tc>
        <w:tc>
          <w:tcPr>
            <w:tcW w:w="1340" w:type="dxa"/>
            <w:vAlign w:val="bottom"/>
            <w:vMerge w:val="restart"/>
            <w:shd w:val="clear" w:color="auto" w:fill="0071CE"/>
          </w:tcPr>
          <w:p>
            <w:pPr>
              <w:jc w:val="center"/>
              <w:spacing w:after="0" w:line="149" w:lineRule="exact"/>
              <w:rPr>
                <w:sz w:val="20"/>
                <w:szCs w:val="20"/>
                <w:color w:val="auto"/>
              </w:rPr>
            </w:pPr>
            <w:r>
              <w:rPr>
                <w:rFonts w:ascii="Arial" w:cs="Arial" w:eastAsia="Arial" w:hAnsi="Arial"/>
                <w:sz w:val="14"/>
                <w:szCs w:val="14"/>
                <w:b w:val="1"/>
                <w:bCs w:val="1"/>
                <w:color w:val="FFFFFF"/>
              </w:rPr>
              <w:t>Return (4)(g)</w:t>
            </w:r>
          </w:p>
        </w:tc>
        <w:tc>
          <w:tcPr>
            <w:tcW w:w="1120" w:type="dxa"/>
            <w:vAlign w:val="bottom"/>
            <w:shd w:val="clear" w:color="auto" w:fill="0071CE"/>
          </w:tcPr>
          <w:p>
            <w:pPr>
              <w:spacing w:after="0"/>
              <w:rPr>
                <w:sz w:val="6"/>
                <w:szCs w:val="6"/>
                <w:color w:val="auto"/>
              </w:rPr>
            </w:pPr>
          </w:p>
        </w:tc>
        <w:tc>
          <w:tcPr>
            <w:tcW w:w="1140" w:type="dxa"/>
            <w:vAlign w:val="bottom"/>
            <w:vMerge w:val="restart"/>
            <w:shd w:val="clear" w:color="auto" w:fill="0071CE"/>
          </w:tcPr>
          <w:p>
            <w:pPr>
              <w:jc w:val="center"/>
              <w:ind w:left="322"/>
              <w:spacing w:after="0" w:line="149" w:lineRule="exact"/>
              <w:rPr>
                <w:sz w:val="20"/>
                <w:szCs w:val="20"/>
                <w:color w:val="auto"/>
              </w:rPr>
            </w:pPr>
            <w:r>
              <w:rPr>
                <w:rFonts w:ascii="Arial" w:cs="Arial" w:eastAsia="Arial" w:hAnsi="Arial"/>
                <w:sz w:val="14"/>
                <w:szCs w:val="14"/>
                <w:b w:val="1"/>
                <w:bCs w:val="1"/>
                <w:color w:val="FFFFFF"/>
                <w:w w:val="98"/>
              </w:rPr>
              <w:t>(6)(i)</w:t>
            </w:r>
          </w:p>
        </w:tc>
        <w:tc>
          <w:tcPr>
            <w:tcW w:w="280" w:type="dxa"/>
            <w:vAlign w:val="bottom"/>
            <w:shd w:val="clear" w:color="auto" w:fill="0071C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660" w:type="dxa"/>
            <w:vAlign w:val="bottom"/>
            <w:shd w:val="clear" w:color="auto" w:fill="0071CE"/>
          </w:tcPr>
          <w:p>
            <w:pPr>
              <w:spacing w:after="0"/>
              <w:rPr>
                <w:sz w:val="6"/>
                <w:szCs w:val="6"/>
                <w:color w:val="auto"/>
              </w:rPr>
            </w:pPr>
          </w:p>
        </w:tc>
        <w:tc>
          <w:tcPr>
            <w:tcW w:w="134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PEO (1)(b)</w:t>
            </w:r>
          </w:p>
        </w:tc>
        <w:tc>
          <w:tcPr>
            <w:tcW w:w="1300" w:type="dxa"/>
            <w:vAlign w:val="bottom"/>
            <w:vMerge w:val="continue"/>
            <w:shd w:val="clear" w:color="auto" w:fill="0071CE"/>
          </w:tcPr>
          <w:p>
            <w:pPr>
              <w:spacing w:after="0"/>
              <w:rPr>
                <w:sz w:val="6"/>
                <w:szCs w:val="6"/>
                <w:color w:val="auto"/>
              </w:rPr>
            </w:pPr>
          </w:p>
        </w:tc>
        <w:tc>
          <w:tcPr>
            <w:tcW w:w="2740" w:type="dxa"/>
            <w:vAlign w:val="bottom"/>
            <w:gridSpan w:val="2"/>
            <w:vMerge w:val="continue"/>
            <w:shd w:val="clear" w:color="auto" w:fill="0071CE"/>
          </w:tcPr>
          <w:p>
            <w:pPr>
              <w:spacing w:after="0"/>
              <w:rPr>
                <w:sz w:val="6"/>
                <w:szCs w:val="6"/>
                <w:color w:val="auto"/>
              </w:rPr>
            </w:pPr>
          </w:p>
        </w:tc>
        <w:tc>
          <w:tcPr>
            <w:tcW w:w="1320" w:type="dxa"/>
            <w:vAlign w:val="bottom"/>
            <w:shd w:val="clear" w:color="auto" w:fill="0071CE"/>
          </w:tcPr>
          <w:p>
            <w:pPr>
              <w:spacing w:after="0"/>
              <w:rPr>
                <w:sz w:val="6"/>
                <w:szCs w:val="6"/>
                <w:color w:val="auto"/>
              </w:rPr>
            </w:pPr>
          </w:p>
        </w:tc>
        <w:tc>
          <w:tcPr>
            <w:tcW w:w="1340" w:type="dxa"/>
            <w:vAlign w:val="bottom"/>
            <w:vMerge w:val="continue"/>
            <w:shd w:val="clear" w:color="auto" w:fill="0071CE"/>
          </w:tcPr>
          <w:p>
            <w:pPr>
              <w:spacing w:after="0"/>
              <w:rPr>
                <w:sz w:val="6"/>
                <w:szCs w:val="6"/>
                <w:color w:val="auto"/>
              </w:rPr>
            </w:pPr>
          </w:p>
        </w:tc>
        <w:tc>
          <w:tcPr>
            <w:tcW w:w="1120" w:type="dxa"/>
            <w:vAlign w:val="bottom"/>
            <w:shd w:val="clear" w:color="auto" w:fill="0071CE"/>
          </w:tcPr>
          <w:p>
            <w:pPr>
              <w:spacing w:after="0"/>
              <w:rPr>
                <w:sz w:val="6"/>
                <w:szCs w:val="6"/>
                <w:color w:val="auto"/>
              </w:rPr>
            </w:pPr>
          </w:p>
        </w:tc>
        <w:tc>
          <w:tcPr>
            <w:tcW w:w="1140" w:type="dxa"/>
            <w:vAlign w:val="bottom"/>
            <w:vMerge w:val="continue"/>
            <w:shd w:val="clear" w:color="auto" w:fill="0071CE"/>
          </w:tcPr>
          <w:p>
            <w:pPr>
              <w:spacing w:after="0"/>
              <w:rPr>
                <w:sz w:val="6"/>
                <w:szCs w:val="6"/>
                <w:color w:val="auto"/>
              </w:rPr>
            </w:pPr>
          </w:p>
        </w:tc>
        <w:tc>
          <w:tcPr>
            <w:tcW w:w="280" w:type="dxa"/>
            <w:vAlign w:val="bottom"/>
            <w:shd w:val="clear" w:color="auto" w:fill="0071CE"/>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660" w:type="dxa"/>
            <w:vAlign w:val="bottom"/>
            <w:shd w:val="clear" w:color="auto" w:fill="0071CE"/>
          </w:tcPr>
          <w:p>
            <w:pPr>
              <w:spacing w:after="0"/>
              <w:rPr>
                <w:sz w:val="10"/>
                <w:szCs w:val="10"/>
                <w:color w:val="auto"/>
              </w:rPr>
            </w:pPr>
          </w:p>
        </w:tc>
        <w:tc>
          <w:tcPr>
            <w:tcW w:w="1340" w:type="dxa"/>
            <w:vAlign w:val="bottom"/>
            <w:vMerge w:val="continue"/>
            <w:shd w:val="clear" w:color="auto" w:fill="0071CE"/>
          </w:tcPr>
          <w:p>
            <w:pPr>
              <w:spacing w:after="0"/>
              <w:rPr>
                <w:sz w:val="10"/>
                <w:szCs w:val="10"/>
                <w:color w:val="auto"/>
              </w:rPr>
            </w:pPr>
          </w:p>
        </w:tc>
        <w:tc>
          <w:tcPr>
            <w:tcW w:w="1300" w:type="dxa"/>
            <w:vAlign w:val="bottom"/>
            <w:shd w:val="clear" w:color="auto" w:fill="0071CE"/>
          </w:tcPr>
          <w:p>
            <w:pPr>
              <w:spacing w:after="0"/>
              <w:rPr>
                <w:sz w:val="10"/>
                <w:szCs w:val="10"/>
                <w:color w:val="auto"/>
              </w:rPr>
            </w:pPr>
          </w:p>
        </w:tc>
        <w:tc>
          <w:tcPr>
            <w:tcW w:w="142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(d)</w:t>
            </w:r>
          </w:p>
        </w:tc>
        <w:tc>
          <w:tcPr>
            <w:tcW w:w="1320" w:type="dxa"/>
            <w:vAlign w:val="bottom"/>
            <w:vMerge w:val="restart"/>
            <w:shd w:val="clear" w:color="auto" w:fill="0071CE"/>
          </w:tcPr>
          <w:p>
            <w:pPr>
              <w:jc w:val="center"/>
              <w:spacing w:after="0"/>
              <w:rPr>
                <w:sz w:val="20"/>
                <w:szCs w:val="20"/>
                <w:color w:val="auto"/>
              </w:rPr>
            </w:pPr>
            <w:r>
              <w:rPr>
                <w:rFonts w:ascii="Arial" w:cs="Arial" w:eastAsia="Arial" w:hAnsi="Arial"/>
                <w:sz w:val="14"/>
                <w:szCs w:val="14"/>
                <w:b w:val="1"/>
                <w:bCs w:val="1"/>
                <w:color w:val="FFFFFF"/>
              </w:rPr>
              <w:t>(e)</w:t>
            </w:r>
          </w:p>
        </w:tc>
        <w:tc>
          <w:tcPr>
            <w:tcW w:w="1320" w:type="dxa"/>
            <w:vAlign w:val="bottom"/>
            <w:shd w:val="clear" w:color="auto" w:fill="0071CE"/>
          </w:tcPr>
          <w:p>
            <w:pPr>
              <w:spacing w:after="0"/>
              <w:rPr>
                <w:sz w:val="10"/>
                <w:szCs w:val="10"/>
                <w:color w:val="auto"/>
              </w:rPr>
            </w:pPr>
          </w:p>
        </w:tc>
        <w:tc>
          <w:tcPr>
            <w:tcW w:w="1340" w:type="dxa"/>
            <w:vAlign w:val="bottom"/>
            <w:shd w:val="clear" w:color="auto" w:fill="0071CE"/>
          </w:tcPr>
          <w:p>
            <w:pPr>
              <w:spacing w:after="0"/>
              <w:rPr>
                <w:sz w:val="10"/>
                <w:szCs w:val="10"/>
                <w:color w:val="auto"/>
              </w:rPr>
            </w:pPr>
          </w:p>
        </w:tc>
        <w:tc>
          <w:tcPr>
            <w:tcW w:w="1120" w:type="dxa"/>
            <w:vAlign w:val="bottom"/>
            <w:shd w:val="clear" w:color="auto" w:fill="0071CE"/>
          </w:tcPr>
          <w:p>
            <w:pPr>
              <w:spacing w:after="0"/>
              <w:rPr>
                <w:sz w:val="10"/>
                <w:szCs w:val="10"/>
                <w:color w:val="auto"/>
              </w:rPr>
            </w:pPr>
          </w:p>
        </w:tc>
        <w:tc>
          <w:tcPr>
            <w:tcW w:w="1140" w:type="dxa"/>
            <w:vAlign w:val="bottom"/>
            <w:shd w:val="clear" w:color="auto" w:fill="0071CE"/>
          </w:tcPr>
          <w:p>
            <w:pPr>
              <w:spacing w:after="0"/>
              <w:rPr>
                <w:sz w:val="10"/>
                <w:szCs w:val="10"/>
                <w:color w:val="auto"/>
              </w:rPr>
            </w:pPr>
          </w:p>
        </w:tc>
        <w:tc>
          <w:tcPr>
            <w:tcW w:w="280" w:type="dxa"/>
            <w:vAlign w:val="bottom"/>
            <w:shd w:val="clear" w:color="auto" w:fill="0071C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60" w:type="dxa"/>
            <w:vAlign w:val="bottom"/>
            <w:shd w:val="clear" w:color="auto" w:fill="0071CE"/>
          </w:tcPr>
          <w:p>
            <w:pPr>
              <w:spacing w:after="0"/>
              <w:rPr>
                <w:sz w:val="6"/>
                <w:szCs w:val="6"/>
                <w:color w:val="auto"/>
              </w:rPr>
            </w:pPr>
          </w:p>
        </w:tc>
        <w:tc>
          <w:tcPr>
            <w:tcW w:w="1340" w:type="dxa"/>
            <w:vAlign w:val="bottom"/>
            <w:shd w:val="clear" w:color="auto" w:fill="0071CE"/>
          </w:tcPr>
          <w:p>
            <w:pPr>
              <w:spacing w:after="0"/>
              <w:rPr>
                <w:sz w:val="6"/>
                <w:szCs w:val="6"/>
                <w:color w:val="auto"/>
              </w:rPr>
            </w:pPr>
          </w:p>
        </w:tc>
        <w:tc>
          <w:tcPr>
            <w:tcW w:w="1300" w:type="dxa"/>
            <w:vAlign w:val="bottom"/>
            <w:shd w:val="clear" w:color="auto" w:fill="0071CE"/>
          </w:tcPr>
          <w:p>
            <w:pPr>
              <w:spacing w:after="0"/>
              <w:rPr>
                <w:sz w:val="6"/>
                <w:szCs w:val="6"/>
                <w:color w:val="auto"/>
              </w:rPr>
            </w:pPr>
          </w:p>
        </w:tc>
        <w:tc>
          <w:tcPr>
            <w:tcW w:w="1420" w:type="dxa"/>
            <w:vAlign w:val="bottom"/>
            <w:vMerge w:val="continue"/>
            <w:shd w:val="clear" w:color="auto" w:fill="0071CE"/>
          </w:tcPr>
          <w:p>
            <w:pPr>
              <w:spacing w:after="0"/>
              <w:rPr>
                <w:sz w:val="6"/>
                <w:szCs w:val="6"/>
                <w:color w:val="auto"/>
              </w:rPr>
            </w:pPr>
          </w:p>
        </w:tc>
        <w:tc>
          <w:tcPr>
            <w:tcW w:w="1320" w:type="dxa"/>
            <w:vAlign w:val="bottom"/>
            <w:vMerge w:val="continue"/>
            <w:shd w:val="clear" w:color="auto" w:fill="0071CE"/>
          </w:tcPr>
          <w:p>
            <w:pPr>
              <w:spacing w:after="0"/>
              <w:rPr>
                <w:sz w:val="6"/>
                <w:szCs w:val="6"/>
                <w:color w:val="auto"/>
              </w:rPr>
            </w:pPr>
          </w:p>
        </w:tc>
        <w:tc>
          <w:tcPr>
            <w:tcW w:w="1320" w:type="dxa"/>
            <w:vAlign w:val="bottom"/>
            <w:shd w:val="clear" w:color="auto" w:fill="0071CE"/>
          </w:tcPr>
          <w:p>
            <w:pPr>
              <w:spacing w:after="0"/>
              <w:rPr>
                <w:sz w:val="6"/>
                <w:szCs w:val="6"/>
                <w:color w:val="auto"/>
              </w:rPr>
            </w:pPr>
          </w:p>
        </w:tc>
        <w:tc>
          <w:tcPr>
            <w:tcW w:w="1340" w:type="dxa"/>
            <w:vAlign w:val="bottom"/>
            <w:shd w:val="clear" w:color="auto" w:fill="0071CE"/>
          </w:tcPr>
          <w:p>
            <w:pPr>
              <w:spacing w:after="0"/>
              <w:rPr>
                <w:sz w:val="6"/>
                <w:szCs w:val="6"/>
                <w:color w:val="auto"/>
              </w:rPr>
            </w:pPr>
          </w:p>
        </w:tc>
        <w:tc>
          <w:tcPr>
            <w:tcW w:w="1120" w:type="dxa"/>
            <w:vAlign w:val="bottom"/>
            <w:shd w:val="clear" w:color="auto" w:fill="0071CE"/>
          </w:tcPr>
          <w:p>
            <w:pPr>
              <w:spacing w:after="0"/>
              <w:rPr>
                <w:sz w:val="6"/>
                <w:szCs w:val="6"/>
                <w:color w:val="auto"/>
              </w:rPr>
            </w:pPr>
          </w:p>
        </w:tc>
        <w:tc>
          <w:tcPr>
            <w:tcW w:w="1140" w:type="dxa"/>
            <w:vAlign w:val="bottom"/>
            <w:shd w:val="clear" w:color="auto" w:fill="0071CE"/>
          </w:tcPr>
          <w:p>
            <w:pPr>
              <w:spacing w:after="0"/>
              <w:rPr>
                <w:sz w:val="6"/>
                <w:szCs w:val="6"/>
                <w:color w:val="auto"/>
              </w:rPr>
            </w:pPr>
          </w:p>
        </w:tc>
        <w:tc>
          <w:tcPr>
            <w:tcW w:w="280" w:type="dxa"/>
            <w:vAlign w:val="bottom"/>
            <w:shd w:val="clear" w:color="auto" w:fill="0071C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E5E5E5"/>
          </w:tcPr>
          <w:p>
            <w:pPr>
              <w:jc w:val="right"/>
              <w:ind w:right="201"/>
              <w:spacing w:after="0"/>
              <w:rPr>
                <w:sz w:val="20"/>
                <w:szCs w:val="20"/>
                <w:color w:val="auto"/>
              </w:rPr>
            </w:pPr>
            <w:r>
              <w:rPr>
                <w:rFonts w:ascii="Arial" w:cs="Arial" w:eastAsia="Arial" w:hAnsi="Arial"/>
                <w:sz w:val="16"/>
                <w:szCs w:val="16"/>
                <w:color w:val="auto"/>
              </w:rPr>
              <w:t>2024</w:t>
            </w: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$12,423,473</w:t>
            </w:r>
          </w:p>
        </w:tc>
        <w:tc>
          <w:tcPr>
            <w:tcW w:w="13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($5,232,848)</w:t>
            </w:r>
          </w:p>
        </w:tc>
        <w:tc>
          <w:tcPr>
            <w:tcW w:w="14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$3,493,347</w:t>
            </w:r>
          </w:p>
        </w:tc>
        <w:tc>
          <w:tcPr>
            <w:tcW w:w="13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$2,614,573</w:t>
            </w:r>
          </w:p>
        </w:tc>
        <w:tc>
          <w:tcPr>
            <w:tcW w:w="132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7"/>
              </w:rPr>
              <w:t>$31</w:t>
            </w: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$94</w:t>
            </w:r>
          </w:p>
        </w:tc>
        <w:tc>
          <w:tcPr>
            <w:tcW w:w="1120" w:type="dxa"/>
            <w:vAlign w:val="bottom"/>
            <w:shd w:val="clear" w:color="auto" w:fill="E5E5E5"/>
          </w:tcPr>
          <w:p>
            <w:pPr>
              <w:jc w:val="right"/>
              <w:ind w:right="68"/>
              <w:spacing w:after="0"/>
              <w:rPr>
                <w:sz w:val="20"/>
                <w:szCs w:val="20"/>
                <w:color w:val="auto"/>
              </w:rPr>
            </w:pPr>
            <w:r>
              <w:rPr>
                <w:rFonts w:ascii="Arial" w:cs="Arial" w:eastAsia="Arial" w:hAnsi="Arial"/>
                <w:sz w:val="16"/>
                <w:szCs w:val="16"/>
                <w:color w:val="auto"/>
              </w:rPr>
              <w:t>($599,493)</w:t>
            </w:r>
          </w:p>
        </w:tc>
        <w:tc>
          <w:tcPr>
            <w:tcW w:w="1140" w:type="dxa"/>
            <w:vAlign w:val="bottom"/>
            <w:shd w:val="clear" w:color="auto" w:fill="E5E5E5"/>
          </w:tcPr>
          <w:p>
            <w:pPr>
              <w:jc w:val="center"/>
              <w:ind w:right="682"/>
              <w:spacing w:after="0"/>
              <w:rPr>
                <w:sz w:val="20"/>
                <w:szCs w:val="20"/>
                <w:color w:val="auto"/>
              </w:rPr>
            </w:pPr>
            <w:r>
              <w:rPr>
                <w:rFonts w:ascii="Arial" w:cs="Arial" w:eastAsia="Arial" w:hAnsi="Arial"/>
                <w:sz w:val="16"/>
                <w:szCs w:val="16"/>
                <w:color w:val="auto"/>
              </w:rPr>
              <w:t>$</w:t>
            </w:r>
          </w:p>
        </w:tc>
        <w:tc>
          <w:tcPr>
            <w:tcW w:w="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60" w:type="dxa"/>
            <w:vAlign w:val="bottom"/>
            <w:shd w:val="clear" w:color="auto" w:fill="E5E5E5"/>
          </w:tcPr>
          <w:p>
            <w:pPr>
              <w:jc w:val="right"/>
              <w:ind w:right="201"/>
              <w:spacing w:after="0"/>
              <w:rPr>
                <w:sz w:val="20"/>
                <w:szCs w:val="20"/>
                <w:color w:val="auto"/>
              </w:rPr>
            </w:pPr>
            <w:r>
              <w:rPr>
                <w:rFonts w:ascii="Arial" w:cs="Arial" w:eastAsia="Arial" w:hAnsi="Arial"/>
                <w:sz w:val="16"/>
                <w:szCs w:val="16"/>
                <w:color w:val="auto"/>
              </w:rPr>
              <w:t>2023</w:t>
            </w:r>
          </w:p>
        </w:tc>
        <w:tc>
          <w:tcPr>
            <w:tcW w:w="1340" w:type="dxa"/>
            <w:vAlign w:val="bottom"/>
          </w:tcPr>
          <w:p>
            <w:pPr>
              <w:jc w:val="center"/>
              <w:spacing w:after="0"/>
              <w:rPr>
                <w:sz w:val="20"/>
                <w:szCs w:val="20"/>
                <w:color w:val="auto"/>
              </w:rPr>
            </w:pPr>
            <w:r>
              <w:rPr>
                <w:rFonts w:ascii="Arial" w:cs="Arial" w:eastAsia="Arial" w:hAnsi="Arial"/>
                <w:sz w:val="16"/>
                <w:szCs w:val="16"/>
                <w:color w:val="auto"/>
                <w:w w:val="99"/>
              </w:rPr>
              <w:t>$9,918,093</w:t>
            </w:r>
          </w:p>
        </w:tc>
        <w:tc>
          <w:tcPr>
            <w:tcW w:w="1300" w:type="dxa"/>
            <w:vAlign w:val="bottom"/>
          </w:tcPr>
          <w:p>
            <w:pPr>
              <w:jc w:val="center"/>
              <w:spacing w:after="0"/>
              <w:rPr>
                <w:sz w:val="20"/>
                <w:szCs w:val="20"/>
                <w:color w:val="auto"/>
              </w:rPr>
            </w:pPr>
            <w:r>
              <w:rPr>
                <w:rFonts w:ascii="Arial" w:cs="Arial" w:eastAsia="Arial" w:hAnsi="Arial"/>
                <w:sz w:val="16"/>
                <w:szCs w:val="16"/>
                <w:color w:val="auto"/>
              </w:rPr>
              <w:t>($2,160,939)</w:t>
            </w:r>
          </w:p>
        </w:tc>
        <w:tc>
          <w:tcPr>
            <w:tcW w:w="1420" w:type="dxa"/>
            <w:vAlign w:val="bottom"/>
          </w:tcPr>
          <w:p>
            <w:pPr>
              <w:jc w:val="center"/>
              <w:spacing w:after="0"/>
              <w:rPr>
                <w:sz w:val="20"/>
                <w:szCs w:val="20"/>
                <w:color w:val="auto"/>
              </w:rPr>
            </w:pPr>
            <w:r>
              <w:rPr>
                <w:rFonts w:ascii="Arial" w:cs="Arial" w:eastAsia="Arial" w:hAnsi="Arial"/>
                <w:sz w:val="16"/>
                <w:szCs w:val="16"/>
                <w:color w:val="auto"/>
              </w:rPr>
              <w:t>$3,143,102</w:t>
            </w:r>
          </w:p>
        </w:tc>
        <w:tc>
          <w:tcPr>
            <w:tcW w:w="1320" w:type="dxa"/>
            <w:vAlign w:val="bottom"/>
          </w:tcPr>
          <w:p>
            <w:pPr>
              <w:jc w:val="center"/>
              <w:spacing w:after="0"/>
              <w:rPr>
                <w:sz w:val="20"/>
                <w:szCs w:val="20"/>
                <w:color w:val="auto"/>
              </w:rPr>
            </w:pPr>
            <w:r>
              <w:rPr>
                <w:rFonts w:ascii="Arial" w:cs="Arial" w:eastAsia="Arial" w:hAnsi="Arial"/>
                <w:sz w:val="16"/>
                <w:szCs w:val="16"/>
                <w:color w:val="auto"/>
              </w:rPr>
              <w:t>$2,298,902</w:t>
            </w:r>
          </w:p>
        </w:tc>
        <w:tc>
          <w:tcPr>
            <w:tcW w:w="1320" w:type="dxa"/>
            <w:vAlign w:val="bottom"/>
          </w:tcPr>
          <w:p>
            <w:pPr>
              <w:jc w:val="center"/>
              <w:spacing w:after="0"/>
              <w:rPr>
                <w:sz w:val="20"/>
                <w:szCs w:val="20"/>
                <w:color w:val="auto"/>
              </w:rPr>
            </w:pPr>
            <w:r>
              <w:rPr>
                <w:rFonts w:ascii="Arial" w:cs="Arial" w:eastAsia="Arial" w:hAnsi="Arial"/>
                <w:sz w:val="16"/>
                <w:szCs w:val="16"/>
                <w:color w:val="auto"/>
                <w:w w:val="97"/>
              </w:rPr>
              <w:t>$62</w:t>
            </w:r>
          </w:p>
        </w:tc>
        <w:tc>
          <w:tcPr>
            <w:tcW w:w="1340" w:type="dxa"/>
            <w:vAlign w:val="bottom"/>
          </w:tcPr>
          <w:p>
            <w:pPr>
              <w:jc w:val="center"/>
              <w:spacing w:after="0"/>
              <w:rPr>
                <w:sz w:val="20"/>
                <w:szCs w:val="20"/>
                <w:color w:val="auto"/>
              </w:rPr>
            </w:pPr>
            <w:r>
              <w:rPr>
                <w:rFonts w:ascii="Arial" w:cs="Arial" w:eastAsia="Arial" w:hAnsi="Arial"/>
                <w:sz w:val="16"/>
                <w:szCs w:val="16"/>
                <w:color w:val="auto"/>
              </w:rPr>
              <w:t>$49</w:t>
            </w:r>
          </w:p>
        </w:tc>
        <w:tc>
          <w:tcPr>
            <w:tcW w:w="1120" w:type="dxa"/>
            <w:vAlign w:val="bottom"/>
          </w:tcPr>
          <w:p>
            <w:pPr>
              <w:jc w:val="right"/>
              <w:ind w:right="68"/>
              <w:spacing w:after="0"/>
              <w:rPr>
                <w:sz w:val="20"/>
                <w:szCs w:val="20"/>
                <w:color w:val="auto"/>
              </w:rPr>
            </w:pPr>
            <w:r>
              <w:rPr>
                <w:rFonts w:ascii="Arial" w:cs="Arial" w:eastAsia="Arial" w:hAnsi="Arial"/>
                <w:sz w:val="16"/>
                <w:szCs w:val="16"/>
                <w:color w:val="auto"/>
              </w:rPr>
              <w:t>($205,275)</w:t>
            </w:r>
          </w:p>
        </w:tc>
        <w:tc>
          <w:tcPr>
            <w:tcW w:w="1140" w:type="dxa"/>
            <w:vAlign w:val="bottom"/>
          </w:tcPr>
          <w:p>
            <w:pPr>
              <w:jc w:val="center"/>
              <w:ind w:right="682"/>
              <w:spacing w:after="0"/>
              <w:rPr>
                <w:sz w:val="20"/>
                <w:szCs w:val="20"/>
                <w:color w:val="auto"/>
              </w:rPr>
            </w:pPr>
            <w:r>
              <w:rPr>
                <w:rFonts w:ascii="Arial" w:cs="Arial" w:eastAsia="Arial" w:hAnsi="Arial"/>
                <w:sz w:val="16"/>
                <w:szCs w:val="16"/>
                <w:color w:val="auto"/>
              </w:rPr>
              <w:t>$</w:t>
            </w: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60" w:type="dxa"/>
            <w:vAlign w:val="bottom"/>
            <w:shd w:val="clear" w:color="auto" w:fill="E5E5E5"/>
          </w:tcPr>
          <w:p>
            <w:pPr>
              <w:jc w:val="right"/>
              <w:ind w:right="201"/>
              <w:spacing w:after="0"/>
              <w:rPr>
                <w:sz w:val="20"/>
                <w:szCs w:val="20"/>
                <w:color w:val="auto"/>
              </w:rPr>
            </w:pPr>
            <w:r>
              <w:rPr>
                <w:rFonts w:ascii="Arial" w:cs="Arial" w:eastAsia="Arial" w:hAnsi="Arial"/>
                <w:sz w:val="16"/>
                <w:szCs w:val="16"/>
                <w:color w:val="auto"/>
              </w:rPr>
              <w:t>2022</w:t>
            </w: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$12,031,969</w:t>
            </w:r>
          </w:p>
        </w:tc>
        <w:tc>
          <w:tcPr>
            <w:tcW w:w="13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($40,073,641)</w:t>
            </w:r>
          </w:p>
        </w:tc>
        <w:tc>
          <w:tcPr>
            <w:tcW w:w="14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$4,133,800</w:t>
            </w:r>
          </w:p>
        </w:tc>
        <w:tc>
          <w:tcPr>
            <w:tcW w:w="13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($386,118)</w:t>
            </w:r>
          </w:p>
        </w:tc>
        <w:tc>
          <w:tcPr>
            <w:tcW w:w="132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7"/>
              </w:rPr>
              <w:t>$77</w:t>
            </w: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$67</w:t>
            </w:r>
          </w:p>
        </w:tc>
        <w:tc>
          <w:tcPr>
            <w:tcW w:w="1120" w:type="dxa"/>
            <w:vAlign w:val="bottom"/>
            <w:shd w:val="clear" w:color="auto" w:fill="E5E5E5"/>
          </w:tcPr>
          <w:p>
            <w:pPr>
              <w:jc w:val="right"/>
              <w:ind w:right="68"/>
              <w:spacing w:after="0"/>
              <w:rPr>
                <w:sz w:val="20"/>
                <w:szCs w:val="20"/>
                <w:color w:val="auto"/>
              </w:rPr>
            </w:pPr>
            <w:r>
              <w:rPr>
                <w:rFonts w:ascii="Arial" w:cs="Arial" w:eastAsia="Arial" w:hAnsi="Arial"/>
                <w:sz w:val="16"/>
                <w:szCs w:val="16"/>
                <w:color w:val="auto"/>
              </w:rPr>
              <w:t>($176,063)</w:t>
            </w:r>
          </w:p>
        </w:tc>
        <w:tc>
          <w:tcPr>
            <w:tcW w:w="1140" w:type="dxa"/>
            <w:vAlign w:val="bottom"/>
            <w:shd w:val="clear" w:color="auto" w:fill="E5E5E5"/>
          </w:tcPr>
          <w:p>
            <w:pPr>
              <w:jc w:val="center"/>
              <w:ind w:right="682"/>
              <w:spacing w:after="0"/>
              <w:rPr>
                <w:sz w:val="20"/>
                <w:szCs w:val="20"/>
                <w:color w:val="auto"/>
              </w:rPr>
            </w:pPr>
            <w:r>
              <w:rPr>
                <w:rFonts w:ascii="Arial" w:cs="Arial" w:eastAsia="Arial" w:hAnsi="Arial"/>
                <w:sz w:val="16"/>
                <w:szCs w:val="16"/>
                <w:color w:val="auto"/>
              </w:rPr>
              <w:t>$</w:t>
            </w:r>
          </w:p>
        </w:tc>
        <w:tc>
          <w:tcPr>
            <w:tcW w:w="280" w:type="dxa"/>
            <w:vAlign w:val="bottom"/>
            <w:shd w:val="clear" w:color="auto" w:fill="E5E5E5"/>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60" w:type="dxa"/>
            <w:vAlign w:val="bottom"/>
            <w:shd w:val="clear" w:color="auto" w:fill="E5E5E5"/>
          </w:tcPr>
          <w:p>
            <w:pPr>
              <w:jc w:val="right"/>
              <w:ind w:right="201"/>
              <w:spacing w:after="0"/>
              <w:rPr>
                <w:sz w:val="20"/>
                <w:szCs w:val="20"/>
                <w:color w:val="auto"/>
              </w:rPr>
            </w:pPr>
            <w:r>
              <w:rPr>
                <w:rFonts w:ascii="Arial" w:cs="Arial" w:eastAsia="Arial" w:hAnsi="Arial"/>
                <w:sz w:val="16"/>
                <w:szCs w:val="16"/>
                <w:color w:val="auto"/>
              </w:rPr>
              <w:t>2021</w:t>
            </w:r>
          </w:p>
        </w:tc>
        <w:tc>
          <w:tcPr>
            <w:tcW w:w="1340" w:type="dxa"/>
            <w:vAlign w:val="bottom"/>
          </w:tcPr>
          <w:p>
            <w:pPr>
              <w:jc w:val="center"/>
              <w:spacing w:after="0"/>
              <w:rPr>
                <w:sz w:val="20"/>
                <w:szCs w:val="20"/>
                <w:color w:val="auto"/>
              </w:rPr>
            </w:pPr>
            <w:r>
              <w:rPr>
                <w:rFonts w:ascii="Arial" w:cs="Arial" w:eastAsia="Arial" w:hAnsi="Arial"/>
                <w:sz w:val="16"/>
                <w:szCs w:val="16"/>
                <w:color w:val="auto"/>
              </w:rPr>
              <w:t>$24,703,855</w:t>
            </w:r>
          </w:p>
        </w:tc>
        <w:tc>
          <w:tcPr>
            <w:tcW w:w="1300" w:type="dxa"/>
            <w:vAlign w:val="bottom"/>
          </w:tcPr>
          <w:p>
            <w:pPr>
              <w:jc w:val="center"/>
              <w:spacing w:after="0"/>
              <w:rPr>
                <w:sz w:val="20"/>
                <w:szCs w:val="20"/>
                <w:color w:val="auto"/>
              </w:rPr>
            </w:pPr>
            <w:r>
              <w:rPr>
                <w:rFonts w:ascii="Arial" w:cs="Arial" w:eastAsia="Arial" w:hAnsi="Arial"/>
                <w:sz w:val="16"/>
                <w:szCs w:val="16"/>
                <w:color w:val="auto"/>
              </w:rPr>
              <w:t>$69,061,855</w:t>
            </w:r>
          </w:p>
        </w:tc>
        <w:tc>
          <w:tcPr>
            <w:tcW w:w="1420" w:type="dxa"/>
            <w:vAlign w:val="bottom"/>
          </w:tcPr>
          <w:p>
            <w:pPr>
              <w:jc w:val="center"/>
              <w:spacing w:after="0"/>
              <w:rPr>
                <w:sz w:val="20"/>
                <w:szCs w:val="20"/>
                <w:color w:val="auto"/>
              </w:rPr>
            </w:pPr>
            <w:r>
              <w:rPr>
                <w:rFonts w:ascii="Arial" w:cs="Arial" w:eastAsia="Arial" w:hAnsi="Arial"/>
                <w:sz w:val="16"/>
                <w:szCs w:val="16"/>
                <w:color w:val="auto"/>
              </w:rPr>
              <w:t>$3,324,746</w:t>
            </w:r>
          </w:p>
        </w:tc>
        <w:tc>
          <w:tcPr>
            <w:tcW w:w="1320" w:type="dxa"/>
            <w:vAlign w:val="bottom"/>
          </w:tcPr>
          <w:p>
            <w:pPr>
              <w:jc w:val="center"/>
              <w:spacing w:after="0"/>
              <w:rPr>
                <w:sz w:val="20"/>
                <w:szCs w:val="20"/>
                <w:color w:val="auto"/>
              </w:rPr>
            </w:pPr>
            <w:r>
              <w:rPr>
                <w:rFonts w:ascii="Arial" w:cs="Arial" w:eastAsia="Arial" w:hAnsi="Arial"/>
                <w:sz w:val="16"/>
                <w:szCs w:val="16"/>
                <w:color w:val="auto"/>
              </w:rPr>
              <w:t>$6,080,786</w:t>
            </w:r>
          </w:p>
        </w:tc>
        <w:tc>
          <w:tcPr>
            <w:tcW w:w="1320" w:type="dxa"/>
            <w:vAlign w:val="bottom"/>
          </w:tcPr>
          <w:p>
            <w:pPr>
              <w:jc w:val="center"/>
              <w:spacing w:after="0"/>
              <w:rPr>
                <w:sz w:val="20"/>
                <w:szCs w:val="20"/>
                <w:color w:val="auto"/>
              </w:rPr>
            </w:pPr>
            <w:r>
              <w:rPr>
                <w:rFonts w:ascii="Arial" w:cs="Arial" w:eastAsia="Arial" w:hAnsi="Arial"/>
                <w:sz w:val="16"/>
                <w:szCs w:val="16"/>
                <w:color w:val="auto"/>
              </w:rPr>
              <w:t>$145</w:t>
            </w:r>
          </w:p>
        </w:tc>
        <w:tc>
          <w:tcPr>
            <w:tcW w:w="1340" w:type="dxa"/>
            <w:vAlign w:val="bottom"/>
          </w:tcPr>
          <w:p>
            <w:pPr>
              <w:jc w:val="center"/>
              <w:spacing w:after="0"/>
              <w:rPr>
                <w:sz w:val="20"/>
                <w:szCs w:val="20"/>
                <w:color w:val="auto"/>
              </w:rPr>
            </w:pPr>
            <w:r>
              <w:rPr>
                <w:rFonts w:ascii="Arial" w:cs="Arial" w:eastAsia="Arial" w:hAnsi="Arial"/>
                <w:sz w:val="16"/>
                <w:szCs w:val="16"/>
                <w:color w:val="auto"/>
              </w:rPr>
              <w:t>$116</w:t>
            </w:r>
          </w:p>
        </w:tc>
        <w:tc>
          <w:tcPr>
            <w:tcW w:w="1120" w:type="dxa"/>
            <w:vAlign w:val="bottom"/>
          </w:tcPr>
          <w:p>
            <w:pPr>
              <w:jc w:val="right"/>
              <w:ind w:right="68"/>
              <w:spacing w:after="0"/>
              <w:rPr>
                <w:sz w:val="20"/>
                <w:szCs w:val="20"/>
                <w:color w:val="auto"/>
              </w:rPr>
            </w:pPr>
            <w:r>
              <w:rPr>
                <w:rFonts w:ascii="Arial" w:cs="Arial" w:eastAsia="Arial" w:hAnsi="Arial"/>
                <w:sz w:val="16"/>
                <w:szCs w:val="16"/>
                <w:color w:val="auto"/>
              </w:rPr>
              <w:t>($140,848)</w:t>
            </w:r>
          </w:p>
        </w:tc>
        <w:tc>
          <w:tcPr>
            <w:tcW w:w="1140" w:type="dxa"/>
            <w:vAlign w:val="bottom"/>
          </w:tcPr>
          <w:p>
            <w:pPr>
              <w:jc w:val="center"/>
              <w:ind w:right="682"/>
              <w:spacing w:after="0"/>
              <w:rPr>
                <w:sz w:val="20"/>
                <w:szCs w:val="20"/>
                <w:color w:val="auto"/>
              </w:rPr>
            </w:pPr>
            <w:r>
              <w:rPr>
                <w:rFonts w:ascii="Arial" w:cs="Arial" w:eastAsia="Arial" w:hAnsi="Arial"/>
                <w:sz w:val="16"/>
                <w:szCs w:val="16"/>
                <w:color w:val="auto"/>
              </w:rPr>
              <w:t>$</w:t>
            </w: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20" w:right="20" w:hanging="412"/>
        <w:spacing w:after="0" w:line="244" w:lineRule="auto"/>
        <w:tabs>
          <w:tab w:leader="none" w:pos="407"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dollar amounts reported are the amounts reported for Christopher Anzalone (the Company’s Chief Executive Officer) for each of the corresponding years in the “Total” column in our Summary Compensation Table. The dollar amounts reported in column (d) represent the average of the amounts reported for the Company’s named executive officers (NEOs) as a group (excluding Christopher Anzalone) in the “Total” column of the Summary Compensation Table in each applicable year. The names of each of the NEOs included for these purposes in each applicable year are as follows: (i) for fiscal year 2024, Kenneth Myszkowski, Patrick O'Brien, James Hamilton, Javier San Martin and Tracie Oliver, (ii) for fiscal year 2023, Kenneth Myszkowski, Patrick O'Brien, James Hamilton, and Javier San Martin; (iii) for fiscal year 2022, Kenneth Myszkowski, Patrick O'Brien, James Hamilton, and Tracie Oliver; and (iv) for fiscal year 2021, Kenneth Myszkowski, Patrick O'Brien, James Hamilton, Javier San Martin, and James Hassard.</w:t>
      </w:r>
    </w:p>
    <w:p>
      <w:pPr>
        <w:spacing w:after="0" w:line="2" w:lineRule="exact"/>
        <w:rPr>
          <w:rFonts w:ascii="Arial" w:cs="Arial" w:eastAsia="Arial" w:hAnsi="Arial"/>
          <w:sz w:val="14"/>
          <w:szCs w:val="14"/>
          <w:color w:val="auto"/>
        </w:rPr>
      </w:pPr>
    </w:p>
    <w:p>
      <w:pPr>
        <w:ind w:left="420" w:right="40" w:hanging="412"/>
        <w:spacing w:after="0" w:line="237" w:lineRule="auto"/>
        <w:tabs>
          <w:tab w:leader="none" w:pos="407"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dollar amounts reported in column (c) represent the amount of “compensation actually paid” to Christopher Anzalone, and the dollar amounts reported in column (e) represent the average amount of “compensation actually paid” to our other NEOs as a group, each as computed in accordance with Item 402(v) of Regulation S-K and do not reflect the total compensation actually realized or received by Christopher Anzalone or the other NEOs on average, as applicable. In accordance with these rules, these amounts reflect “Total Compensation” as set forth in the Summary Compensation Table for each year, adjusted as shown below. Equity values are calculated in accordance with FASB ASC Topic 718, and the valuation assumptions used to calculate fair values did not materially differ from those disclosed at the time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949325</wp:posOffset>
            </wp:positionV>
            <wp:extent cx="986155" cy="2057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E"/>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FFFFFF"/>
        </w:rPr>
        <w:t>Compensation Actually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15175" cy="3860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15175" cy="38608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01"/>
        </w:trPr>
        <w:tc>
          <w:tcPr>
            <w:tcW w:w="2160" w:type="dxa"/>
            <w:vAlign w:val="bottom"/>
          </w:tcPr>
          <w:p>
            <w:pPr>
              <w:ind w:left="140"/>
              <w:spacing w:after="0"/>
              <w:rPr>
                <w:sz w:val="20"/>
                <w:szCs w:val="20"/>
                <w:color w:val="auto"/>
              </w:rPr>
            </w:pPr>
            <w:r>
              <w:rPr>
                <w:rFonts w:ascii="Arial" w:cs="Arial" w:eastAsia="Arial" w:hAnsi="Arial"/>
                <w:sz w:val="16"/>
                <w:szCs w:val="16"/>
                <w:b w:val="1"/>
                <w:bCs w:val="1"/>
                <w:color w:val="FFFFFF"/>
              </w:rPr>
              <w:t>Paid</w:t>
            </w:r>
          </w:p>
        </w:tc>
        <w:tc>
          <w:tcPr>
            <w:tcW w:w="240" w:type="dxa"/>
            <w:vAlign w:val="bottom"/>
          </w:tcPr>
          <w:p>
            <w:pPr>
              <w:spacing w:after="0"/>
              <w:rPr>
                <w:sz w:val="17"/>
                <w:szCs w:val="17"/>
                <w:color w:val="auto"/>
              </w:rPr>
            </w:pPr>
          </w:p>
        </w:tc>
        <w:tc>
          <w:tcPr>
            <w:tcW w:w="1220" w:type="dxa"/>
            <w:vAlign w:val="bottom"/>
            <w:gridSpan w:val="2"/>
          </w:tcPr>
          <w:p>
            <w:pPr>
              <w:jc w:val="right"/>
              <w:ind w:right="88"/>
              <w:spacing w:after="0"/>
              <w:rPr>
                <w:sz w:val="20"/>
                <w:szCs w:val="20"/>
                <w:color w:val="auto"/>
              </w:rPr>
            </w:pPr>
            <w:r>
              <w:rPr>
                <w:rFonts w:ascii="Arial" w:cs="Arial" w:eastAsia="Arial" w:hAnsi="Arial"/>
                <w:sz w:val="14"/>
                <w:szCs w:val="14"/>
                <w:b w:val="1"/>
                <w:bCs w:val="1"/>
                <w:color w:val="FFFFFF"/>
              </w:rPr>
              <w:t>2024</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ind w:right="88"/>
              <w:spacing w:after="0"/>
              <w:rPr>
                <w:sz w:val="20"/>
                <w:szCs w:val="20"/>
                <w:color w:val="auto"/>
              </w:rPr>
            </w:pPr>
            <w:r>
              <w:rPr>
                <w:rFonts w:ascii="Arial" w:cs="Arial" w:eastAsia="Arial" w:hAnsi="Arial"/>
                <w:sz w:val="14"/>
                <w:szCs w:val="14"/>
                <w:b w:val="1"/>
                <w:bCs w:val="1"/>
                <w:color w:val="FFFFFF"/>
              </w:rPr>
              <w:t>2023</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FFFFFF"/>
              </w:rPr>
              <w:t>2022</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FFFFFF"/>
              </w:rPr>
              <w:t>2021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Borders>
              <w:left w:val="single" w:sz="8" w:color="0071CE"/>
            </w:tcBorders>
          </w:tcPr>
          <w:p>
            <w:pPr>
              <w:spacing w:after="0"/>
              <w:rPr>
                <w:sz w:val="19"/>
                <w:szCs w:val="19"/>
                <w:color w:val="auto"/>
              </w:rPr>
            </w:pPr>
          </w:p>
        </w:tc>
        <w:tc>
          <w:tcPr>
            <w:tcW w:w="240" w:type="dxa"/>
            <w:vAlign w:val="bottom"/>
            <w:shd w:val="clear" w:color="auto" w:fill="0071CE"/>
          </w:tcPr>
          <w:p>
            <w:pPr>
              <w:spacing w:after="0"/>
              <w:rPr>
                <w:sz w:val="19"/>
                <w:szCs w:val="19"/>
                <w:color w:val="auto"/>
              </w:rPr>
            </w:pPr>
          </w:p>
        </w:tc>
        <w:tc>
          <w:tcPr>
            <w:tcW w:w="880" w:type="dxa"/>
            <w:vAlign w:val="bottom"/>
            <w:shd w:val="clear" w:color="auto" w:fill="0071CE"/>
          </w:tcPr>
          <w:p>
            <w:pPr>
              <w:jc w:val="right"/>
              <w:ind w:right="308"/>
              <w:spacing w:after="0"/>
              <w:rPr>
                <w:sz w:val="20"/>
                <w:szCs w:val="20"/>
                <w:color w:val="auto"/>
              </w:rPr>
            </w:pPr>
            <w:r>
              <w:rPr>
                <w:rFonts w:ascii="Arial" w:cs="Arial" w:eastAsia="Arial" w:hAnsi="Arial"/>
                <w:sz w:val="16"/>
                <w:szCs w:val="16"/>
                <w:b w:val="1"/>
                <w:bCs w:val="1"/>
                <w:color w:val="FFFFFF"/>
              </w:rPr>
              <w:t>PEO</w:t>
            </w:r>
          </w:p>
        </w:tc>
        <w:tc>
          <w:tcPr>
            <w:tcW w:w="1120" w:type="dxa"/>
            <w:vAlign w:val="bottom"/>
            <w:gridSpan w:val="2"/>
            <w:shd w:val="clear" w:color="auto" w:fill="0071CE"/>
          </w:tcPr>
          <w:p>
            <w:pPr>
              <w:jc w:val="right"/>
              <w:spacing w:after="0"/>
              <w:rPr>
                <w:sz w:val="20"/>
                <w:szCs w:val="20"/>
                <w:color w:val="auto"/>
              </w:rPr>
            </w:pPr>
            <w:r>
              <w:rPr>
                <w:rFonts w:ascii="Arial" w:cs="Arial" w:eastAsia="Arial" w:hAnsi="Arial"/>
                <w:sz w:val="16"/>
                <w:szCs w:val="16"/>
                <w:b w:val="1"/>
                <w:bCs w:val="1"/>
                <w:color w:val="FFFFFF"/>
              </w:rPr>
              <w:t>Other NEOs*</w:t>
            </w:r>
          </w:p>
        </w:tc>
        <w:tc>
          <w:tcPr>
            <w:tcW w:w="260" w:type="dxa"/>
            <w:vAlign w:val="bottom"/>
            <w:shd w:val="clear" w:color="auto" w:fill="0071CE"/>
          </w:tcPr>
          <w:p>
            <w:pPr>
              <w:spacing w:after="0"/>
              <w:rPr>
                <w:sz w:val="19"/>
                <w:szCs w:val="19"/>
                <w:color w:val="auto"/>
              </w:rPr>
            </w:pPr>
          </w:p>
        </w:tc>
        <w:tc>
          <w:tcPr>
            <w:tcW w:w="860" w:type="dxa"/>
            <w:vAlign w:val="bottom"/>
            <w:shd w:val="clear" w:color="auto" w:fill="0071CE"/>
          </w:tcPr>
          <w:p>
            <w:pPr>
              <w:jc w:val="right"/>
              <w:ind w:right="288"/>
              <w:spacing w:after="0"/>
              <w:rPr>
                <w:sz w:val="20"/>
                <w:szCs w:val="20"/>
                <w:color w:val="auto"/>
              </w:rPr>
            </w:pPr>
            <w:r>
              <w:rPr>
                <w:rFonts w:ascii="Arial" w:cs="Arial" w:eastAsia="Arial" w:hAnsi="Arial"/>
                <w:sz w:val="16"/>
                <w:szCs w:val="16"/>
                <w:b w:val="1"/>
                <w:bCs w:val="1"/>
                <w:color w:val="FFFFFF"/>
              </w:rPr>
              <w:t>PEO</w:t>
            </w:r>
          </w:p>
        </w:tc>
        <w:tc>
          <w:tcPr>
            <w:tcW w:w="1140" w:type="dxa"/>
            <w:vAlign w:val="bottom"/>
            <w:gridSpan w:val="2"/>
            <w:shd w:val="clear" w:color="auto" w:fill="0071CE"/>
          </w:tcPr>
          <w:p>
            <w:pPr>
              <w:jc w:val="right"/>
              <w:spacing w:after="0"/>
              <w:rPr>
                <w:sz w:val="20"/>
                <w:szCs w:val="20"/>
                <w:color w:val="auto"/>
              </w:rPr>
            </w:pPr>
            <w:r>
              <w:rPr>
                <w:rFonts w:ascii="Arial" w:cs="Arial" w:eastAsia="Arial" w:hAnsi="Arial"/>
                <w:sz w:val="16"/>
                <w:szCs w:val="16"/>
                <w:b w:val="1"/>
                <w:bCs w:val="1"/>
                <w:color w:val="FFFFFF"/>
              </w:rPr>
              <w:t>Other NEOs*</w:t>
            </w:r>
          </w:p>
        </w:tc>
        <w:tc>
          <w:tcPr>
            <w:tcW w:w="260" w:type="dxa"/>
            <w:vAlign w:val="bottom"/>
            <w:shd w:val="clear" w:color="auto" w:fill="0071CE"/>
          </w:tcPr>
          <w:p>
            <w:pPr>
              <w:spacing w:after="0"/>
              <w:rPr>
                <w:sz w:val="19"/>
                <w:szCs w:val="19"/>
                <w:color w:val="auto"/>
              </w:rPr>
            </w:pPr>
          </w:p>
        </w:tc>
        <w:tc>
          <w:tcPr>
            <w:tcW w:w="880" w:type="dxa"/>
            <w:vAlign w:val="bottom"/>
            <w:shd w:val="clear" w:color="auto" w:fill="0071CE"/>
          </w:tcPr>
          <w:p>
            <w:pPr>
              <w:jc w:val="right"/>
              <w:ind w:right="308"/>
              <w:spacing w:after="0"/>
              <w:rPr>
                <w:sz w:val="20"/>
                <w:szCs w:val="20"/>
                <w:color w:val="auto"/>
              </w:rPr>
            </w:pPr>
            <w:r>
              <w:rPr>
                <w:rFonts w:ascii="Arial" w:cs="Arial" w:eastAsia="Arial" w:hAnsi="Arial"/>
                <w:sz w:val="16"/>
                <w:szCs w:val="16"/>
                <w:b w:val="1"/>
                <w:bCs w:val="1"/>
                <w:color w:val="FFFFFF"/>
              </w:rPr>
              <w:t>PEO</w:t>
            </w:r>
          </w:p>
        </w:tc>
        <w:tc>
          <w:tcPr>
            <w:tcW w:w="1120" w:type="dxa"/>
            <w:vAlign w:val="bottom"/>
            <w:gridSpan w:val="2"/>
            <w:shd w:val="clear" w:color="auto" w:fill="0071CE"/>
          </w:tcPr>
          <w:p>
            <w:pPr>
              <w:jc w:val="right"/>
              <w:spacing w:after="0"/>
              <w:rPr>
                <w:sz w:val="20"/>
                <w:szCs w:val="20"/>
                <w:color w:val="auto"/>
              </w:rPr>
            </w:pPr>
            <w:r>
              <w:rPr>
                <w:rFonts w:ascii="Arial" w:cs="Arial" w:eastAsia="Arial" w:hAnsi="Arial"/>
                <w:sz w:val="16"/>
                <w:szCs w:val="16"/>
                <w:b w:val="1"/>
                <w:bCs w:val="1"/>
                <w:color w:val="FFFFFF"/>
              </w:rPr>
              <w:t>Other NEOs*</w:t>
            </w:r>
          </w:p>
        </w:tc>
        <w:tc>
          <w:tcPr>
            <w:tcW w:w="280" w:type="dxa"/>
            <w:vAlign w:val="bottom"/>
            <w:shd w:val="clear" w:color="auto" w:fill="0071CE"/>
          </w:tcPr>
          <w:p>
            <w:pPr>
              <w:spacing w:after="0"/>
              <w:rPr>
                <w:sz w:val="19"/>
                <w:szCs w:val="19"/>
                <w:color w:val="auto"/>
              </w:rPr>
            </w:pPr>
          </w:p>
        </w:tc>
        <w:tc>
          <w:tcPr>
            <w:tcW w:w="860" w:type="dxa"/>
            <w:vAlign w:val="bottom"/>
            <w:shd w:val="clear" w:color="auto" w:fill="0071CE"/>
          </w:tcPr>
          <w:p>
            <w:pPr>
              <w:jc w:val="right"/>
              <w:ind w:right="308"/>
              <w:spacing w:after="0"/>
              <w:rPr>
                <w:sz w:val="20"/>
                <w:szCs w:val="20"/>
                <w:color w:val="auto"/>
              </w:rPr>
            </w:pPr>
            <w:r>
              <w:rPr>
                <w:rFonts w:ascii="Arial" w:cs="Arial" w:eastAsia="Arial" w:hAnsi="Arial"/>
                <w:sz w:val="16"/>
                <w:szCs w:val="16"/>
                <w:b w:val="1"/>
                <w:bCs w:val="1"/>
                <w:color w:val="FFFFFF"/>
              </w:rPr>
              <w:t>PEO</w:t>
            </w:r>
          </w:p>
        </w:tc>
        <w:tc>
          <w:tcPr>
            <w:tcW w:w="1160" w:type="dxa"/>
            <w:vAlign w:val="bottom"/>
            <w:gridSpan w:val="2"/>
            <w:shd w:val="clear" w:color="auto" w:fill="0071CE"/>
          </w:tcPr>
          <w:p>
            <w:pPr>
              <w:jc w:val="right"/>
              <w:ind w:right="17"/>
              <w:spacing w:after="0"/>
              <w:rPr>
                <w:sz w:val="20"/>
                <w:szCs w:val="20"/>
                <w:color w:val="auto"/>
              </w:rPr>
            </w:pPr>
            <w:r>
              <w:rPr>
                <w:rFonts w:ascii="Arial" w:cs="Arial" w:eastAsia="Arial" w:hAnsi="Arial"/>
                <w:sz w:val="16"/>
                <w:szCs w:val="16"/>
                <w:b w:val="1"/>
                <w:bCs w:val="1"/>
                <w:color w:val="FFFFFF"/>
              </w:rPr>
              <w:t>Other NEOs*</w:t>
            </w:r>
          </w:p>
        </w:tc>
        <w:tc>
          <w:tcPr>
            <w:tcW w:w="0" w:type="dxa"/>
            <w:vAlign w:val="bottom"/>
          </w:tcPr>
          <w:p>
            <w:pPr>
              <w:spacing w:after="0"/>
              <w:rPr>
                <w:sz w:val="1"/>
                <w:szCs w:val="1"/>
                <w:color w:val="auto"/>
              </w:rPr>
            </w:pPr>
          </w:p>
        </w:tc>
      </w:tr>
      <w:tr>
        <w:trPr>
          <w:trHeight w:val="121"/>
        </w:trPr>
        <w:tc>
          <w:tcPr>
            <w:tcW w:w="2160" w:type="dxa"/>
            <w:vAlign w:val="bottom"/>
            <w:tcBorders>
              <w:left w:val="single" w:sz="8" w:color="E5E5E5"/>
            </w:tcBorders>
            <w:shd w:val="clear" w:color="auto" w:fill="E5E5E5"/>
          </w:tcPr>
          <w:p>
            <w:pPr>
              <w:ind w:left="120"/>
              <w:spacing w:after="0" w:line="122" w:lineRule="exact"/>
              <w:rPr>
                <w:sz w:val="20"/>
                <w:szCs w:val="20"/>
                <w:color w:val="auto"/>
              </w:rPr>
            </w:pPr>
            <w:r>
              <w:rPr>
                <w:rFonts w:ascii="Arial" w:cs="Arial" w:eastAsia="Arial" w:hAnsi="Arial"/>
                <w:sz w:val="13"/>
                <w:szCs w:val="13"/>
                <w:color w:val="auto"/>
              </w:rPr>
              <w:t>Summary Compensation Table</w:t>
            </w:r>
          </w:p>
        </w:tc>
        <w:tc>
          <w:tcPr>
            <w:tcW w:w="240" w:type="dxa"/>
            <w:vAlign w:val="bottom"/>
            <w:vMerge w:val="restart"/>
            <w:shd w:val="clear" w:color="auto" w:fill="E5E5E5"/>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12,423,473</w:t>
            </w:r>
          </w:p>
        </w:tc>
        <w:tc>
          <w:tcPr>
            <w:tcW w:w="340" w:type="dxa"/>
            <w:vAlign w:val="bottom"/>
            <w:vMerge w:val="restart"/>
            <w:shd w:val="clear" w:color="auto" w:fill="E5E5E5"/>
          </w:tcPr>
          <w:p>
            <w:pPr>
              <w:jc w:val="right"/>
              <w:ind w:right="168"/>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3,493,347</w:t>
            </w:r>
          </w:p>
        </w:tc>
        <w:tc>
          <w:tcPr>
            <w:tcW w:w="260" w:type="dxa"/>
            <w:vAlign w:val="bottom"/>
            <w:vMerge w:val="restart"/>
            <w:shd w:val="clear" w:color="auto" w:fill="E5E5E5"/>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9,918,093</w:t>
            </w:r>
          </w:p>
        </w:tc>
        <w:tc>
          <w:tcPr>
            <w:tcW w:w="360" w:type="dxa"/>
            <w:vAlign w:val="bottom"/>
            <w:vMerge w:val="restart"/>
            <w:shd w:val="clear" w:color="auto" w:fill="E5E5E5"/>
          </w:tcPr>
          <w:p>
            <w:pPr>
              <w:jc w:val="right"/>
              <w:ind w:right="168"/>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3,143,102</w:t>
            </w:r>
          </w:p>
        </w:tc>
        <w:tc>
          <w:tcPr>
            <w:tcW w:w="260" w:type="dxa"/>
            <w:vAlign w:val="bottom"/>
            <w:vMerge w:val="restart"/>
            <w:shd w:val="clear" w:color="auto" w:fill="E5E5E5"/>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12,031,969</w:t>
            </w:r>
          </w:p>
        </w:tc>
        <w:tc>
          <w:tcPr>
            <w:tcW w:w="360" w:type="dxa"/>
            <w:vAlign w:val="bottom"/>
            <w:vMerge w:val="restart"/>
            <w:shd w:val="clear" w:color="auto" w:fill="E5E5E5"/>
          </w:tcPr>
          <w:p>
            <w:pPr>
              <w:jc w:val="right"/>
              <w:ind w:right="188"/>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4,133,800</w:t>
            </w:r>
          </w:p>
        </w:tc>
        <w:tc>
          <w:tcPr>
            <w:tcW w:w="280" w:type="dxa"/>
            <w:vAlign w:val="bottom"/>
            <w:vMerge w:val="restart"/>
            <w:shd w:val="clear" w:color="auto" w:fill="E5E5E5"/>
          </w:tcPr>
          <w:p>
            <w:pPr>
              <w:jc w:val="right"/>
              <w:ind w:right="97"/>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24,703,855</w:t>
            </w:r>
          </w:p>
        </w:tc>
        <w:tc>
          <w:tcPr>
            <w:tcW w:w="360" w:type="dxa"/>
            <w:vAlign w:val="bottom"/>
            <w:vMerge w:val="restart"/>
            <w:shd w:val="clear" w:color="auto" w:fill="E5E5E5"/>
          </w:tcPr>
          <w:p>
            <w:pPr>
              <w:jc w:val="right"/>
              <w:ind w:right="168"/>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3,324,746</w:t>
            </w:r>
          </w:p>
        </w:tc>
        <w:tc>
          <w:tcPr>
            <w:tcW w:w="0" w:type="dxa"/>
            <w:vAlign w:val="bottom"/>
          </w:tcPr>
          <w:p>
            <w:pPr>
              <w:spacing w:after="0"/>
              <w:rPr>
                <w:sz w:val="1"/>
                <w:szCs w:val="1"/>
                <w:color w:val="auto"/>
              </w:rPr>
            </w:pPr>
          </w:p>
        </w:tc>
      </w:tr>
      <w:tr>
        <w:trPr>
          <w:trHeight w:val="108"/>
        </w:trPr>
        <w:tc>
          <w:tcPr>
            <w:tcW w:w="2160" w:type="dxa"/>
            <w:vAlign w:val="bottom"/>
            <w:tcBorders>
              <w:left w:val="single" w:sz="8" w:color="E5E5E5"/>
            </w:tcBorders>
            <w:vMerge w:val="restart"/>
            <w:shd w:val="clear" w:color="auto" w:fill="E5E5E5"/>
          </w:tcPr>
          <w:p>
            <w:pPr>
              <w:ind w:left="120"/>
              <w:spacing w:after="0"/>
              <w:rPr>
                <w:sz w:val="20"/>
                <w:szCs w:val="20"/>
                <w:color w:val="auto"/>
              </w:rPr>
            </w:pPr>
            <w:r>
              <w:rPr>
                <w:rFonts w:ascii="Arial" w:cs="Arial" w:eastAsia="Arial" w:hAnsi="Arial"/>
                <w:sz w:val="13"/>
                <w:szCs w:val="13"/>
                <w:color w:val="auto"/>
              </w:rPr>
              <w:t>Total</w:t>
            </w:r>
          </w:p>
        </w:tc>
        <w:tc>
          <w:tcPr>
            <w:tcW w:w="240" w:type="dxa"/>
            <w:vAlign w:val="bottom"/>
            <w:vMerge w:val="continue"/>
            <w:shd w:val="clear" w:color="auto" w:fill="E5E5E5"/>
          </w:tcPr>
          <w:p>
            <w:pPr>
              <w:spacing w:after="0"/>
              <w:rPr>
                <w:sz w:val="9"/>
                <w:szCs w:val="9"/>
                <w:color w:val="auto"/>
              </w:rPr>
            </w:pPr>
          </w:p>
        </w:tc>
        <w:tc>
          <w:tcPr>
            <w:tcW w:w="880" w:type="dxa"/>
            <w:vAlign w:val="bottom"/>
            <w:vMerge w:val="continue"/>
            <w:shd w:val="clear" w:color="auto" w:fill="E5E5E5"/>
          </w:tcPr>
          <w:p>
            <w:pPr>
              <w:spacing w:after="0"/>
              <w:rPr>
                <w:sz w:val="9"/>
                <w:szCs w:val="9"/>
                <w:color w:val="auto"/>
              </w:rPr>
            </w:pPr>
          </w:p>
        </w:tc>
        <w:tc>
          <w:tcPr>
            <w:tcW w:w="340" w:type="dxa"/>
            <w:vAlign w:val="bottom"/>
            <w:vMerge w:val="continue"/>
            <w:shd w:val="clear" w:color="auto" w:fill="E5E5E5"/>
          </w:tcPr>
          <w:p>
            <w:pPr>
              <w:spacing w:after="0"/>
              <w:rPr>
                <w:sz w:val="9"/>
                <w:szCs w:val="9"/>
                <w:color w:val="auto"/>
              </w:rPr>
            </w:pPr>
          </w:p>
        </w:tc>
        <w:tc>
          <w:tcPr>
            <w:tcW w:w="780" w:type="dxa"/>
            <w:vAlign w:val="bottom"/>
            <w:vMerge w:val="continue"/>
            <w:shd w:val="clear" w:color="auto" w:fill="E5E5E5"/>
          </w:tcPr>
          <w:p>
            <w:pPr>
              <w:spacing w:after="0"/>
              <w:rPr>
                <w:sz w:val="9"/>
                <w:szCs w:val="9"/>
                <w:color w:val="auto"/>
              </w:rPr>
            </w:pPr>
          </w:p>
        </w:tc>
        <w:tc>
          <w:tcPr>
            <w:tcW w:w="260" w:type="dxa"/>
            <w:vAlign w:val="bottom"/>
            <w:vMerge w:val="continue"/>
            <w:shd w:val="clear" w:color="auto" w:fill="E5E5E5"/>
          </w:tcPr>
          <w:p>
            <w:pPr>
              <w:spacing w:after="0"/>
              <w:rPr>
                <w:sz w:val="9"/>
                <w:szCs w:val="9"/>
                <w:color w:val="auto"/>
              </w:rPr>
            </w:pPr>
          </w:p>
        </w:tc>
        <w:tc>
          <w:tcPr>
            <w:tcW w:w="860" w:type="dxa"/>
            <w:vAlign w:val="bottom"/>
            <w:vMerge w:val="continue"/>
            <w:shd w:val="clear" w:color="auto" w:fill="E5E5E5"/>
          </w:tcPr>
          <w:p>
            <w:pPr>
              <w:spacing w:after="0"/>
              <w:rPr>
                <w:sz w:val="9"/>
                <w:szCs w:val="9"/>
                <w:color w:val="auto"/>
              </w:rPr>
            </w:pPr>
          </w:p>
        </w:tc>
        <w:tc>
          <w:tcPr>
            <w:tcW w:w="360" w:type="dxa"/>
            <w:vAlign w:val="bottom"/>
            <w:vMerge w:val="continue"/>
            <w:shd w:val="clear" w:color="auto" w:fill="E5E5E5"/>
          </w:tcPr>
          <w:p>
            <w:pPr>
              <w:spacing w:after="0"/>
              <w:rPr>
                <w:sz w:val="9"/>
                <w:szCs w:val="9"/>
                <w:color w:val="auto"/>
              </w:rPr>
            </w:pPr>
          </w:p>
        </w:tc>
        <w:tc>
          <w:tcPr>
            <w:tcW w:w="780" w:type="dxa"/>
            <w:vAlign w:val="bottom"/>
            <w:vMerge w:val="continue"/>
            <w:shd w:val="clear" w:color="auto" w:fill="E5E5E5"/>
          </w:tcPr>
          <w:p>
            <w:pPr>
              <w:spacing w:after="0"/>
              <w:rPr>
                <w:sz w:val="9"/>
                <w:szCs w:val="9"/>
                <w:color w:val="auto"/>
              </w:rPr>
            </w:pPr>
          </w:p>
        </w:tc>
        <w:tc>
          <w:tcPr>
            <w:tcW w:w="260" w:type="dxa"/>
            <w:vAlign w:val="bottom"/>
            <w:vMerge w:val="continue"/>
            <w:shd w:val="clear" w:color="auto" w:fill="E5E5E5"/>
          </w:tcPr>
          <w:p>
            <w:pPr>
              <w:spacing w:after="0"/>
              <w:rPr>
                <w:sz w:val="9"/>
                <w:szCs w:val="9"/>
                <w:color w:val="auto"/>
              </w:rPr>
            </w:pPr>
          </w:p>
        </w:tc>
        <w:tc>
          <w:tcPr>
            <w:tcW w:w="880" w:type="dxa"/>
            <w:vAlign w:val="bottom"/>
            <w:vMerge w:val="continue"/>
            <w:shd w:val="clear" w:color="auto" w:fill="E5E5E5"/>
          </w:tcPr>
          <w:p>
            <w:pPr>
              <w:spacing w:after="0"/>
              <w:rPr>
                <w:sz w:val="9"/>
                <w:szCs w:val="9"/>
                <w:color w:val="auto"/>
              </w:rPr>
            </w:pPr>
          </w:p>
        </w:tc>
        <w:tc>
          <w:tcPr>
            <w:tcW w:w="360" w:type="dxa"/>
            <w:vAlign w:val="bottom"/>
            <w:vMerge w:val="continue"/>
            <w:shd w:val="clear" w:color="auto" w:fill="E5E5E5"/>
          </w:tcPr>
          <w:p>
            <w:pPr>
              <w:spacing w:after="0"/>
              <w:rPr>
                <w:sz w:val="9"/>
                <w:szCs w:val="9"/>
                <w:color w:val="auto"/>
              </w:rPr>
            </w:pPr>
          </w:p>
        </w:tc>
        <w:tc>
          <w:tcPr>
            <w:tcW w:w="760" w:type="dxa"/>
            <w:vAlign w:val="bottom"/>
            <w:vMerge w:val="continue"/>
            <w:shd w:val="clear" w:color="auto" w:fill="E5E5E5"/>
          </w:tcPr>
          <w:p>
            <w:pPr>
              <w:spacing w:after="0"/>
              <w:rPr>
                <w:sz w:val="9"/>
                <w:szCs w:val="9"/>
                <w:color w:val="auto"/>
              </w:rPr>
            </w:pPr>
          </w:p>
        </w:tc>
        <w:tc>
          <w:tcPr>
            <w:tcW w:w="280" w:type="dxa"/>
            <w:vAlign w:val="bottom"/>
            <w:vMerge w:val="continue"/>
            <w:shd w:val="clear" w:color="auto" w:fill="E5E5E5"/>
          </w:tcPr>
          <w:p>
            <w:pPr>
              <w:spacing w:after="0"/>
              <w:rPr>
                <w:sz w:val="9"/>
                <w:szCs w:val="9"/>
                <w:color w:val="auto"/>
              </w:rPr>
            </w:pPr>
          </w:p>
        </w:tc>
        <w:tc>
          <w:tcPr>
            <w:tcW w:w="860" w:type="dxa"/>
            <w:vAlign w:val="bottom"/>
            <w:vMerge w:val="continue"/>
            <w:shd w:val="clear" w:color="auto" w:fill="E5E5E5"/>
          </w:tcPr>
          <w:p>
            <w:pPr>
              <w:spacing w:after="0"/>
              <w:rPr>
                <w:sz w:val="9"/>
                <w:szCs w:val="9"/>
                <w:color w:val="auto"/>
              </w:rPr>
            </w:pPr>
          </w:p>
        </w:tc>
        <w:tc>
          <w:tcPr>
            <w:tcW w:w="360" w:type="dxa"/>
            <w:vAlign w:val="bottom"/>
            <w:vMerge w:val="continue"/>
            <w:shd w:val="clear" w:color="auto" w:fill="E5E5E5"/>
          </w:tcPr>
          <w:p>
            <w:pPr>
              <w:spacing w:after="0"/>
              <w:rPr>
                <w:sz w:val="9"/>
                <w:szCs w:val="9"/>
                <w:color w:val="auto"/>
              </w:rPr>
            </w:pPr>
          </w:p>
        </w:tc>
        <w:tc>
          <w:tcPr>
            <w:tcW w:w="800" w:type="dxa"/>
            <w:vAlign w:val="bottom"/>
            <w:vMerge w:val="continue"/>
            <w:shd w:val="clear" w:color="auto" w:fill="E5E5E5"/>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160" w:type="dxa"/>
            <w:vAlign w:val="bottom"/>
            <w:tcBorders>
              <w:left w:val="single" w:sz="8" w:color="E5E5E5"/>
            </w:tcBorders>
            <w:vMerge w:val="continue"/>
            <w:shd w:val="clear" w:color="auto" w:fill="E5E5E5"/>
          </w:tcPr>
          <w:p>
            <w:pPr>
              <w:spacing w:after="0"/>
              <w:rPr>
                <w:sz w:val="5"/>
                <w:szCs w:val="5"/>
                <w:color w:val="auto"/>
              </w:rPr>
            </w:pPr>
          </w:p>
        </w:tc>
        <w:tc>
          <w:tcPr>
            <w:tcW w:w="240" w:type="dxa"/>
            <w:vAlign w:val="bottom"/>
            <w:shd w:val="clear" w:color="auto" w:fill="E5E5E5"/>
          </w:tcPr>
          <w:p>
            <w:pPr>
              <w:spacing w:after="0"/>
              <w:rPr>
                <w:sz w:val="5"/>
                <w:szCs w:val="5"/>
                <w:color w:val="auto"/>
              </w:rPr>
            </w:pPr>
          </w:p>
        </w:tc>
        <w:tc>
          <w:tcPr>
            <w:tcW w:w="880" w:type="dxa"/>
            <w:vAlign w:val="bottom"/>
            <w:shd w:val="clear" w:color="auto" w:fill="E5E5E5"/>
          </w:tcPr>
          <w:p>
            <w:pPr>
              <w:spacing w:after="0"/>
              <w:rPr>
                <w:sz w:val="5"/>
                <w:szCs w:val="5"/>
                <w:color w:val="auto"/>
              </w:rPr>
            </w:pPr>
          </w:p>
        </w:tc>
        <w:tc>
          <w:tcPr>
            <w:tcW w:w="340" w:type="dxa"/>
            <w:vAlign w:val="bottom"/>
            <w:shd w:val="clear" w:color="auto" w:fill="E5E5E5"/>
          </w:tcPr>
          <w:p>
            <w:pPr>
              <w:spacing w:after="0"/>
              <w:rPr>
                <w:sz w:val="5"/>
                <w:szCs w:val="5"/>
                <w:color w:val="auto"/>
              </w:rPr>
            </w:pPr>
          </w:p>
        </w:tc>
        <w:tc>
          <w:tcPr>
            <w:tcW w:w="780" w:type="dxa"/>
            <w:vAlign w:val="bottom"/>
            <w:shd w:val="clear" w:color="auto" w:fill="E5E5E5"/>
          </w:tcPr>
          <w:p>
            <w:pPr>
              <w:spacing w:after="0"/>
              <w:rPr>
                <w:sz w:val="5"/>
                <w:szCs w:val="5"/>
                <w:color w:val="auto"/>
              </w:rPr>
            </w:pPr>
          </w:p>
        </w:tc>
        <w:tc>
          <w:tcPr>
            <w:tcW w:w="260" w:type="dxa"/>
            <w:vAlign w:val="bottom"/>
            <w:shd w:val="clear" w:color="auto" w:fill="E5E5E5"/>
          </w:tcPr>
          <w:p>
            <w:pPr>
              <w:spacing w:after="0"/>
              <w:rPr>
                <w:sz w:val="5"/>
                <w:szCs w:val="5"/>
                <w:color w:val="auto"/>
              </w:rPr>
            </w:pPr>
          </w:p>
        </w:tc>
        <w:tc>
          <w:tcPr>
            <w:tcW w:w="860" w:type="dxa"/>
            <w:vAlign w:val="bottom"/>
            <w:shd w:val="clear" w:color="auto" w:fill="E5E5E5"/>
          </w:tcPr>
          <w:p>
            <w:pPr>
              <w:spacing w:after="0"/>
              <w:rPr>
                <w:sz w:val="5"/>
                <w:szCs w:val="5"/>
                <w:color w:val="auto"/>
              </w:rPr>
            </w:pPr>
          </w:p>
        </w:tc>
        <w:tc>
          <w:tcPr>
            <w:tcW w:w="360" w:type="dxa"/>
            <w:vAlign w:val="bottom"/>
            <w:shd w:val="clear" w:color="auto" w:fill="E5E5E5"/>
          </w:tcPr>
          <w:p>
            <w:pPr>
              <w:spacing w:after="0"/>
              <w:rPr>
                <w:sz w:val="5"/>
                <w:szCs w:val="5"/>
                <w:color w:val="auto"/>
              </w:rPr>
            </w:pPr>
          </w:p>
        </w:tc>
        <w:tc>
          <w:tcPr>
            <w:tcW w:w="780" w:type="dxa"/>
            <w:vAlign w:val="bottom"/>
            <w:shd w:val="clear" w:color="auto" w:fill="E5E5E5"/>
          </w:tcPr>
          <w:p>
            <w:pPr>
              <w:spacing w:after="0"/>
              <w:rPr>
                <w:sz w:val="5"/>
                <w:szCs w:val="5"/>
                <w:color w:val="auto"/>
              </w:rPr>
            </w:pPr>
          </w:p>
        </w:tc>
        <w:tc>
          <w:tcPr>
            <w:tcW w:w="260" w:type="dxa"/>
            <w:vAlign w:val="bottom"/>
            <w:shd w:val="clear" w:color="auto" w:fill="E5E5E5"/>
          </w:tcPr>
          <w:p>
            <w:pPr>
              <w:spacing w:after="0"/>
              <w:rPr>
                <w:sz w:val="5"/>
                <w:szCs w:val="5"/>
                <w:color w:val="auto"/>
              </w:rPr>
            </w:pPr>
          </w:p>
        </w:tc>
        <w:tc>
          <w:tcPr>
            <w:tcW w:w="880" w:type="dxa"/>
            <w:vAlign w:val="bottom"/>
            <w:shd w:val="clear" w:color="auto" w:fill="E5E5E5"/>
          </w:tcPr>
          <w:p>
            <w:pPr>
              <w:spacing w:after="0"/>
              <w:rPr>
                <w:sz w:val="5"/>
                <w:szCs w:val="5"/>
                <w:color w:val="auto"/>
              </w:rPr>
            </w:pPr>
          </w:p>
        </w:tc>
        <w:tc>
          <w:tcPr>
            <w:tcW w:w="360" w:type="dxa"/>
            <w:vAlign w:val="bottom"/>
            <w:shd w:val="clear" w:color="auto" w:fill="E5E5E5"/>
          </w:tcPr>
          <w:p>
            <w:pPr>
              <w:spacing w:after="0"/>
              <w:rPr>
                <w:sz w:val="5"/>
                <w:szCs w:val="5"/>
                <w:color w:val="auto"/>
              </w:rPr>
            </w:pPr>
          </w:p>
        </w:tc>
        <w:tc>
          <w:tcPr>
            <w:tcW w:w="760" w:type="dxa"/>
            <w:vAlign w:val="bottom"/>
            <w:shd w:val="clear" w:color="auto" w:fill="E5E5E5"/>
          </w:tcPr>
          <w:p>
            <w:pPr>
              <w:spacing w:after="0"/>
              <w:rPr>
                <w:sz w:val="5"/>
                <w:szCs w:val="5"/>
                <w:color w:val="auto"/>
              </w:rPr>
            </w:pPr>
          </w:p>
        </w:tc>
        <w:tc>
          <w:tcPr>
            <w:tcW w:w="280" w:type="dxa"/>
            <w:vAlign w:val="bottom"/>
            <w:shd w:val="clear" w:color="auto" w:fill="E5E5E5"/>
          </w:tcPr>
          <w:p>
            <w:pPr>
              <w:spacing w:after="0"/>
              <w:rPr>
                <w:sz w:val="5"/>
                <w:szCs w:val="5"/>
                <w:color w:val="auto"/>
              </w:rPr>
            </w:pPr>
          </w:p>
        </w:tc>
        <w:tc>
          <w:tcPr>
            <w:tcW w:w="860" w:type="dxa"/>
            <w:vAlign w:val="bottom"/>
            <w:shd w:val="clear" w:color="auto" w:fill="E5E5E5"/>
          </w:tcPr>
          <w:p>
            <w:pPr>
              <w:spacing w:after="0"/>
              <w:rPr>
                <w:sz w:val="5"/>
                <w:szCs w:val="5"/>
                <w:color w:val="auto"/>
              </w:rPr>
            </w:pPr>
          </w:p>
        </w:tc>
        <w:tc>
          <w:tcPr>
            <w:tcW w:w="360" w:type="dxa"/>
            <w:vAlign w:val="bottom"/>
            <w:shd w:val="clear" w:color="auto" w:fill="E5E5E5"/>
          </w:tcPr>
          <w:p>
            <w:pPr>
              <w:spacing w:after="0"/>
              <w:rPr>
                <w:sz w:val="5"/>
                <w:szCs w:val="5"/>
                <w:color w:val="auto"/>
              </w:rPr>
            </w:pPr>
          </w:p>
        </w:tc>
        <w:tc>
          <w:tcPr>
            <w:tcW w:w="800" w:type="dxa"/>
            <w:vAlign w:val="bottom"/>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2160" w:type="dxa"/>
            <w:vAlign w:val="bottom"/>
            <w:tcBorders>
              <w:left w:val="single" w:sz="8" w:color="E5E5E5"/>
            </w:tcBorders>
            <w:shd w:val="clear" w:color="auto" w:fill="E5E5E5"/>
          </w:tcPr>
          <w:p>
            <w:pPr>
              <w:spacing w:after="0"/>
              <w:rPr>
                <w:sz w:val="2"/>
                <w:szCs w:val="2"/>
                <w:color w:val="auto"/>
              </w:rPr>
            </w:pPr>
          </w:p>
        </w:tc>
        <w:tc>
          <w:tcPr>
            <w:tcW w:w="240" w:type="dxa"/>
            <w:vAlign w:val="bottom"/>
            <w:shd w:val="clear" w:color="auto" w:fill="E5E5E5"/>
          </w:tcPr>
          <w:p>
            <w:pPr>
              <w:spacing w:after="0"/>
              <w:rPr>
                <w:sz w:val="2"/>
                <w:szCs w:val="2"/>
                <w:color w:val="auto"/>
              </w:rPr>
            </w:pPr>
          </w:p>
        </w:tc>
        <w:tc>
          <w:tcPr>
            <w:tcW w:w="880" w:type="dxa"/>
            <w:vAlign w:val="bottom"/>
            <w:shd w:val="clear" w:color="auto" w:fill="E5E5E5"/>
          </w:tcPr>
          <w:p>
            <w:pPr>
              <w:spacing w:after="0"/>
              <w:rPr>
                <w:sz w:val="2"/>
                <w:szCs w:val="2"/>
                <w:color w:val="auto"/>
              </w:rPr>
            </w:pPr>
          </w:p>
        </w:tc>
        <w:tc>
          <w:tcPr>
            <w:tcW w:w="340" w:type="dxa"/>
            <w:vAlign w:val="bottom"/>
            <w:shd w:val="clear" w:color="auto" w:fill="E5E5E5"/>
          </w:tcPr>
          <w:p>
            <w:pPr>
              <w:spacing w:after="0"/>
              <w:rPr>
                <w:sz w:val="2"/>
                <w:szCs w:val="2"/>
                <w:color w:val="auto"/>
              </w:rPr>
            </w:pPr>
          </w:p>
        </w:tc>
        <w:tc>
          <w:tcPr>
            <w:tcW w:w="780" w:type="dxa"/>
            <w:vAlign w:val="bottom"/>
            <w:shd w:val="clear" w:color="auto" w:fill="E5E5E5"/>
          </w:tcPr>
          <w:p>
            <w:pPr>
              <w:spacing w:after="0"/>
              <w:rPr>
                <w:sz w:val="2"/>
                <w:szCs w:val="2"/>
                <w:color w:val="auto"/>
              </w:rPr>
            </w:pPr>
          </w:p>
        </w:tc>
        <w:tc>
          <w:tcPr>
            <w:tcW w:w="260" w:type="dxa"/>
            <w:vAlign w:val="bottom"/>
            <w:shd w:val="clear" w:color="auto" w:fill="E5E5E5"/>
          </w:tcPr>
          <w:p>
            <w:pPr>
              <w:spacing w:after="0"/>
              <w:rPr>
                <w:sz w:val="2"/>
                <w:szCs w:val="2"/>
                <w:color w:val="auto"/>
              </w:rPr>
            </w:pPr>
          </w:p>
        </w:tc>
        <w:tc>
          <w:tcPr>
            <w:tcW w:w="860" w:type="dxa"/>
            <w:vAlign w:val="bottom"/>
            <w:shd w:val="clear" w:color="auto" w:fill="E5E5E5"/>
          </w:tcPr>
          <w:p>
            <w:pPr>
              <w:spacing w:after="0"/>
              <w:rPr>
                <w:sz w:val="2"/>
                <w:szCs w:val="2"/>
                <w:color w:val="auto"/>
              </w:rPr>
            </w:pPr>
          </w:p>
        </w:tc>
        <w:tc>
          <w:tcPr>
            <w:tcW w:w="360" w:type="dxa"/>
            <w:vAlign w:val="bottom"/>
            <w:shd w:val="clear" w:color="auto" w:fill="E5E5E5"/>
          </w:tcPr>
          <w:p>
            <w:pPr>
              <w:spacing w:after="0"/>
              <w:rPr>
                <w:sz w:val="2"/>
                <w:szCs w:val="2"/>
                <w:color w:val="auto"/>
              </w:rPr>
            </w:pPr>
          </w:p>
        </w:tc>
        <w:tc>
          <w:tcPr>
            <w:tcW w:w="780" w:type="dxa"/>
            <w:vAlign w:val="bottom"/>
            <w:shd w:val="clear" w:color="auto" w:fill="E5E5E5"/>
          </w:tcPr>
          <w:p>
            <w:pPr>
              <w:spacing w:after="0"/>
              <w:rPr>
                <w:sz w:val="2"/>
                <w:szCs w:val="2"/>
                <w:color w:val="auto"/>
              </w:rPr>
            </w:pPr>
          </w:p>
        </w:tc>
        <w:tc>
          <w:tcPr>
            <w:tcW w:w="260" w:type="dxa"/>
            <w:vAlign w:val="bottom"/>
            <w:shd w:val="clear" w:color="auto" w:fill="E5E5E5"/>
          </w:tcPr>
          <w:p>
            <w:pPr>
              <w:spacing w:after="0"/>
              <w:rPr>
                <w:sz w:val="2"/>
                <w:szCs w:val="2"/>
                <w:color w:val="auto"/>
              </w:rPr>
            </w:pPr>
          </w:p>
        </w:tc>
        <w:tc>
          <w:tcPr>
            <w:tcW w:w="880" w:type="dxa"/>
            <w:vAlign w:val="bottom"/>
            <w:shd w:val="clear" w:color="auto" w:fill="E5E5E5"/>
          </w:tcPr>
          <w:p>
            <w:pPr>
              <w:spacing w:after="0"/>
              <w:rPr>
                <w:sz w:val="2"/>
                <w:szCs w:val="2"/>
                <w:color w:val="auto"/>
              </w:rPr>
            </w:pPr>
          </w:p>
        </w:tc>
        <w:tc>
          <w:tcPr>
            <w:tcW w:w="360" w:type="dxa"/>
            <w:vAlign w:val="bottom"/>
            <w:shd w:val="clear" w:color="auto" w:fill="E5E5E5"/>
          </w:tcPr>
          <w:p>
            <w:pPr>
              <w:spacing w:after="0"/>
              <w:rPr>
                <w:sz w:val="2"/>
                <w:szCs w:val="2"/>
                <w:color w:val="auto"/>
              </w:rPr>
            </w:pPr>
          </w:p>
        </w:tc>
        <w:tc>
          <w:tcPr>
            <w:tcW w:w="760" w:type="dxa"/>
            <w:vAlign w:val="bottom"/>
            <w:shd w:val="clear" w:color="auto" w:fill="E5E5E5"/>
          </w:tcPr>
          <w:p>
            <w:pPr>
              <w:spacing w:after="0"/>
              <w:rPr>
                <w:sz w:val="2"/>
                <w:szCs w:val="2"/>
                <w:color w:val="auto"/>
              </w:rPr>
            </w:pPr>
          </w:p>
        </w:tc>
        <w:tc>
          <w:tcPr>
            <w:tcW w:w="280" w:type="dxa"/>
            <w:vAlign w:val="bottom"/>
            <w:shd w:val="clear" w:color="auto" w:fill="E5E5E5"/>
          </w:tcPr>
          <w:p>
            <w:pPr>
              <w:spacing w:after="0"/>
              <w:rPr>
                <w:sz w:val="2"/>
                <w:szCs w:val="2"/>
                <w:color w:val="auto"/>
              </w:rPr>
            </w:pPr>
          </w:p>
        </w:tc>
        <w:tc>
          <w:tcPr>
            <w:tcW w:w="860" w:type="dxa"/>
            <w:vAlign w:val="bottom"/>
            <w:shd w:val="clear" w:color="auto" w:fill="E5E5E5"/>
          </w:tcPr>
          <w:p>
            <w:pPr>
              <w:spacing w:after="0"/>
              <w:rPr>
                <w:sz w:val="2"/>
                <w:szCs w:val="2"/>
                <w:color w:val="auto"/>
              </w:rPr>
            </w:pPr>
          </w:p>
        </w:tc>
        <w:tc>
          <w:tcPr>
            <w:tcW w:w="360" w:type="dxa"/>
            <w:vAlign w:val="bottom"/>
            <w:shd w:val="clear" w:color="auto" w:fill="E5E5E5"/>
          </w:tcPr>
          <w:p>
            <w:pPr>
              <w:spacing w:after="0"/>
              <w:rPr>
                <w:sz w:val="2"/>
                <w:szCs w:val="2"/>
                <w:color w:val="auto"/>
              </w:rPr>
            </w:pPr>
          </w:p>
        </w:tc>
        <w:tc>
          <w:tcPr>
            <w:tcW w:w="800" w:type="dxa"/>
            <w:vAlign w:val="bottom"/>
            <w:shd w:val="clear" w:color="auto" w:fill="E5E5E5"/>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212" w:right="339" w:bottom="1440" w:gutter="0" w:footer="0" w:header="0"/>
        </w:sectPr>
      </w:pPr>
    </w:p>
    <w:p>
      <w:pPr>
        <w:ind w:left="120" w:right="40"/>
        <w:spacing w:after="0" w:line="216" w:lineRule="auto"/>
        <w:rPr>
          <w:sz w:val="20"/>
          <w:szCs w:val="20"/>
          <w:color w:val="auto"/>
        </w:rPr>
      </w:pPr>
      <w:r>
        <w:rPr>
          <w:rFonts w:ascii="Arial" w:cs="Arial" w:eastAsia="Arial" w:hAnsi="Arial"/>
          <w:sz w:val="13"/>
          <w:szCs w:val="13"/>
          <w:color w:val="auto"/>
        </w:rPr>
        <w:t>Less, value of “Stock Awards” and “Option Awards” reported in Summary Compensation Table</w:t>
      </w:r>
    </w:p>
    <w:p>
      <w:pPr>
        <w:spacing w:after="0" w:line="24" w:lineRule="exact"/>
        <w:rPr>
          <w:sz w:val="20"/>
          <w:szCs w:val="20"/>
          <w:color w:val="auto"/>
        </w:rPr>
      </w:pPr>
    </w:p>
    <w:p>
      <w:pPr>
        <w:ind w:left="120" w:right="140"/>
        <w:spacing w:after="0" w:line="237" w:lineRule="auto"/>
        <w:rPr>
          <w:sz w:val="20"/>
          <w:szCs w:val="20"/>
          <w:color w:val="auto"/>
        </w:rPr>
      </w:pPr>
      <w:r>
        <w:rPr>
          <w:rFonts w:ascii="Arial" w:cs="Arial" w:eastAsia="Arial" w:hAnsi="Arial"/>
          <w:sz w:val="12"/>
          <w:szCs w:val="12"/>
          <w:color w:val="auto"/>
        </w:rPr>
        <w:t>Plus, year-end fair value of outstanding and unvested equity awards granted in the year</w:t>
      </w:r>
    </w:p>
    <w:p>
      <w:pPr>
        <w:spacing w:after="0" w:line="23" w:lineRule="exact"/>
        <w:rPr>
          <w:sz w:val="20"/>
          <w:szCs w:val="20"/>
          <w:color w:val="auto"/>
        </w:rPr>
      </w:pPr>
    </w:p>
    <w:p>
      <w:pPr>
        <w:jc w:val="both"/>
        <w:ind w:left="20" w:right="20"/>
        <w:spacing w:after="0" w:line="218" w:lineRule="auto"/>
        <w:rPr>
          <w:sz w:val="20"/>
          <w:szCs w:val="20"/>
          <w:color w:val="auto"/>
        </w:rPr>
      </w:pPr>
      <w:r>
        <w:rPr>
          <w:rFonts w:ascii="Arial" w:cs="Arial" w:eastAsia="Arial" w:hAnsi="Arial"/>
          <w:sz w:val="13"/>
          <w:szCs w:val="13"/>
          <w:color w:val="auto"/>
        </w:rPr>
        <w:t>Plus, fair value as of vesting date of equity awards granted and vested in the year</w:t>
      </w:r>
    </w:p>
    <w:p>
      <w:pPr>
        <w:spacing w:after="0" w:line="25" w:lineRule="exact"/>
        <w:rPr>
          <w:sz w:val="20"/>
          <w:szCs w:val="20"/>
          <w:color w:val="auto"/>
        </w:rPr>
      </w:pPr>
    </w:p>
    <w:p>
      <w:pPr>
        <w:ind w:left="20"/>
        <w:spacing w:after="0" w:line="208" w:lineRule="auto"/>
        <w:rPr>
          <w:sz w:val="20"/>
          <w:szCs w:val="20"/>
          <w:color w:val="auto"/>
        </w:rPr>
      </w:pPr>
      <w:r>
        <w:rPr>
          <w:rFonts w:ascii="Arial" w:cs="Arial" w:eastAsia="Arial" w:hAnsi="Arial"/>
          <w:sz w:val="13"/>
          <w:szCs w:val="13"/>
          <w:color w:val="auto"/>
        </w:rPr>
        <w:t>Plus (less), year over year change in fair value of outstanding and unvested equity awards granted in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prior years</w:t>
      </w:r>
    </w:p>
    <w:p>
      <w:pPr>
        <w:spacing w:after="0" w:line="14" w:lineRule="exact"/>
        <w:rPr>
          <w:sz w:val="20"/>
          <w:szCs w:val="20"/>
          <w:color w:val="auto"/>
        </w:rPr>
      </w:pPr>
    </w:p>
    <w:p>
      <w:pPr>
        <w:jc w:val="both"/>
        <w:ind w:left="20" w:right="20"/>
        <w:spacing w:after="0" w:line="226" w:lineRule="auto"/>
        <w:rPr>
          <w:sz w:val="20"/>
          <w:szCs w:val="20"/>
          <w:color w:val="auto"/>
        </w:rPr>
      </w:pPr>
      <w:r>
        <w:rPr>
          <w:rFonts w:ascii="Arial" w:cs="Arial" w:eastAsia="Arial" w:hAnsi="Arial"/>
          <w:sz w:val="12"/>
          <w:szCs w:val="12"/>
          <w:color w:val="auto"/>
        </w:rPr>
        <w:t>Plus (less), change in fair value from last day of prior fiscal year to vesting date for equity awards granted in</w:t>
      </w:r>
    </w:p>
    <w:p>
      <w:pPr>
        <w:ind w:left="20" w:right="180"/>
        <w:spacing w:after="0" w:line="333" w:lineRule="auto"/>
        <w:rPr>
          <w:sz w:val="20"/>
          <w:szCs w:val="20"/>
          <w:color w:val="auto"/>
        </w:rPr>
      </w:pPr>
      <w:r>
        <w:rPr>
          <w:rFonts w:ascii="Arial" w:cs="Arial" w:eastAsia="Arial" w:hAnsi="Arial"/>
          <w:sz w:val="12"/>
          <w:szCs w:val="12"/>
          <w:color w:val="auto"/>
        </w:rPr>
        <w:t>prior years that vested in the year Compensation Actually Paid</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(10,319,000)</w:t>
            </w: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(2,658,810)</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(8,314,056)</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432"/>
        </w:trPr>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6,585,800</w:t>
            </w: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1,501,175</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6,288,252</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432"/>
        </w:trPr>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595,920</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500"/>
        </w:trPr>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(13,971,458)</w:t>
            </w: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(570,234)</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(10,653,844)</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553"/>
        </w:trPr>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48,337</w:t>
            </w: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849,095</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4,696</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64"/>
        </w:trPr>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(5,232,848)</w:t>
            </w: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2,614,573</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(2,160,939)</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-1353820</wp:posOffset>
            </wp:positionV>
            <wp:extent cx="7115175" cy="2743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15175" cy="27432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-804545</wp:posOffset>
            </wp:positionV>
            <wp:extent cx="7115175" cy="3511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15175" cy="351155"/>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-101600</wp:posOffset>
            </wp:positionV>
            <wp:extent cx="7115175" cy="1111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15175" cy="111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680" w:type="dxa"/>
            <w:vAlign w:val="bottom"/>
          </w:tcPr>
          <w:p>
            <w:pPr>
              <w:jc w:val="right"/>
              <w:spacing w:after="0"/>
              <w:rPr>
                <w:sz w:val="20"/>
                <w:szCs w:val="20"/>
                <w:color w:val="auto"/>
              </w:rPr>
            </w:pPr>
            <w:r>
              <w:rPr>
                <w:rFonts w:ascii="Arial" w:cs="Arial" w:eastAsia="Arial" w:hAnsi="Arial"/>
                <w:sz w:val="13"/>
                <w:szCs w:val="13"/>
                <w:color w:val="auto"/>
                <w:w w:val="96"/>
              </w:rPr>
              <w:t>(2,332,400)</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(10,382,549)</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(3,529,925)</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(23,019,000)</w:t>
            </w: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(2,608,820)</w:t>
            </w:r>
          </w:p>
        </w:tc>
      </w:tr>
      <w:tr>
        <w:trPr>
          <w:trHeight w:val="432"/>
        </w:trPr>
        <w:tc>
          <w:tcPr>
            <w:tcW w:w="680" w:type="dxa"/>
            <w:vAlign w:val="bottom"/>
          </w:tcPr>
          <w:p>
            <w:pPr>
              <w:jc w:val="right"/>
              <w:spacing w:after="0"/>
              <w:rPr>
                <w:sz w:val="20"/>
                <w:szCs w:val="20"/>
                <w:color w:val="auto"/>
              </w:rPr>
            </w:pPr>
            <w:r>
              <w:rPr>
                <w:rFonts w:ascii="Arial" w:cs="Arial" w:eastAsia="Arial" w:hAnsi="Arial"/>
                <w:sz w:val="13"/>
                <w:szCs w:val="13"/>
                <w:color w:val="auto"/>
              </w:rPr>
              <w:t>1,645,788</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8,222,939</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1,578,138</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49,944,000</w:t>
            </w: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3,537,700</w:t>
            </w:r>
          </w:p>
        </w:tc>
      </w:tr>
      <w:tr>
        <w:trPr>
          <w:trHeight w:val="432"/>
        </w:trPr>
        <w:tc>
          <w:tcPr>
            <w:tcW w:w="920" w:type="dxa"/>
            <w:vAlign w:val="bottom"/>
            <w:gridSpan w:val="2"/>
          </w:tcPr>
          <w:p>
            <w:pPr>
              <w:jc w:val="right"/>
              <w:ind w:right="97"/>
              <w:spacing w:after="0"/>
              <w:rPr>
                <w:sz w:val="20"/>
                <w:szCs w:val="20"/>
                <w:color w:val="auto"/>
              </w:rPr>
            </w:pPr>
            <w:r>
              <w:rPr>
                <w:rFonts w:ascii="Arial" w:cs="Arial" w:eastAsia="Arial" w:hAnsi="Arial"/>
                <w:sz w:val="13"/>
                <w:szCs w:val="13"/>
                <w:color w:val="auto"/>
              </w:rPr>
              <w:t>— $</w:t>
            </w:r>
          </w:p>
        </w:tc>
        <w:tc>
          <w:tcPr>
            <w:tcW w:w="1180" w:type="dxa"/>
            <w:vAlign w:val="bottom"/>
            <w:gridSpan w:val="2"/>
          </w:tcPr>
          <w:p>
            <w:pPr>
              <w:jc w:val="right"/>
              <w:ind w:right="137"/>
              <w:spacing w:after="0"/>
              <w:rPr>
                <w:sz w:val="20"/>
                <w:szCs w:val="20"/>
                <w:color w:val="auto"/>
              </w:rPr>
            </w:pPr>
            <w:r>
              <w:rPr>
                <w:rFonts w:ascii="Arial" w:cs="Arial" w:eastAsia="Arial" w:hAnsi="Arial"/>
                <w:sz w:val="13"/>
                <w:szCs w:val="13"/>
                <w:color w:val="auto"/>
              </w:rPr>
              <w:t>— $</w:t>
            </w:r>
          </w:p>
        </w:tc>
        <w:tc>
          <w:tcPr>
            <w:tcW w:w="1080" w:type="dxa"/>
            <w:vAlign w:val="bottom"/>
            <w:gridSpan w:val="2"/>
          </w:tcPr>
          <w:p>
            <w:pPr>
              <w:jc w:val="right"/>
              <w:ind w:right="77"/>
              <w:spacing w:after="0"/>
              <w:rPr>
                <w:sz w:val="20"/>
                <w:szCs w:val="20"/>
                <w:color w:val="auto"/>
              </w:rPr>
            </w:pPr>
            <w:r>
              <w:rPr>
                <w:rFonts w:ascii="Arial" w:cs="Arial" w:eastAsia="Arial" w:hAnsi="Arial"/>
                <w:sz w:val="13"/>
                <w:szCs w:val="13"/>
                <w:color w:val="auto"/>
              </w:rPr>
              <w:t>— $</w:t>
            </w:r>
          </w:p>
        </w:tc>
        <w:tc>
          <w:tcPr>
            <w:tcW w:w="1180" w:type="dxa"/>
            <w:vAlign w:val="bottom"/>
            <w:gridSpan w:val="2"/>
          </w:tcPr>
          <w:p>
            <w:pPr>
              <w:jc w:val="right"/>
              <w:ind w:right="117"/>
              <w:spacing w:after="0"/>
              <w:rPr>
                <w:sz w:val="20"/>
                <w:szCs w:val="20"/>
                <w:color w:val="auto"/>
              </w:rPr>
            </w:pPr>
            <w:r>
              <w:rPr>
                <w:rFonts w:ascii="Arial" w:cs="Arial" w:eastAsia="Arial" w:hAnsi="Arial"/>
                <w:sz w:val="13"/>
                <w:szCs w:val="13"/>
                <w:color w:val="auto"/>
              </w:rPr>
              <w:t>— $</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500"/>
        </w:trPr>
        <w:tc>
          <w:tcPr>
            <w:tcW w:w="680" w:type="dxa"/>
            <w:vAlign w:val="bottom"/>
          </w:tcPr>
          <w:p>
            <w:pPr>
              <w:jc w:val="right"/>
              <w:spacing w:after="0"/>
              <w:rPr>
                <w:sz w:val="20"/>
                <w:szCs w:val="20"/>
                <w:color w:val="auto"/>
              </w:rPr>
            </w:pPr>
            <w:r>
              <w:rPr>
                <w:rFonts w:ascii="Arial" w:cs="Arial" w:eastAsia="Arial" w:hAnsi="Arial"/>
                <w:sz w:val="13"/>
                <w:szCs w:val="13"/>
                <w:color w:val="auto"/>
              </w:rPr>
              <w:t>(492,469)</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(49,946,000)</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(2,754,375)</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17,433,000</w:t>
            </w: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2,015,691</w:t>
            </w:r>
          </w:p>
        </w:tc>
      </w:tr>
      <w:tr>
        <w:trPr>
          <w:trHeight w:val="553"/>
        </w:trPr>
        <w:tc>
          <w:tcPr>
            <w:tcW w:w="680" w:type="dxa"/>
            <w:vAlign w:val="bottom"/>
          </w:tcPr>
          <w:p>
            <w:pPr>
              <w:jc w:val="right"/>
              <w:spacing w:after="0"/>
              <w:rPr>
                <w:sz w:val="20"/>
                <w:szCs w:val="20"/>
                <w:color w:val="auto"/>
              </w:rPr>
            </w:pPr>
            <w:r>
              <w:rPr>
                <w:rFonts w:ascii="Arial" w:cs="Arial" w:eastAsia="Arial" w:hAnsi="Arial"/>
                <w:sz w:val="13"/>
                <w:szCs w:val="13"/>
                <w:color w:val="auto"/>
              </w:rPr>
              <w:t>334,881</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186,244</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(188,531)</w:t>
            </w:r>
          </w:p>
        </w:tc>
      </w:tr>
      <w:tr>
        <w:trPr>
          <w:trHeight w:val="364"/>
        </w:trPr>
        <w:tc>
          <w:tcPr>
            <w:tcW w:w="680" w:type="dxa"/>
            <w:vAlign w:val="bottom"/>
          </w:tcPr>
          <w:p>
            <w:pPr>
              <w:jc w:val="right"/>
              <w:spacing w:after="0"/>
              <w:rPr>
                <w:sz w:val="20"/>
                <w:szCs w:val="20"/>
                <w:color w:val="auto"/>
              </w:rPr>
            </w:pPr>
            <w:r>
              <w:rPr>
                <w:rFonts w:ascii="Arial" w:cs="Arial" w:eastAsia="Arial" w:hAnsi="Arial"/>
                <w:sz w:val="13"/>
                <w:szCs w:val="13"/>
                <w:color w:val="auto"/>
              </w:rPr>
              <w:t>2,298,902</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(40,073,641)</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(386,118)</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69,061,855</w:t>
            </w: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6,080,786</w:t>
            </w:r>
          </w:p>
        </w:tc>
      </w:tr>
    </w:tbl>
    <w:p>
      <w:pPr>
        <w:spacing w:after="0" w:line="77" w:lineRule="exact"/>
        <w:rPr>
          <w:sz w:val="20"/>
          <w:szCs w:val="20"/>
          <w:color w:val="auto"/>
        </w:rPr>
      </w:pPr>
    </w:p>
    <w:p>
      <w:pPr>
        <w:sectPr>
          <w:pgSz w:w="11900" w:h="16838" w:orient="portrait"/>
          <w:cols w:equalWidth="0" w:num="3">
            <w:col w:w="2080" w:space="100"/>
            <w:col w:w="3460" w:space="360"/>
            <w:col w:w="5240"/>
          </w:cols>
          <w:pgMar w:left="320" w:top="212" w:right="33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 Amounts presented are averages for the entire group of Other NEOs in each respective year.</w:t>
      </w:r>
    </w:p>
    <w:p>
      <w:pPr>
        <w:spacing w:after="0" w:line="237" w:lineRule="exact"/>
        <w:rPr>
          <w:sz w:val="20"/>
          <w:szCs w:val="20"/>
          <w:color w:val="auto"/>
        </w:rPr>
      </w:pPr>
    </w:p>
    <w:p>
      <w:pPr>
        <w:jc w:val="both"/>
        <w:ind w:left="420" w:hanging="412"/>
        <w:spacing w:after="0" w:line="266" w:lineRule="auto"/>
        <w:tabs>
          <w:tab w:leader="none" w:pos="407" w:val="left"/>
        </w:tabs>
        <w:numPr>
          <w:ilvl w:val="0"/>
          <w:numId w:val="64"/>
        </w:numPr>
        <w:rPr>
          <w:rFonts w:ascii="Arial" w:cs="Arial" w:eastAsia="Arial" w:hAnsi="Arial"/>
          <w:sz w:val="14"/>
          <w:szCs w:val="14"/>
          <w:color w:val="202124"/>
        </w:rPr>
      </w:pPr>
      <w:r>
        <w:rPr>
          <w:rFonts w:ascii="Arial" w:cs="Arial" w:eastAsia="Arial" w:hAnsi="Arial"/>
          <w:sz w:val="14"/>
          <w:szCs w:val="14"/>
          <w:color w:val="202124"/>
        </w:rPr>
        <w:t>Total Shareholder Return (</w:t>
      </w:r>
      <w:r>
        <w:rPr>
          <w:rFonts w:ascii="Arial" w:cs="Arial" w:eastAsia="Arial" w:hAnsi="Arial"/>
          <w:sz w:val="14"/>
          <w:szCs w:val="14"/>
          <w:color w:val="000000"/>
        </w:rPr>
        <w:t>TSR) is calculated by dividing (a) the sum of (i) the cumulative amount of dividends for the measurement period, assuming dividend</w:t>
      </w:r>
      <w:r>
        <w:rPr>
          <w:rFonts w:ascii="Arial" w:cs="Arial" w:eastAsia="Arial" w:hAnsi="Arial"/>
          <w:sz w:val="14"/>
          <w:szCs w:val="14"/>
          <w:color w:val="202124"/>
        </w:rPr>
        <w:t xml:space="preserve"> </w:t>
      </w:r>
      <w:r>
        <w:rPr>
          <w:rFonts w:ascii="Arial" w:cs="Arial" w:eastAsia="Arial" w:hAnsi="Arial"/>
          <w:sz w:val="14"/>
          <w:szCs w:val="14"/>
          <w:color w:val="000000"/>
        </w:rPr>
        <w:t>reinvestment, and (ii) the difference between the Company’s share price at the end of each fiscal year shown and the beginning of the measurement period, and the beginning of the measurement period by (b) the Company’s share price at the beginning of the measurement period. The beginning of the measurement period for each year in the table is September 30, 2020.</w:t>
      </w:r>
    </w:p>
    <w:p>
      <w:pPr>
        <w:spacing w:after="0" w:line="2" w:lineRule="exact"/>
        <w:rPr>
          <w:rFonts w:ascii="Arial" w:cs="Arial" w:eastAsia="Arial" w:hAnsi="Arial"/>
          <w:sz w:val="14"/>
          <w:szCs w:val="14"/>
          <w:color w:val="202124"/>
        </w:rPr>
      </w:pPr>
    </w:p>
    <w:p>
      <w:pPr>
        <w:ind w:left="400" w:hanging="392"/>
        <w:spacing w:after="0"/>
        <w:tabs>
          <w:tab w:leader="none" w:pos="4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peer group used for this purpose is the Nasdaq Biotechnology Index.</w:t>
      </w:r>
    </w:p>
    <w:p>
      <w:pPr>
        <w:spacing w:after="0" w:line="1" w:lineRule="exact"/>
        <w:rPr>
          <w:rFonts w:ascii="Arial" w:cs="Arial" w:eastAsia="Arial" w:hAnsi="Arial"/>
          <w:sz w:val="14"/>
          <w:szCs w:val="14"/>
          <w:color w:val="auto"/>
        </w:rPr>
      </w:pPr>
    </w:p>
    <w:p>
      <w:pPr>
        <w:ind w:left="400" w:hanging="392"/>
        <w:spacing w:after="0"/>
        <w:tabs>
          <w:tab w:leader="none" w:pos="4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dollar amounts reported represent the amount of net income reflected in the Company’s audited financial statements for the applicable year.</w:t>
      </w:r>
    </w:p>
    <w:p>
      <w:pPr>
        <w:spacing w:after="0" w:line="1" w:lineRule="exact"/>
        <w:rPr>
          <w:rFonts w:ascii="Arial" w:cs="Arial" w:eastAsia="Arial" w:hAnsi="Arial"/>
          <w:sz w:val="14"/>
          <w:szCs w:val="14"/>
          <w:color w:val="auto"/>
        </w:rPr>
      </w:pPr>
    </w:p>
    <w:p>
      <w:pPr>
        <w:ind w:left="420" w:right="360" w:hanging="412"/>
        <w:spacing w:after="0" w:line="264" w:lineRule="auto"/>
        <w:tabs>
          <w:tab w:leader="none" w:pos="407"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Company does not use any financial performance measures to link executive compensation actually paid to company performance. Consequently, no “Company Selected Measure” is included in the table above.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Analysis of Information Presented in the Pay versus Performance Table</w:t>
      </w:r>
    </w:p>
    <w:p>
      <w:pPr>
        <w:spacing w:after="0" w:line="165"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As described in more detail in the Compensation Discussion and Analysis section, the Company’s executive compensation program reflects a variable pay-for-performance philosophy. While the Company utilizes several performance measures to align executive compensation with Company performance, all of those Company measures are not presented in the Pay versus Performance table. Moreover, the Company generally seeks to incentivize long-term performance, and therefore does not specifically align the Company’s performance measures with compensation that is actually paid (as computed in accordance with SEC rules) for a particular year. In accordance with SEC rules, the Company is providing the following descriptions of the relationships between information presented in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1413510</wp:posOffset>
            </wp:positionV>
            <wp:extent cx="986155" cy="2057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Actually Paid, Cumulative TSR and Peer Group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170815</wp:posOffset>
            </wp:positionV>
            <wp:extent cx="5760720" cy="41148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60720" cy="411480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5459730</wp:posOffset>
            </wp:positionV>
            <wp:extent cx="986155" cy="2057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E"/>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Actually Paid and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307975</wp:posOffset>
            </wp:positionV>
            <wp:extent cx="5760720" cy="41148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60720" cy="411480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5442585</wp:posOffset>
            </wp:positionV>
            <wp:extent cx="986155" cy="2057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ind w:right="479"/>
        <w:spacing w:after="0"/>
        <w:rPr>
          <w:sz w:val="20"/>
          <w:szCs w:val="20"/>
          <w:color w:val="auto"/>
        </w:rPr>
      </w:pPr>
      <w:r>
        <w:rPr>
          <w:rFonts w:ascii="Arial" w:cs="Arial" w:eastAsia="Arial" w:hAnsi="Arial"/>
          <w:sz w:val="18"/>
          <w:szCs w:val="18"/>
          <w:b w:val="1"/>
          <w:bCs w:val="1"/>
          <w:color w:val="0071CE"/>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12"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170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Performance Measures</w:t>
      </w:r>
    </w:p>
    <w:p>
      <w:pPr>
        <w:spacing w:after="0" w:line="233" w:lineRule="exact"/>
        <w:rPr>
          <w:sz w:val="20"/>
          <w:szCs w:val="20"/>
          <w:color w:val="auto"/>
        </w:rPr>
      </w:pPr>
    </w:p>
    <w:p>
      <w:pPr>
        <w:ind w:right="340"/>
        <w:spacing w:after="0" w:line="235" w:lineRule="auto"/>
        <w:rPr>
          <w:sz w:val="20"/>
          <w:szCs w:val="20"/>
          <w:color w:val="auto"/>
        </w:rPr>
      </w:pPr>
      <w:r>
        <w:rPr>
          <w:rFonts w:ascii="Arial" w:cs="Arial" w:eastAsia="Arial" w:hAnsi="Arial"/>
          <w:sz w:val="16"/>
          <w:szCs w:val="16"/>
          <w:color w:val="auto"/>
        </w:rPr>
        <w:t>As described in greater detail in the Compensation Discussion and Analysis section, the Company’s executive compensation program reflects a variable pay-for-performance philosophy. The metrics that the Company uses for both our long-term and short-term incentive awards are selected based on an objective of incentivizing our NEOs to increase the value of our enterprise for our shareholders. The Company does not currently use any financial</w:t>
      </w:r>
    </w:p>
    <w:p>
      <w:pPr>
        <w:spacing w:after="0" w:line="2" w:lineRule="exact"/>
        <w:rPr>
          <w:sz w:val="20"/>
          <w:szCs w:val="20"/>
          <w:color w:val="auto"/>
        </w:rPr>
      </w:pPr>
    </w:p>
    <w:p>
      <w:pPr>
        <w:ind w:right="140"/>
        <w:spacing w:after="0" w:line="220" w:lineRule="auto"/>
        <w:rPr>
          <w:sz w:val="20"/>
          <w:szCs w:val="20"/>
          <w:color w:val="auto"/>
        </w:rPr>
      </w:pPr>
      <w:r>
        <w:rPr>
          <w:rFonts w:ascii="Arial" w:cs="Arial" w:eastAsia="Arial" w:hAnsi="Arial"/>
          <w:sz w:val="16"/>
          <w:szCs w:val="16"/>
          <w:color w:val="auto"/>
        </w:rPr>
        <w:t>performance measures to link executive compensation actually paid to our performance. However, the most important performance measures used by the Company to link executive compensation actually paid to the Company’s NEOs, for the most recently completed fiscal year, to the Company’s performance</w:t>
      </w:r>
    </w:p>
    <w:p>
      <w:pPr>
        <w:spacing w:after="0"/>
        <w:rPr>
          <w:sz w:val="20"/>
          <w:szCs w:val="20"/>
          <w:color w:val="auto"/>
        </w:rPr>
      </w:pPr>
      <w:r>
        <w:rPr>
          <w:rFonts w:ascii="Arial" w:cs="Arial" w:eastAsia="Arial" w:hAnsi="Arial"/>
          <w:sz w:val="16"/>
          <w:szCs w:val="16"/>
          <w:color w:val="auto"/>
        </w:rPr>
        <w:t>are as follows:</w:t>
      </w:r>
    </w:p>
    <w:p>
      <w:pPr>
        <w:spacing w:after="0" w:line="219" w:lineRule="exact"/>
        <w:rPr>
          <w:sz w:val="20"/>
          <w:szCs w:val="20"/>
          <w:color w:val="auto"/>
        </w:rPr>
      </w:pPr>
    </w:p>
    <w:p>
      <w:pPr>
        <w:ind w:left="660" w:right="1340" w:hanging="328"/>
        <w:spacing w:after="0" w:line="248" w:lineRule="auto"/>
        <w:tabs>
          <w:tab w:leader="none" w:pos="649" w:val="left"/>
        </w:tabs>
        <w:numPr>
          <w:ilvl w:val="0"/>
          <w:numId w:val="65"/>
        </w:numPr>
        <w:rPr>
          <w:rFonts w:ascii="Arial" w:cs="Arial" w:eastAsia="Arial" w:hAnsi="Arial"/>
          <w:sz w:val="16"/>
          <w:szCs w:val="16"/>
          <w:color w:val="026DCE"/>
        </w:rPr>
      </w:pPr>
      <w:r>
        <w:rPr>
          <w:rFonts w:ascii="Arial" w:cs="Arial" w:eastAsia="Arial" w:hAnsi="Arial"/>
          <w:sz w:val="16"/>
          <w:szCs w:val="16"/>
          <w:color w:val="auto"/>
        </w:rPr>
        <w:t>Corporate goals related to meeting certain objectives with respect to business development, market capitalization, preparation for commercialization, and and utilization of recent capital improvements;</w:t>
      </w:r>
    </w:p>
    <w:p>
      <w:pPr>
        <w:ind w:left="640" w:hanging="308"/>
        <w:spacing w:after="0" w:line="228" w:lineRule="auto"/>
        <w:tabs>
          <w:tab w:leader="none" w:pos="640" w:val="left"/>
        </w:tabs>
        <w:numPr>
          <w:ilvl w:val="0"/>
          <w:numId w:val="65"/>
        </w:numPr>
        <w:rPr>
          <w:rFonts w:ascii="Arial" w:cs="Arial" w:eastAsia="Arial" w:hAnsi="Arial"/>
          <w:sz w:val="16"/>
          <w:szCs w:val="16"/>
          <w:color w:val="026DCE"/>
        </w:rPr>
      </w:pPr>
      <w:r>
        <w:rPr>
          <w:rFonts w:ascii="Arial" w:cs="Arial" w:eastAsia="Arial" w:hAnsi="Arial"/>
          <w:sz w:val="16"/>
          <w:szCs w:val="16"/>
          <w:color w:val="auto"/>
        </w:rPr>
        <w:t>Discovery and early development goals related to meeting certain goals with regard to progress on our pre-clinical and early clinical programs; and</w:t>
      </w:r>
    </w:p>
    <w:p>
      <w:pPr>
        <w:ind w:left="640" w:hanging="308"/>
        <w:spacing w:after="0"/>
        <w:tabs>
          <w:tab w:leader="none" w:pos="640" w:val="left"/>
        </w:tabs>
        <w:numPr>
          <w:ilvl w:val="0"/>
          <w:numId w:val="65"/>
        </w:numPr>
        <w:rPr>
          <w:rFonts w:ascii="Arial" w:cs="Arial" w:eastAsia="Arial" w:hAnsi="Arial"/>
          <w:sz w:val="16"/>
          <w:szCs w:val="16"/>
          <w:color w:val="026DCE"/>
        </w:rPr>
      </w:pPr>
      <w:r>
        <w:rPr>
          <w:rFonts w:ascii="Arial" w:cs="Arial" w:eastAsia="Arial" w:hAnsi="Arial"/>
          <w:sz w:val="16"/>
          <w:szCs w:val="16"/>
          <w:color w:val="auto"/>
        </w:rPr>
        <w:t>Clinical development goals involving meeting certain goals relating to Phase 2 and 3 studies in our clinical programs;</w:t>
      </w:r>
    </w:p>
    <w:p>
      <w:pPr>
        <w:spacing w:after="0" w:line="200" w:lineRule="exact"/>
        <w:rPr>
          <w:sz w:val="20"/>
          <w:szCs w:val="20"/>
          <w:color w:val="auto"/>
        </w:rPr>
      </w:pPr>
    </w:p>
    <w:p>
      <w:pPr>
        <w:spacing w:after="0" w:line="277" w:lineRule="exact"/>
        <w:rPr>
          <w:sz w:val="20"/>
          <w:szCs w:val="20"/>
          <w:color w:val="auto"/>
        </w:rPr>
      </w:pPr>
    </w:p>
    <w:p>
      <w:pPr>
        <w:ind w:right="20"/>
        <w:spacing w:after="0" w:line="227" w:lineRule="auto"/>
        <w:rPr>
          <w:sz w:val="20"/>
          <w:szCs w:val="20"/>
          <w:color w:val="auto"/>
        </w:rPr>
      </w:pPr>
      <w:r>
        <w:rPr>
          <w:rFonts w:ascii="Arial" w:cs="Arial" w:eastAsia="Arial" w:hAnsi="Arial"/>
          <w:sz w:val="16"/>
          <w:szCs w:val="16"/>
          <w:i w:val="1"/>
          <w:iCs w:val="1"/>
          <w:color w:val="auto"/>
        </w:rPr>
        <w:t>All information provided above under the “Item 402(v) Pay Versus Performance”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483235</wp:posOffset>
            </wp:positionV>
            <wp:extent cx="986155" cy="2057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0071CE"/>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71CE"/>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Proposal Four — Ratification of Appointment of Independent Auditors</w:t>
      </w:r>
    </w:p>
    <w:p>
      <w:pPr>
        <w:spacing w:after="0" w:line="33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Our Audit Committee, with the ratification of our Board, selected the accounting firm of KPMG LLP (“</w:t>
      </w:r>
      <w:r>
        <w:rPr>
          <w:rFonts w:ascii="Arial" w:cs="Arial" w:eastAsia="Arial" w:hAnsi="Arial"/>
          <w:sz w:val="16"/>
          <w:szCs w:val="16"/>
          <w:b w:val="1"/>
          <w:bCs w:val="1"/>
          <w:color w:val="auto"/>
        </w:rPr>
        <w:t>KPMG</w:t>
      </w:r>
      <w:r>
        <w:rPr>
          <w:rFonts w:ascii="Arial" w:cs="Arial" w:eastAsia="Arial" w:hAnsi="Arial"/>
          <w:sz w:val="16"/>
          <w:szCs w:val="16"/>
          <w:color w:val="auto"/>
        </w:rPr>
        <w:t>”) as the Company’s independent auditors for the fiscal year ending September 30, 2025, and that selection is now being submitted to the stockholders.</w:t>
      </w:r>
    </w:p>
    <w:p>
      <w:pPr>
        <w:spacing w:after="0" w:line="14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 representative of KPMG is expected to be available at the Annual Meeting to respond to appropriate stockholder questions or make any other statements such representative deems appropriate.</w:t>
      </w:r>
    </w:p>
    <w:p>
      <w:pPr>
        <w:spacing w:after="0" w:line="16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Stockholders are not required to ratify the appointment of KPMG as our independent auditor. However, we are submitting the appointment for ratification as a matter of good corporate practice. If stockholders fail to ratify the appointment, the Audit Committee will consider whether or not to retain KPMG. Even if the appointment is ratified, the Audit Committee may direct the appointment of a different independent auditor at any time during the year if it determines that such a change would be in the best interests of the Company and our stockholders.</w:t>
      </w:r>
    </w:p>
    <w:p>
      <w:pPr>
        <w:spacing w:after="0" w:line="173"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auto"/>
        </w:rPr>
        <w:t>The Company’s former independent auditor for the fiscal year 2023 was Rose, Snyder &amp; Jacobs, LLP (“RS&amp;J”). As previously reported on the Company’s Current Report on Form 8-K, filed on December 5, 2023, the Audit Committee approved the engagement of KPMG as the Company’s independent registered public accounting firm for the fiscal year ending September 30, 2024. RS&amp;J continued as the Company’s independent registered public accounting firm for the interim period through December 1, 2023, at which time the Audit Committee approved the dismissal of RS&amp;J as the Company’s independent registered public accounting firm, effective immediately.</w:t>
      </w:r>
    </w:p>
    <w:p>
      <w:pPr>
        <w:spacing w:after="0" w:line="172"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RS&amp;J’s audit report on the financial statements for the fiscal years ended September 30, 2023 and September 30, 2022 did not contain an adverse opinion or a disclaimer of opinion, and was not qualified or modified as to uncertainties, audit scope or accounting principles. In addition, during the two fiscal years ended September 30, 2023 and September 30, 2022, and the subsequent interim period through December 1, 2023, there were no: (1) “disagreements” (as defined by Item 304(a)(1)(iv) of Regulation S-K and related instructions) between the Company and RS&amp;J on any matter of accounting principles or practices, financial statement disclosure or auditing scope and procedures, which if not resolved to the satisfaction of RS&amp;J, would have caused RS&amp;J to make reference in connection with their opinion to the subject matter of the disagreement, or (2) reportable events (as defined by Item 304(a)(1)(v) of Regulation S-K).</w:t>
      </w:r>
    </w:p>
    <w:p>
      <w:pPr>
        <w:spacing w:after="0" w:line="174"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During the years ended September 30, 2023 and September 30, 2022, and the subsequent interim period through December 1, 2023, neither the Company, nor anyone on its behalf, consulted KPMG regarding either (i) the application of accounting principles to a specified transaction, either completed or proposed, or the type of audit opinion that might be rendered on the financial statements of the Company, and neither a written report nor oral advice was provided to the Company that KPMG concluded was an important factor considered by the Company in reaching a decision as to any accounting, auditing or financial reporting issue; or (ii) any matter that was the subject of a “disagreement” (as defined in Item 304(a)(1)(iv) of Regulation S-K and the related instructions) or a “reportable event” (as described in Item 304(a)(1)(v) of Regulation S-K).</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243"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In order to be ratified, Proposal Four must be approved by the Required Vote, assuming a quorum is present. For this purpose, abstentions and broker non-votes, if any, will be counted as a vote “AGAINST”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158750</wp:posOffset>
            </wp:positionV>
            <wp:extent cx="3789045" cy="3683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789045" cy="368300"/>
                    </a:xfrm>
                    <a:prstGeom prst="rect">
                      <a:avLst/>
                    </a:prstGeom>
                    <a:noFill/>
                  </pic:spPr>
                </pic:pic>
              </a:graphicData>
            </a:graphic>
          </wp:anchor>
        </w:drawing>
      </w:r>
    </w:p>
    <w:p>
      <w:pPr>
        <w:spacing w:after="0" w:line="270" w:lineRule="exact"/>
        <w:rPr>
          <w:sz w:val="20"/>
          <w:szCs w:val="20"/>
          <w:color w:val="auto"/>
        </w:rPr>
      </w:pPr>
    </w:p>
    <w:p>
      <w:pPr>
        <w:ind w:left="3820" w:right="3340"/>
        <w:spacing w:after="0" w:line="299" w:lineRule="auto"/>
        <w:rPr>
          <w:sz w:val="20"/>
          <w:szCs w:val="20"/>
          <w:color w:val="auto"/>
        </w:rPr>
      </w:pPr>
      <w:r>
        <w:rPr>
          <w:rFonts w:ascii="Arial" w:cs="Arial" w:eastAsia="Arial" w:hAnsi="Arial"/>
          <w:sz w:val="16"/>
          <w:szCs w:val="16"/>
          <w:b w:val="1"/>
          <w:bCs w:val="1"/>
          <w:color w:val="auto"/>
        </w:rPr>
        <w:t xml:space="preserve">THE BOARD UNANIMOUSLY RECOMMENDS A VOTE </w:t>
      </w:r>
      <w:r>
        <w:rPr>
          <w:rFonts w:ascii="Arial" w:cs="Arial" w:eastAsia="Arial" w:hAnsi="Arial"/>
          <w:sz w:val="21"/>
          <w:szCs w:val="21"/>
          <w:b w:val="1"/>
          <w:bCs w:val="1"/>
          <w:color w:val="0071CE"/>
        </w:rPr>
        <w:t xml:space="preserve">“FOR” </w:t>
      </w:r>
      <w:r>
        <w:rPr>
          <w:rFonts w:ascii="Arial" w:cs="Arial" w:eastAsia="Arial" w:hAnsi="Arial"/>
          <w:sz w:val="16"/>
          <w:szCs w:val="16"/>
          <w:b w:val="1"/>
          <w:bCs w:val="1"/>
          <w:color w:val="000000"/>
        </w:rPr>
        <w:t>PROPOSAL FOUR.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718185</wp:posOffset>
            </wp:positionV>
            <wp:extent cx="986155" cy="2057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Audit Fees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Audit Fees</w:t>
      </w:r>
    </w:p>
    <w:p>
      <w:pPr>
        <w:spacing w:after="0" w:line="36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Audit Committee regularly reviews and determines whether specific projects or expenditures with our independent auditors may potentially affect their independence. The Audit Committee’s policy is to pre-approve all audit and permissible non-audit services provided by our independent auditors. Pre-approval is generally provided by the Audit Committee for up to one year, detailed to the particular service or category of services to be rendered and is generally subject to a specific budget. The Audit Committee may also pre-approve additional services of specific engagements on a case-by-case basis. All engagements of our independent registered public accounting firm in 2024 and 2023 were pre-approved by the audit committee.</w:t>
      </w:r>
    </w:p>
    <w:p>
      <w:pPr>
        <w:spacing w:after="0" w:line="17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table sets forth the aggregate audit fees and other services provided during the indicated fiscal years. These include amounts billed and expected to be billed by our current independent auditors, KPMG, for fiscal year 2024, and by our former independent auditors, RS&amp;J, for fiscal year 2023:</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80" w:type="dxa"/>
            <w:vAlign w:val="bottom"/>
            <w:shd w:val="clear" w:color="auto" w:fill="0071CE"/>
          </w:tcPr>
          <w:p>
            <w:pPr>
              <w:spacing w:after="0"/>
              <w:rPr>
                <w:sz w:val="17"/>
                <w:szCs w:val="17"/>
                <w:color w:val="auto"/>
              </w:rPr>
            </w:pPr>
          </w:p>
        </w:tc>
        <w:tc>
          <w:tcPr>
            <w:tcW w:w="3240" w:type="dxa"/>
            <w:vAlign w:val="bottom"/>
            <w:gridSpan w:val="2"/>
            <w:shd w:val="clear" w:color="auto" w:fill="0071CE"/>
          </w:tcPr>
          <w:p>
            <w:pPr>
              <w:jc w:val="right"/>
              <w:ind w:right="593"/>
              <w:spacing w:after="0"/>
              <w:rPr>
                <w:sz w:val="20"/>
                <w:szCs w:val="20"/>
                <w:color w:val="auto"/>
              </w:rPr>
            </w:pPr>
            <w:r>
              <w:rPr>
                <w:rFonts w:ascii="Arial" w:cs="Arial" w:eastAsia="Arial" w:hAnsi="Arial"/>
                <w:sz w:val="14"/>
                <w:szCs w:val="14"/>
                <w:b w:val="1"/>
                <w:bCs w:val="1"/>
                <w:color w:val="FFFFFF"/>
              </w:rPr>
              <w:t>Year Ended September 30,</w:t>
            </w:r>
          </w:p>
        </w:tc>
      </w:tr>
      <w:tr>
        <w:trPr>
          <w:trHeight w:val="203"/>
        </w:trPr>
        <w:tc>
          <w:tcPr>
            <w:tcW w:w="7980" w:type="dxa"/>
            <w:vAlign w:val="bottom"/>
            <w:shd w:val="clear" w:color="auto" w:fill="0071CE"/>
          </w:tcPr>
          <w:p>
            <w:pPr>
              <w:spacing w:after="0"/>
              <w:rPr>
                <w:sz w:val="17"/>
                <w:szCs w:val="17"/>
                <w:color w:val="auto"/>
              </w:rPr>
            </w:pPr>
          </w:p>
        </w:tc>
        <w:tc>
          <w:tcPr>
            <w:tcW w:w="1900" w:type="dxa"/>
            <w:vAlign w:val="bottom"/>
            <w:shd w:val="clear" w:color="auto" w:fill="0071CE"/>
          </w:tcPr>
          <w:p>
            <w:pPr>
              <w:jc w:val="right"/>
              <w:ind w:right="855"/>
              <w:spacing w:after="0"/>
              <w:rPr>
                <w:sz w:val="20"/>
                <w:szCs w:val="20"/>
                <w:color w:val="auto"/>
              </w:rPr>
            </w:pPr>
            <w:r>
              <w:rPr>
                <w:rFonts w:ascii="Arial" w:cs="Arial" w:eastAsia="Arial" w:hAnsi="Arial"/>
                <w:sz w:val="14"/>
                <w:szCs w:val="14"/>
                <w:b w:val="1"/>
                <w:bCs w:val="1"/>
                <w:color w:val="FFFFFF"/>
              </w:rPr>
              <w:t>2024</w:t>
            </w:r>
          </w:p>
        </w:tc>
        <w:tc>
          <w:tcPr>
            <w:tcW w:w="1340" w:type="dxa"/>
            <w:vAlign w:val="bottom"/>
            <w:shd w:val="clear" w:color="auto" w:fill="0071CE"/>
          </w:tcPr>
          <w:p>
            <w:pPr>
              <w:jc w:val="right"/>
              <w:ind w:right="533"/>
              <w:spacing w:after="0"/>
              <w:rPr>
                <w:sz w:val="20"/>
                <w:szCs w:val="20"/>
                <w:color w:val="auto"/>
              </w:rPr>
            </w:pPr>
            <w:r>
              <w:rPr>
                <w:rFonts w:ascii="Arial" w:cs="Arial" w:eastAsia="Arial" w:hAnsi="Arial"/>
                <w:sz w:val="14"/>
                <w:szCs w:val="14"/>
                <w:b w:val="1"/>
                <w:bCs w:val="1"/>
                <w:color w:val="FFFFFF"/>
              </w:rPr>
              <w:t>2023</w:t>
            </w:r>
          </w:p>
        </w:tc>
      </w:tr>
      <w:tr>
        <w:trPr>
          <w:trHeight w:val="229"/>
        </w:trPr>
        <w:tc>
          <w:tcPr>
            <w:tcW w:w="7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Audit fees (1)</w:t>
            </w:r>
          </w:p>
        </w:tc>
        <w:tc>
          <w:tcPr>
            <w:tcW w:w="190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$860,000</w:t>
            </w:r>
          </w:p>
        </w:tc>
        <w:tc>
          <w:tcPr>
            <w:tcW w:w="1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$414,250</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Audit-related fees (2)</w:t>
            </w:r>
          </w:p>
        </w:tc>
        <w:tc>
          <w:tcPr>
            <w:tcW w:w="1900" w:type="dxa"/>
            <w:vAlign w:val="bottom"/>
          </w:tcPr>
          <w:p>
            <w:pPr>
              <w:jc w:val="right"/>
              <w:ind w:right="315"/>
              <w:spacing w:after="0"/>
              <w:rPr>
                <w:sz w:val="20"/>
                <w:szCs w:val="20"/>
                <w:color w:val="auto"/>
              </w:rPr>
            </w:pPr>
            <w:r>
              <w:rPr>
                <w:rFonts w:ascii="Arial" w:cs="Arial" w:eastAsia="Arial" w:hAnsi="Arial"/>
                <w:sz w:val="18"/>
                <w:szCs w:val="18"/>
                <w:color w:val="auto"/>
              </w:rPr>
              <w:t>150,000</w:t>
            </w:r>
          </w:p>
        </w:tc>
        <w:tc>
          <w:tcPr>
            <w:tcW w:w="1340" w:type="dxa"/>
            <w:vAlign w:val="bottom"/>
          </w:tcPr>
          <w:p>
            <w:pPr>
              <w:jc w:val="right"/>
              <w:spacing w:after="0"/>
              <w:rPr>
                <w:sz w:val="20"/>
                <w:szCs w:val="20"/>
                <w:color w:val="auto"/>
              </w:rPr>
            </w:pPr>
            <w:r>
              <w:rPr>
                <w:rFonts w:ascii="Arial" w:cs="Arial" w:eastAsia="Arial" w:hAnsi="Arial"/>
                <w:sz w:val="18"/>
                <w:szCs w:val="18"/>
                <w:color w:val="auto"/>
              </w:rPr>
              <w:t>226,100</w:t>
            </w:r>
          </w:p>
        </w:tc>
      </w:tr>
      <w:tr>
        <w:trPr>
          <w:trHeight w:val="229"/>
        </w:trPr>
        <w:tc>
          <w:tcPr>
            <w:tcW w:w="7980" w:type="dxa"/>
            <w:vAlign w:val="bottom"/>
            <w:shd w:val="clear" w:color="auto" w:fill="E5E5E5"/>
          </w:tcPr>
          <w:p>
            <w:pPr>
              <w:ind w:left="20"/>
              <w:spacing w:after="0"/>
              <w:rPr>
                <w:sz w:val="20"/>
                <w:szCs w:val="20"/>
                <w:color w:val="auto"/>
              </w:rPr>
            </w:pPr>
            <w:r>
              <w:rPr>
                <w:rFonts w:ascii="Arial" w:cs="Arial" w:eastAsia="Arial" w:hAnsi="Arial"/>
                <w:sz w:val="18"/>
                <w:szCs w:val="18"/>
                <w:color w:val="auto"/>
              </w:rPr>
              <w:t>Tax Fees</w:t>
            </w:r>
          </w:p>
        </w:tc>
        <w:tc>
          <w:tcPr>
            <w:tcW w:w="1900" w:type="dxa"/>
            <w:vAlign w:val="bottom"/>
            <w:shd w:val="clear" w:color="auto" w:fill="E5E5E5"/>
          </w:tcPr>
          <w:p>
            <w:pPr>
              <w:jc w:val="right"/>
              <w:ind w:right="315"/>
              <w:spacing w:after="0"/>
              <w:rPr>
                <w:sz w:val="20"/>
                <w:szCs w:val="20"/>
                <w:color w:val="auto"/>
              </w:rPr>
            </w:pPr>
            <w:r>
              <w:rPr>
                <w:rFonts w:ascii="Arial" w:cs="Arial" w:eastAsia="Arial" w:hAnsi="Arial"/>
                <w:sz w:val="18"/>
                <w:szCs w:val="18"/>
                <w:color w:val="auto"/>
              </w:rPr>
              <w:t>—</w:t>
            </w:r>
          </w:p>
        </w:tc>
        <w:tc>
          <w:tcPr>
            <w:tcW w:w="1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Borders>
              <w:bottom w:val="single" w:sz="8" w:color="E5E5E5"/>
            </w:tcBorders>
          </w:tcPr>
          <w:p>
            <w:pPr>
              <w:ind w:left="20"/>
              <w:spacing w:after="0"/>
              <w:rPr>
                <w:sz w:val="20"/>
                <w:szCs w:val="20"/>
                <w:color w:val="auto"/>
              </w:rPr>
            </w:pPr>
            <w:r>
              <w:rPr>
                <w:rFonts w:ascii="Arial" w:cs="Arial" w:eastAsia="Arial" w:hAnsi="Arial"/>
                <w:sz w:val="18"/>
                <w:szCs w:val="18"/>
                <w:color w:val="auto"/>
              </w:rPr>
              <w:t>All other fees</w:t>
            </w:r>
          </w:p>
        </w:tc>
        <w:tc>
          <w:tcPr>
            <w:tcW w:w="1900" w:type="dxa"/>
            <w:vAlign w:val="bottom"/>
            <w:tcBorders>
              <w:bottom w:val="single" w:sz="8" w:color="0071CE"/>
            </w:tcBorders>
          </w:tcPr>
          <w:p>
            <w:pPr>
              <w:jc w:val="right"/>
              <w:ind w:right="315"/>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0071CE"/>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Borders>
              <w:bottom w:val="single" w:sz="8" w:color="0071CE"/>
            </w:tcBorders>
            <w:shd w:val="clear" w:color="auto" w:fill="E5E5E5"/>
          </w:tcPr>
          <w:p>
            <w:pPr>
              <w:ind w:left="20"/>
              <w:spacing w:after="0"/>
              <w:rPr>
                <w:sz w:val="20"/>
                <w:szCs w:val="20"/>
                <w:color w:val="auto"/>
              </w:rPr>
            </w:pPr>
            <w:r>
              <w:rPr>
                <w:rFonts w:ascii="Arial" w:cs="Arial" w:eastAsia="Arial" w:hAnsi="Arial"/>
                <w:sz w:val="18"/>
                <w:szCs w:val="18"/>
                <w:color w:val="auto"/>
              </w:rPr>
              <w:t>Total</w:t>
            </w:r>
          </w:p>
        </w:tc>
        <w:tc>
          <w:tcPr>
            <w:tcW w:w="1900" w:type="dxa"/>
            <w:vAlign w:val="bottom"/>
            <w:tcBorders>
              <w:bottom w:val="single" w:sz="8" w:color="0071CE"/>
            </w:tcBorders>
            <w:shd w:val="clear" w:color="auto" w:fill="E5E5E5"/>
          </w:tcPr>
          <w:p>
            <w:pPr>
              <w:jc w:val="right"/>
              <w:ind w:right="315"/>
              <w:spacing w:after="0"/>
              <w:rPr>
                <w:sz w:val="20"/>
                <w:szCs w:val="20"/>
                <w:color w:val="auto"/>
              </w:rPr>
            </w:pPr>
            <w:r>
              <w:rPr>
                <w:rFonts w:ascii="Arial" w:cs="Arial" w:eastAsia="Arial" w:hAnsi="Arial"/>
                <w:sz w:val="18"/>
                <w:szCs w:val="18"/>
                <w:color w:val="auto"/>
              </w:rPr>
              <w:t>$1,010,000</w:t>
            </w:r>
          </w:p>
        </w:tc>
        <w:tc>
          <w:tcPr>
            <w:tcW w:w="1340" w:type="dxa"/>
            <w:vAlign w:val="bottom"/>
            <w:tcBorders>
              <w:bottom w:val="single" w:sz="8" w:color="0071CE"/>
            </w:tcBorders>
            <w:shd w:val="clear" w:color="auto" w:fill="E5E5E5"/>
          </w:tcPr>
          <w:p>
            <w:pPr>
              <w:jc w:val="right"/>
              <w:spacing w:after="0"/>
              <w:rPr>
                <w:sz w:val="20"/>
                <w:szCs w:val="20"/>
                <w:color w:val="auto"/>
              </w:rPr>
            </w:pPr>
            <w:r>
              <w:rPr>
                <w:rFonts w:ascii="Arial" w:cs="Arial" w:eastAsia="Arial" w:hAnsi="Arial"/>
                <w:sz w:val="18"/>
                <w:szCs w:val="18"/>
                <w:color w:val="auto"/>
              </w:rPr>
              <w:t>$640,350</w:t>
            </w:r>
          </w:p>
        </w:tc>
      </w:tr>
    </w:tbl>
    <w:p>
      <w:pPr>
        <w:spacing w:after="0" w:line="166" w:lineRule="exact"/>
        <w:rPr>
          <w:sz w:val="20"/>
          <w:szCs w:val="20"/>
          <w:color w:val="auto"/>
        </w:rPr>
      </w:pPr>
    </w:p>
    <w:p>
      <w:pPr>
        <w:ind w:left="320" w:hanging="312"/>
        <w:spacing w:after="0"/>
        <w:tabs>
          <w:tab w:leader="none" w:pos="3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Fees invoiced by KPMG and RS&amp;J include year-end audit and periodic reviews of Forms 10-Q and 10-K.</w:t>
      </w:r>
    </w:p>
    <w:p>
      <w:pPr>
        <w:spacing w:after="0" w:line="122" w:lineRule="exact"/>
        <w:rPr>
          <w:rFonts w:ascii="Arial" w:cs="Arial" w:eastAsia="Arial" w:hAnsi="Arial"/>
          <w:sz w:val="14"/>
          <w:szCs w:val="14"/>
          <w:color w:val="auto"/>
        </w:rPr>
      </w:pPr>
    </w:p>
    <w:p>
      <w:pPr>
        <w:ind w:left="320" w:hanging="312"/>
        <w:spacing w:after="0"/>
        <w:tabs>
          <w:tab w:leader="none" w:pos="3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Fees invoiced by KPMG and RS&amp;J related to Comfort Letters and Consents for financings and registration statements, and other agreed-upon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1026795</wp:posOffset>
            </wp:positionV>
            <wp:extent cx="986155" cy="2057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020"/>
        <w:spacing w:after="0"/>
        <w:rPr>
          <w:sz w:val="20"/>
          <w:szCs w:val="20"/>
          <w:color w:val="auto"/>
        </w:rPr>
      </w:pPr>
      <w:r>
        <w:rPr>
          <w:rFonts w:ascii="Arial" w:cs="Arial" w:eastAsia="Arial" w:hAnsi="Arial"/>
          <w:sz w:val="17"/>
          <w:szCs w:val="17"/>
          <w:b w:val="1"/>
          <w:bCs w:val="1"/>
          <w:color w:val="0071CE"/>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2"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jc w:val="right"/>
        <w:spacing w:after="0"/>
        <w:tabs>
          <w:tab w:leader="none" w:pos="206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Report of the Audit Committee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Report of the Audit Committee</w:t>
      </w:r>
    </w:p>
    <w:p>
      <w:pPr>
        <w:spacing w:after="0" w:line="36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following is the report of the Audit Committee with respect to the Company’s audited financial statements for fiscal 2024, which include the consolidated balance sheets of the Company as of September 30, 2024 and September 30, 2023, and the related consolidated statements of operations, stockholders’ equity and cash flows for the fiscal years ended September 30, 2024, September 30, 2023 and September 30, 2022, and the notes thereto.</w:t>
      </w:r>
    </w:p>
    <w:p>
      <w:pPr>
        <w:spacing w:after="0" w:line="18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Composition. </w:t>
      </w:r>
      <w:r>
        <w:rPr>
          <w:rFonts w:ascii="Arial" w:cs="Arial" w:eastAsia="Arial" w:hAnsi="Arial"/>
          <w:sz w:val="16"/>
          <w:szCs w:val="16"/>
          <w:color w:val="auto"/>
        </w:rPr>
        <w:t>At September 30, 2024, the Audit Committee of the Board was comprised of three directors and operated under a written charter adopted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The members of the Audit Committee for fiscal 2024 were William Waddill, Victoria Vakiener, and Maura Ferrari. All members of the Audit Committee were “independent,” as defined in Rule 10A-3 under the Exchange Act and Rule 5605(c) of the Nasdaq Marketplace Rules, and are financially literate.</w:t>
      </w:r>
    </w:p>
    <w:p>
      <w:pPr>
        <w:spacing w:after="0" w:line="17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Responsibilities. </w:t>
      </w:r>
      <w:r>
        <w:rPr>
          <w:rFonts w:ascii="Arial" w:cs="Arial" w:eastAsia="Arial" w:hAnsi="Arial"/>
          <w:sz w:val="16"/>
          <w:szCs w:val="16"/>
          <w:color w:val="auto"/>
        </w:rPr>
        <w:t>The responsibilities of the Audit Committee include engaging an accounting firm as the Company’s independent registered public</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firm. Management has primary responsibility for the Company’s internal controls and financial reporting process. The independent registered public accounting firm is responsible for performing an independent audit of the Company’s consolidated financial statements in accordance with generally accepted auditing standards and for issuing a report thereon. The Audit Committee’s responsibility is to oversee these processes.</w:t>
      </w:r>
    </w:p>
    <w:p>
      <w:pPr>
        <w:spacing w:after="0" w:line="21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color w:val="auto"/>
        </w:rPr>
        <w:t>Review with Management and independent registered public accounting firm</w:t>
      </w:r>
      <w:r>
        <w:rPr>
          <w:rFonts w:ascii="Arial" w:cs="Arial" w:eastAsia="Arial" w:hAnsi="Arial"/>
          <w:sz w:val="16"/>
          <w:szCs w:val="16"/>
          <w:color w:val="auto"/>
        </w:rPr>
        <w:t>. The Audit Committee met separately to review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consolidated audited financial statements and held discussions with management and KPMG. Management represented to the Audit Committee that the Company’s consolidated financial statements were prepared in accordance with generally accepted accounting principles. The members of the Audit Committee discussed with KPMG matters required to be discussed under the applicable standards of the Public Company Accounting Oversight Board (“PCAOB”) and the SEC. The Company’s independent registered public accounting firm also provided to the Audit Committee the written disclosures and the letter required by the PCAOB regarding the independent registered public accounting firm’s communications with the Audit Committee concerning independence and the Audit Committee discussed the firm’s independence with KPMG.</w:t>
      </w:r>
    </w:p>
    <w:p>
      <w:pPr>
        <w:spacing w:after="0" w:line="19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color w:val="auto"/>
        </w:rPr>
        <w:t xml:space="preserve">Conclusion. </w:t>
      </w:r>
      <w:r>
        <w:rPr>
          <w:rFonts w:ascii="Arial" w:cs="Arial" w:eastAsia="Arial" w:hAnsi="Arial"/>
          <w:sz w:val="16"/>
          <w:szCs w:val="16"/>
          <w:color w:val="auto"/>
        </w:rPr>
        <w:t>Based upon the Audit Committee’s review of the financial statements and discussions with management and KPMG, the Audit Committee’s</w:t>
      </w:r>
      <w:r>
        <w:rPr>
          <w:rFonts w:ascii="Arial" w:cs="Arial" w:eastAsia="Arial" w:hAnsi="Arial"/>
          <w:sz w:val="16"/>
          <w:szCs w:val="16"/>
          <w:b w:val="1"/>
          <w:bCs w:val="1"/>
          <w:color w:val="auto"/>
        </w:rPr>
        <w:t xml:space="preserve"> </w:t>
      </w:r>
      <w:r>
        <w:rPr>
          <w:rFonts w:ascii="Arial" w:cs="Arial" w:eastAsia="Arial" w:hAnsi="Arial"/>
          <w:sz w:val="16"/>
          <w:szCs w:val="16"/>
          <w:color w:val="auto"/>
        </w:rPr>
        <w:t>review of the representations of management and the report of KPMG to the Audit Committee, the Audit Committee recommended that the Board include the audited consolidated financial statements in the Company’s Annual Report on Form 10-K for the fiscal year ended September 30, 2024, as filed with the SEC.</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This report is submitted by the Audit Committee of the Board.</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William Waddill, Committee Chair</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Victoria Vakiener</w:t>
      </w:r>
    </w:p>
    <w:p>
      <w:pPr>
        <w:spacing w:after="0"/>
        <w:rPr>
          <w:sz w:val="20"/>
          <w:szCs w:val="20"/>
          <w:color w:val="auto"/>
        </w:rPr>
      </w:pPr>
      <w:r>
        <w:rPr>
          <w:rFonts w:ascii="Arial" w:cs="Arial" w:eastAsia="Arial" w:hAnsi="Arial"/>
          <w:sz w:val="16"/>
          <w:szCs w:val="16"/>
          <w:color w:val="auto"/>
        </w:rPr>
        <w:t>Mauro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1073785</wp:posOffset>
            </wp:positionV>
            <wp:extent cx="986155" cy="2057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Voting Securities of Principal Stockholders and Management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Voting Securities of Principal Stockholders and Management</w:t>
      </w:r>
    </w:p>
    <w:p>
      <w:pPr>
        <w:spacing w:after="0" w:line="36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following table sets forth the beneficial ownership of the Company’s Common Stock as of January 17, 2025, by (i) each of the NEOs named in the table under “Executive Compensation and Related Information,” (ii) each director and nominee, (iii) all current directors and executive officers as a group, and</w:t>
      </w:r>
    </w:p>
    <w:p>
      <w:pPr>
        <w:spacing w:after="0" w:line="1" w:lineRule="exact"/>
        <w:rPr>
          <w:sz w:val="20"/>
          <w:szCs w:val="20"/>
          <w:color w:val="auto"/>
        </w:rPr>
      </w:pPr>
    </w:p>
    <w:p>
      <w:pPr>
        <w:jc w:val="both"/>
        <w:ind w:firstLine="8"/>
        <w:spacing w:after="0" w:line="258" w:lineRule="auto"/>
        <w:tabs>
          <w:tab w:leader="none" w:pos="279"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holders of greater than 5% of our total shares outstanding known to us. Unless otherwise specified in the footnotes to the table below, the persons and entities named in the table have sole voting and investment power with respect to all shares beneficially owned, subject to community property laws, where applicable, and the address of each stockholder is c/o Arrowhead Pharmaceuticals, Inc., 177 E. Colorado Blvd, Suite 700, Pasadena, CA, 91105 unless otherwise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shd w:val="clear" w:color="auto" w:fill="0071CE"/>
          </w:tcPr>
          <w:p>
            <w:pPr>
              <w:spacing w:after="0"/>
              <w:rPr>
                <w:sz w:val="14"/>
                <w:szCs w:val="14"/>
                <w:color w:val="auto"/>
              </w:rPr>
            </w:pPr>
          </w:p>
        </w:tc>
        <w:tc>
          <w:tcPr>
            <w:tcW w:w="1700" w:type="dxa"/>
            <w:vAlign w:val="bottom"/>
            <w:shd w:val="clear" w:color="auto" w:fill="0071CE"/>
          </w:tcPr>
          <w:p>
            <w:pPr>
              <w:spacing w:after="0"/>
              <w:rPr>
                <w:sz w:val="14"/>
                <w:szCs w:val="14"/>
                <w:color w:val="auto"/>
              </w:rPr>
            </w:pPr>
          </w:p>
        </w:tc>
        <w:tc>
          <w:tcPr>
            <w:tcW w:w="1400" w:type="dxa"/>
            <w:vAlign w:val="bottom"/>
            <w:shd w:val="clear" w:color="auto" w:fill="0071CE"/>
          </w:tcPr>
          <w:p>
            <w:pPr>
              <w:spacing w:after="0"/>
              <w:rPr>
                <w:sz w:val="14"/>
                <w:szCs w:val="14"/>
                <w:color w:val="auto"/>
              </w:rPr>
            </w:pPr>
          </w:p>
        </w:tc>
        <w:tc>
          <w:tcPr>
            <w:tcW w:w="4600" w:type="dxa"/>
            <w:vAlign w:val="bottom"/>
            <w:shd w:val="clear" w:color="auto" w:fill="0071CE"/>
          </w:tcPr>
          <w:p>
            <w:pPr>
              <w:spacing w:after="0"/>
              <w:rPr>
                <w:sz w:val="14"/>
                <w:szCs w:val="14"/>
                <w:color w:val="auto"/>
              </w:rPr>
            </w:pPr>
          </w:p>
        </w:tc>
        <w:tc>
          <w:tcPr>
            <w:tcW w:w="3500" w:type="dxa"/>
            <w:vAlign w:val="bottom"/>
            <w:gridSpan w:val="3"/>
            <w:shd w:val="clear" w:color="auto" w:fill="0071CE"/>
          </w:tcPr>
          <w:p>
            <w:pPr>
              <w:jc w:val="center"/>
              <w:spacing w:after="0"/>
              <w:rPr>
                <w:sz w:val="20"/>
                <w:szCs w:val="20"/>
                <w:color w:val="auto"/>
              </w:rPr>
            </w:pPr>
            <w:r>
              <w:rPr>
                <w:rFonts w:ascii="Arial" w:cs="Arial" w:eastAsia="Arial" w:hAnsi="Arial"/>
                <w:sz w:val="14"/>
                <w:szCs w:val="14"/>
                <w:b w:val="1"/>
                <w:bCs w:val="1"/>
                <w:color w:val="FFFFFF"/>
              </w:rPr>
              <w:t>Number and Percentage of Shares</w:t>
            </w:r>
          </w:p>
        </w:tc>
        <w:tc>
          <w:tcPr>
            <w:tcW w:w="0" w:type="dxa"/>
            <w:vAlign w:val="bottom"/>
          </w:tcPr>
          <w:p>
            <w:pPr>
              <w:spacing w:after="0"/>
              <w:rPr>
                <w:sz w:val="1"/>
                <w:szCs w:val="1"/>
                <w:color w:val="auto"/>
              </w:rPr>
            </w:pPr>
          </w:p>
        </w:tc>
      </w:tr>
      <w:tr>
        <w:trPr>
          <w:trHeight w:val="196"/>
        </w:trPr>
        <w:tc>
          <w:tcPr>
            <w:tcW w:w="20" w:type="dxa"/>
            <w:vAlign w:val="bottom"/>
            <w:shd w:val="clear" w:color="auto" w:fill="0071CE"/>
          </w:tcPr>
          <w:p>
            <w:pPr>
              <w:spacing w:after="0"/>
              <w:rPr>
                <w:sz w:val="17"/>
                <w:szCs w:val="17"/>
                <w:color w:val="auto"/>
              </w:rPr>
            </w:pPr>
          </w:p>
        </w:tc>
        <w:tc>
          <w:tcPr>
            <w:tcW w:w="1700" w:type="dxa"/>
            <w:vAlign w:val="bottom"/>
            <w:shd w:val="clear" w:color="auto" w:fill="0071CE"/>
          </w:tcPr>
          <w:p>
            <w:pPr>
              <w:spacing w:after="0"/>
              <w:rPr>
                <w:sz w:val="17"/>
                <w:szCs w:val="17"/>
                <w:color w:val="auto"/>
              </w:rPr>
            </w:pPr>
          </w:p>
        </w:tc>
        <w:tc>
          <w:tcPr>
            <w:tcW w:w="1400" w:type="dxa"/>
            <w:vAlign w:val="bottom"/>
            <w:shd w:val="clear" w:color="auto" w:fill="0071CE"/>
          </w:tcPr>
          <w:p>
            <w:pPr>
              <w:spacing w:after="0"/>
              <w:rPr>
                <w:sz w:val="17"/>
                <w:szCs w:val="17"/>
                <w:color w:val="auto"/>
              </w:rPr>
            </w:pPr>
          </w:p>
        </w:tc>
        <w:tc>
          <w:tcPr>
            <w:tcW w:w="4600" w:type="dxa"/>
            <w:vAlign w:val="bottom"/>
            <w:shd w:val="clear" w:color="auto" w:fill="0071CE"/>
          </w:tcPr>
          <w:p>
            <w:pPr>
              <w:spacing w:after="0"/>
              <w:rPr>
                <w:sz w:val="17"/>
                <w:szCs w:val="17"/>
                <w:color w:val="auto"/>
              </w:rPr>
            </w:pPr>
          </w:p>
        </w:tc>
        <w:tc>
          <w:tcPr>
            <w:tcW w:w="3500" w:type="dxa"/>
            <w:vAlign w:val="bottom"/>
            <w:gridSpan w:val="3"/>
            <w:shd w:val="clear" w:color="auto" w:fill="0071CE"/>
          </w:tcPr>
          <w:p>
            <w:pPr>
              <w:jc w:val="center"/>
              <w:spacing w:after="0"/>
              <w:rPr>
                <w:sz w:val="20"/>
                <w:szCs w:val="20"/>
                <w:color w:val="auto"/>
              </w:rPr>
            </w:pPr>
            <w:r>
              <w:rPr>
                <w:rFonts w:ascii="Arial" w:cs="Arial" w:eastAsia="Arial" w:hAnsi="Arial"/>
                <w:sz w:val="14"/>
                <w:szCs w:val="14"/>
                <w:b w:val="1"/>
                <w:bCs w:val="1"/>
                <w:color w:val="FFFFFF"/>
              </w:rPr>
              <w:t>Beneficially Owned (1)</w:t>
            </w:r>
          </w:p>
        </w:tc>
        <w:tc>
          <w:tcPr>
            <w:tcW w:w="0" w:type="dxa"/>
            <w:vAlign w:val="bottom"/>
          </w:tcPr>
          <w:p>
            <w:pPr>
              <w:spacing w:after="0"/>
              <w:rPr>
                <w:sz w:val="1"/>
                <w:szCs w:val="1"/>
                <w:color w:val="auto"/>
              </w:rPr>
            </w:pPr>
          </w:p>
        </w:tc>
      </w:tr>
      <w:tr>
        <w:trPr>
          <w:trHeight w:val="299"/>
        </w:trPr>
        <w:tc>
          <w:tcPr>
            <w:tcW w:w="20" w:type="dxa"/>
            <w:vAlign w:val="bottom"/>
            <w:shd w:val="clear" w:color="auto" w:fill="0071CE"/>
          </w:tcPr>
          <w:p>
            <w:pPr>
              <w:spacing w:after="0"/>
              <w:rPr>
                <w:sz w:val="24"/>
                <w:szCs w:val="24"/>
                <w:color w:val="auto"/>
              </w:rPr>
            </w:pPr>
          </w:p>
        </w:tc>
        <w:tc>
          <w:tcPr>
            <w:tcW w:w="1700" w:type="dxa"/>
            <w:vAlign w:val="bottom"/>
            <w:shd w:val="clear" w:color="auto" w:fill="0071CE"/>
          </w:tcPr>
          <w:p>
            <w:pPr>
              <w:spacing w:after="0"/>
              <w:rPr>
                <w:sz w:val="24"/>
                <w:szCs w:val="24"/>
                <w:color w:val="auto"/>
              </w:rPr>
            </w:pPr>
          </w:p>
        </w:tc>
        <w:tc>
          <w:tcPr>
            <w:tcW w:w="1400" w:type="dxa"/>
            <w:vAlign w:val="bottom"/>
            <w:shd w:val="clear" w:color="auto" w:fill="0071CE"/>
          </w:tcPr>
          <w:p>
            <w:pPr>
              <w:spacing w:after="0"/>
              <w:rPr>
                <w:sz w:val="24"/>
                <w:szCs w:val="24"/>
                <w:color w:val="auto"/>
              </w:rPr>
            </w:pPr>
          </w:p>
        </w:tc>
        <w:tc>
          <w:tcPr>
            <w:tcW w:w="4600" w:type="dxa"/>
            <w:vAlign w:val="bottom"/>
            <w:shd w:val="clear" w:color="auto" w:fill="0071CE"/>
          </w:tcPr>
          <w:p>
            <w:pPr>
              <w:spacing w:after="0"/>
              <w:rPr>
                <w:sz w:val="24"/>
                <w:szCs w:val="24"/>
                <w:color w:val="auto"/>
              </w:rPr>
            </w:pPr>
          </w:p>
        </w:tc>
        <w:tc>
          <w:tcPr>
            <w:tcW w:w="1680" w:type="dxa"/>
            <w:vAlign w:val="bottom"/>
            <w:shd w:val="clear" w:color="auto" w:fill="0071CE"/>
          </w:tcPr>
          <w:p>
            <w:pPr>
              <w:jc w:val="right"/>
              <w:ind w:right="500"/>
              <w:spacing w:after="0"/>
              <w:rPr>
                <w:sz w:val="20"/>
                <w:szCs w:val="20"/>
                <w:color w:val="auto"/>
              </w:rPr>
            </w:pPr>
            <w:r>
              <w:rPr>
                <w:rFonts w:ascii="Arial" w:cs="Arial" w:eastAsia="Arial" w:hAnsi="Arial"/>
                <w:sz w:val="14"/>
                <w:szCs w:val="14"/>
                <w:b w:val="1"/>
                <w:bCs w:val="1"/>
                <w:color w:val="FFFFFF"/>
              </w:rPr>
              <w:t>Shares</w:t>
            </w:r>
          </w:p>
        </w:tc>
        <w:tc>
          <w:tcPr>
            <w:tcW w:w="140" w:type="dxa"/>
            <w:vAlign w:val="bottom"/>
            <w:shd w:val="clear" w:color="auto" w:fill="0071CE"/>
          </w:tcPr>
          <w:p>
            <w:pPr>
              <w:spacing w:after="0"/>
              <w:rPr>
                <w:sz w:val="24"/>
                <w:szCs w:val="24"/>
                <w:color w:val="auto"/>
              </w:rPr>
            </w:pPr>
          </w:p>
        </w:tc>
        <w:tc>
          <w:tcPr>
            <w:tcW w:w="1680" w:type="dxa"/>
            <w:vAlign w:val="bottom"/>
            <w:shd w:val="clear" w:color="auto" w:fill="0071CE"/>
          </w:tcPr>
          <w:p>
            <w:pPr>
              <w:jc w:val="right"/>
              <w:ind w:right="320"/>
              <w:spacing w:after="0"/>
              <w:rPr>
                <w:sz w:val="20"/>
                <w:szCs w:val="20"/>
                <w:color w:val="auto"/>
              </w:rPr>
            </w:pPr>
            <w:r>
              <w:rPr>
                <w:rFonts w:ascii="Times New Roman" w:cs="Times New Roman" w:eastAsia="Times New Roman" w:hAnsi="Times New Roman"/>
                <w:sz w:val="14"/>
                <w:szCs w:val="14"/>
                <w:b w:val="1"/>
                <w:bCs w:val="1"/>
                <w:color w:val="FFFFFF"/>
              </w:rPr>
              <w:t>Percentage</w:t>
            </w:r>
          </w:p>
        </w:tc>
        <w:tc>
          <w:tcPr>
            <w:tcW w:w="0" w:type="dxa"/>
            <w:vAlign w:val="bottom"/>
          </w:tcPr>
          <w:p>
            <w:pPr>
              <w:spacing w:after="0"/>
              <w:rPr>
                <w:sz w:val="1"/>
                <w:szCs w:val="1"/>
                <w:color w:val="auto"/>
              </w:rPr>
            </w:pPr>
          </w:p>
        </w:tc>
      </w:tr>
      <w:tr>
        <w:trPr>
          <w:trHeight w:val="196"/>
        </w:trPr>
        <w:tc>
          <w:tcPr>
            <w:tcW w:w="20" w:type="dxa"/>
            <w:vAlign w:val="bottom"/>
            <w:tcBorders>
              <w:bottom w:val="single" w:sz="8" w:color="E5E5E5"/>
            </w:tcBorders>
            <w:shd w:val="clear" w:color="auto" w:fill="E5E5E5"/>
          </w:tcPr>
          <w:p>
            <w:pPr>
              <w:spacing w:after="0"/>
              <w:rPr>
                <w:sz w:val="17"/>
                <w:szCs w:val="17"/>
                <w:color w:val="auto"/>
              </w:rPr>
            </w:pPr>
          </w:p>
        </w:tc>
        <w:tc>
          <w:tcPr>
            <w:tcW w:w="1700" w:type="dxa"/>
            <w:vAlign w:val="bottom"/>
            <w:tcBorders>
              <w:bottom w:val="single" w:sz="8" w:color="auto"/>
            </w:tcBorders>
            <w:shd w:val="clear" w:color="auto" w:fill="E5E5E5"/>
          </w:tcPr>
          <w:p>
            <w:pPr>
              <w:spacing w:after="0" w:line="175" w:lineRule="exact"/>
              <w:rPr>
                <w:sz w:val="20"/>
                <w:szCs w:val="20"/>
                <w:color w:val="auto"/>
              </w:rPr>
            </w:pPr>
            <w:r>
              <w:rPr>
                <w:rFonts w:ascii="Arial" w:cs="Arial" w:eastAsia="Arial" w:hAnsi="Arial"/>
                <w:sz w:val="16"/>
                <w:szCs w:val="16"/>
                <w:b w:val="1"/>
                <w:bCs w:val="1"/>
                <w:color w:val="auto"/>
              </w:rPr>
              <w:t>5% Beneficial Owners</w:t>
            </w:r>
          </w:p>
        </w:tc>
        <w:tc>
          <w:tcPr>
            <w:tcW w:w="6000" w:type="dxa"/>
            <w:vAlign w:val="bottom"/>
            <w:tcBorders>
              <w:bottom w:val="single" w:sz="8" w:color="E5E5E5"/>
            </w:tcBorders>
            <w:gridSpan w:val="2"/>
            <w:shd w:val="clear" w:color="auto" w:fill="E5E5E5"/>
          </w:tcPr>
          <w:p>
            <w:pPr>
              <w:spacing w:after="0"/>
              <w:rPr>
                <w:sz w:val="17"/>
                <w:szCs w:val="17"/>
                <w:color w:val="auto"/>
              </w:rPr>
            </w:pPr>
          </w:p>
        </w:tc>
        <w:tc>
          <w:tcPr>
            <w:tcW w:w="1680" w:type="dxa"/>
            <w:vAlign w:val="bottom"/>
            <w:tcBorders>
              <w:bottom w:val="single" w:sz="8" w:color="E5E5E5"/>
            </w:tcBorders>
            <w:shd w:val="clear" w:color="auto" w:fill="E5E5E5"/>
          </w:tcPr>
          <w:p>
            <w:pPr>
              <w:spacing w:after="0"/>
              <w:rPr>
                <w:sz w:val="17"/>
                <w:szCs w:val="17"/>
                <w:color w:val="auto"/>
              </w:rPr>
            </w:pPr>
          </w:p>
        </w:tc>
        <w:tc>
          <w:tcPr>
            <w:tcW w:w="140" w:type="dxa"/>
            <w:vAlign w:val="bottom"/>
            <w:tcBorders>
              <w:bottom w:val="single" w:sz="8" w:color="E5E5E5"/>
            </w:tcBorders>
            <w:shd w:val="clear" w:color="auto" w:fill="E5E5E5"/>
          </w:tcPr>
          <w:p>
            <w:pPr>
              <w:spacing w:after="0"/>
              <w:rPr>
                <w:sz w:val="17"/>
                <w:szCs w:val="17"/>
                <w:color w:val="auto"/>
              </w:rPr>
            </w:pPr>
          </w:p>
        </w:tc>
        <w:tc>
          <w:tcPr>
            <w:tcW w:w="1680" w:type="dxa"/>
            <w:vAlign w:val="bottom"/>
            <w:tcBorders>
              <w:bottom w:val="single" w:sz="8" w:color="E5E5E5"/>
            </w:tcBorders>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720" w:type="dxa"/>
            <w:vAlign w:val="bottom"/>
            <w:gridSpan w:val="4"/>
          </w:tcPr>
          <w:p>
            <w:pPr>
              <w:ind w:left="20"/>
              <w:spacing w:after="0" w:line="162" w:lineRule="exact"/>
              <w:rPr>
                <w:sz w:val="20"/>
                <w:szCs w:val="20"/>
                <w:color w:val="auto"/>
              </w:rPr>
            </w:pPr>
            <w:r>
              <w:rPr>
                <w:rFonts w:ascii="Arial" w:cs="Arial" w:eastAsia="Arial" w:hAnsi="Arial"/>
                <w:sz w:val="16"/>
                <w:szCs w:val="16"/>
                <w:color w:val="auto"/>
              </w:rPr>
              <w:t>BlackRock Inc (2)</w:t>
            </w: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7720" w:type="dxa"/>
            <w:vAlign w:val="bottom"/>
            <w:gridSpan w:val="4"/>
          </w:tcPr>
          <w:p>
            <w:pPr>
              <w:ind w:left="20"/>
              <w:spacing w:after="0"/>
              <w:rPr>
                <w:sz w:val="20"/>
                <w:szCs w:val="20"/>
                <w:color w:val="auto"/>
              </w:rPr>
            </w:pPr>
            <w:r>
              <w:rPr>
                <w:rFonts w:ascii="Arial" w:cs="Arial" w:eastAsia="Arial" w:hAnsi="Arial"/>
                <w:sz w:val="16"/>
                <w:szCs w:val="16"/>
                <w:color w:val="auto"/>
              </w:rPr>
              <w:t>55 East 52nd Street, New York, NY 10055</w:t>
            </w:r>
          </w:p>
        </w:tc>
        <w:tc>
          <w:tcPr>
            <w:tcW w:w="1680" w:type="dxa"/>
            <w:vAlign w:val="bottom"/>
          </w:tcPr>
          <w:p>
            <w:pPr>
              <w:jc w:val="right"/>
              <w:spacing w:after="0"/>
              <w:rPr>
                <w:sz w:val="20"/>
                <w:szCs w:val="20"/>
                <w:color w:val="auto"/>
              </w:rPr>
            </w:pPr>
            <w:r>
              <w:rPr>
                <w:rFonts w:ascii="Arial" w:cs="Arial" w:eastAsia="Arial" w:hAnsi="Arial"/>
                <w:sz w:val="16"/>
                <w:szCs w:val="16"/>
                <w:color w:val="auto"/>
              </w:rPr>
              <w:t>13,303,281</w:t>
            </w:r>
          </w:p>
        </w:tc>
        <w:tc>
          <w:tcPr>
            <w:tcW w:w="140" w:type="dxa"/>
            <w:vAlign w:val="bottom"/>
          </w:tcPr>
          <w:p>
            <w:pPr>
              <w:spacing w:after="0"/>
              <w:rPr>
                <w:sz w:val="19"/>
                <w:szCs w:val="19"/>
                <w:color w:val="auto"/>
              </w:rPr>
            </w:pPr>
          </w:p>
        </w:tc>
        <w:tc>
          <w:tcPr>
            <w:tcW w:w="1680" w:type="dxa"/>
            <w:vAlign w:val="bottom"/>
          </w:tcPr>
          <w:p>
            <w:pPr>
              <w:jc w:val="right"/>
              <w:ind w:right="16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63"/>
        </w:trPr>
        <w:tc>
          <w:tcPr>
            <w:tcW w:w="7720" w:type="dxa"/>
            <w:vAlign w:val="bottom"/>
            <w:gridSpan w:val="4"/>
            <w:shd w:val="clear" w:color="auto" w:fill="E5E5E5"/>
          </w:tcPr>
          <w:p>
            <w:pPr>
              <w:ind w:left="20"/>
              <w:spacing w:after="0" w:line="163" w:lineRule="exact"/>
              <w:rPr>
                <w:sz w:val="20"/>
                <w:szCs w:val="20"/>
                <w:color w:val="auto"/>
              </w:rPr>
            </w:pPr>
            <w:r>
              <w:rPr>
                <w:rFonts w:ascii="Arial" w:cs="Arial" w:eastAsia="Arial" w:hAnsi="Arial"/>
                <w:sz w:val="16"/>
                <w:szCs w:val="16"/>
                <w:color w:val="auto"/>
              </w:rPr>
              <w:t>The Vanguard Group (3)</w:t>
            </w:r>
          </w:p>
        </w:tc>
        <w:tc>
          <w:tcPr>
            <w:tcW w:w="1680" w:type="dxa"/>
            <w:vAlign w:val="bottom"/>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168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20" w:type="dxa"/>
            <w:vAlign w:val="bottom"/>
            <w:gridSpan w:val="4"/>
            <w:shd w:val="clear" w:color="auto" w:fill="E5E5E5"/>
          </w:tcPr>
          <w:p>
            <w:pPr>
              <w:ind w:left="20"/>
              <w:spacing w:after="0"/>
              <w:rPr>
                <w:sz w:val="20"/>
                <w:szCs w:val="20"/>
                <w:color w:val="auto"/>
              </w:rPr>
            </w:pPr>
            <w:r>
              <w:rPr>
                <w:rFonts w:ascii="Arial" w:cs="Arial" w:eastAsia="Arial" w:hAnsi="Arial"/>
                <w:sz w:val="16"/>
                <w:szCs w:val="16"/>
                <w:color w:val="auto"/>
              </w:rPr>
              <w:t>100 Vanguard Blvd., Malvern, PA 19355</w:t>
            </w:r>
          </w:p>
        </w:tc>
        <w:tc>
          <w:tcPr>
            <w:tcW w:w="1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12,404,050</w:t>
            </w:r>
          </w:p>
        </w:tc>
        <w:tc>
          <w:tcPr>
            <w:tcW w:w="140" w:type="dxa"/>
            <w:vAlign w:val="bottom"/>
            <w:shd w:val="clear" w:color="auto" w:fill="E5E5E5"/>
          </w:tcPr>
          <w:p>
            <w:pPr>
              <w:spacing w:after="0"/>
              <w:rPr>
                <w:sz w:val="19"/>
                <w:szCs w:val="19"/>
                <w:color w:val="auto"/>
              </w:rPr>
            </w:pPr>
          </w:p>
        </w:tc>
        <w:tc>
          <w:tcPr>
            <w:tcW w:w="1680" w:type="dxa"/>
            <w:vAlign w:val="bottom"/>
            <w:shd w:val="clear" w:color="auto" w:fill="E5E5E5"/>
          </w:tcPr>
          <w:p>
            <w:pPr>
              <w:jc w:val="right"/>
              <w:ind w:right="16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62"/>
        </w:trPr>
        <w:tc>
          <w:tcPr>
            <w:tcW w:w="7720" w:type="dxa"/>
            <w:vAlign w:val="bottom"/>
            <w:gridSpan w:val="4"/>
          </w:tcPr>
          <w:p>
            <w:pPr>
              <w:ind w:left="20"/>
              <w:spacing w:after="0" w:line="162" w:lineRule="exact"/>
              <w:rPr>
                <w:sz w:val="20"/>
                <w:szCs w:val="20"/>
                <w:color w:val="auto"/>
              </w:rPr>
            </w:pPr>
            <w:r>
              <w:rPr>
                <w:rFonts w:ascii="Arial" w:cs="Arial" w:eastAsia="Arial" w:hAnsi="Arial"/>
                <w:sz w:val="16"/>
                <w:szCs w:val="16"/>
                <w:color w:val="auto"/>
              </w:rPr>
              <w:t>Avoro Capital Advisors LLC (4)</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8,888,888</w:t>
            </w:r>
          </w:p>
        </w:tc>
        <w:tc>
          <w:tcPr>
            <w:tcW w:w="140" w:type="dxa"/>
            <w:vAlign w:val="bottom"/>
          </w:tcPr>
          <w:p>
            <w:pPr>
              <w:spacing w:after="0"/>
              <w:rPr>
                <w:sz w:val="14"/>
                <w:szCs w:val="14"/>
                <w:color w:val="auto"/>
              </w:rPr>
            </w:pPr>
          </w:p>
        </w:tc>
        <w:tc>
          <w:tcPr>
            <w:tcW w:w="1680" w:type="dxa"/>
            <w:vAlign w:val="bottom"/>
            <w:vMerge w:val="restart"/>
          </w:tcPr>
          <w:p>
            <w:pPr>
              <w:jc w:val="right"/>
              <w:ind w:right="16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5"/>
        </w:trPr>
        <w:tc>
          <w:tcPr>
            <w:tcW w:w="7720" w:type="dxa"/>
            <w:vAlign w:val="bottom"/>
            <w:gridSpan w:val="4"/>
          </w:tcPr>
          <w:p>
            <w:pPr>
              <w:ind w:left="20"/>
              <w:spacing w:after="0"/>
              <w:rPr>
                <w:sz w:val="20"/>
                <w:szCs w:val="20"/>
                <w:color w:val="auto"/>
              </w:rPr>
            </w:pPr>
            <w:r>
              <w:rPr>
                <w:rFonts w:ascii="Arial" w:cs="Arial" w:eastAsia="Arial" w:hAnsi="Arial"/>
                <w:sz w:val="16"/>
                <w:szCs w:val="16"/>
                <w:color w:val="auto"/>
              </w:rPr>
              <w:t>110 Greene Street, Suite 800, New York, NY 10012</w:t>
            </w:r>
          </w:p>
        </w:tc>
        <w:tc>
          <w:tcPr>
            <w:tcW w:w="16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720" w:type="dxa"/>
            <w:vAlign w:val="bottom"/>
            <w:gridSpan w:val="4"/>
            <w:shd w:val="clear" w:color="auto" w:fill="E5E5E5"/>
          </w:tcPr>
          <w:p>
            <w:pPr>
              <w:ind w:left="20"/>
              <w:spacing w:after="0" w:line="163" w:lineRule="exact"/>
              <w:rPr>
                <w:sz w:val="20"/>
                <w:szCs w:val="20"/>
                <w:color w:val="auto"/>
              </w:rPr>
            </w:pPr>
            <w:r>
              <w:rPr>
                <w:rFonts w:ascii="Arial" w:cs="Arial" w:eastAsia="Arial" w:hAnsi="Arial"/>
                <w:sz w:val="16"/>
                <w:szCs w:val="16"/>
                <w:color w:val="auto"/>
              </w:rPr>
              <w:t>State Street Corporation (5)</w:t>
            </w:r>
          </w:p>
        </w:tc>
        <w:tc>
          <w:tcPr>
            <w:tcW w:w="168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6,354,331</w:t>
            </w:r>
          </w:p>
        </w:tc>
        <w:tc>
          <w:tcPr>
            <w:tcW w:w="140" w:type="dxa"/>
            <w:vAlign w:val="bottom"/>
            <w:shd w:val="clear" w:color="auto" w:fill="E5E5E5"/>
          </w:tcPr>
          <w:p>
            <w:pPr>
              <w:spacing w:after="0"/>
              <w:rPr>
                <w:sz w:val="14"/>
                <w:szCs w:val="14"/>
                <w:color w:val="auto"/>
              </w:rPr>
            </w:pPr>
          </w:p>
        </w:tc>
        <w:tc>
          <w:tcPr>
            <w:tcW w:w="1680" w:type="dxa"/>
            <w:vAlign w:val="bottom"/>
            <w:vMerge w:val="restart"/>
            <w:shd w:val="clear" w:color="auto" w:fill="E5E5E5"/>
          </w:tcPr>
          <w:p>
            <w:pPr>
              <w:jc w:val="right"/>
              <w:ind w:right="16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6"/>
        </w:trPr>
        <w:tc>
          <w:tcPr>
            <w:tcW w:w="7720" w:type="dxa"/>
            <w:vAlign w:val="bottom"/>
            <w:gridSpan w:val="4"/>
            <w:shd w:val="clear" w:color="auto" w:fill="E5E5E5"/>
          </w:tcPr>
          <w:p>
            <w:pPr>
              <w:ind w:left="20"/>
              <w:spacing w:after="0"/>
              <w:rPr>
                <w:sz w:val="20"/>
                <w:szCs w:val="20"/>
                <w:color w:val="auto"/>
              </w:rPr>
            </w:pPr>
            <w:r>
              <w:rPr>
                <w:rFonts w:ascii="Arial" w:cs="Arial" w:eastAsia="Arial" w:hAnsi="Arial"/>
                <w:sz w:val="16"/>
                <w:szCs w:val="16"/>
                <w:color w:val="auto"/>
              </w:rPr>
              <w:t>One Congress Street, Suite 1, Boston MA 02114</w:t>
            </w:r>
          </w:p>
        </w:tc>
        <w:tc>
          <w:tcPr>
            <w:tcW w:w="1680" w:type="dxa"/>
            <w:vAlign w:val="bottom"/>
            <w:vMerge w:val="continue"/>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1680" w:type="dxa"/>
            <w:vAlign w:val="bottom"/>
            <w:vMerge w:val="continue"/>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720" w:type="dxa"/>
            <w:vAlign w:val="bottom"/>
            <w:gridSpan w:val="4"/>
          </w:tcPr>
          <w:p>
            <w:pPr>
              <w:ind w:left="20"/>
              <w:spacing w:after="0" w:line="175" w:lineRule="exact"/>
              <w:rPr>
                <w:sz w:val="20"/>
                <w:szCs w:val="20"/>
                <w:color w:val="auto"/>
              </w:rPr>
            </w:pPr>
            <w:r>
              <w:rPr>
                <w:rFonts w:ascii="Arial" w:cs="Arial" w:eastAsia="Arial" w:hAnsi="Arial"/>
                <w:sz w:val="16"/>
                <w:szCs w:val="16"/>
                <w:b w:val="1"/>
                <w:bCs w:val="1"/>
                <w:color w:val="auto"/>
              </w:rPr>
              <w:t>Named Executive Officers and Directors</w:t>
            </w:r>
          </w:p>
        </w:tc>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E5E5E5"/>
          </w:tcPr>
          <w:p>
            <w:pPr>
              <w:spacing w:after="0"/>
              <w:rPr>
                <w:sz w:val="18"/>
                <w:szCs w:val="18"/>
                <w:color w:val="auto"/>
              </w:rPr>
            </w:pPr>
          </w:p>
        </w:tc>
        <w:tc>
          <w:tcPr>
            <w:tcW w:w="7700" w:type="dxa"/>
            <w:vAlign w:val="bottom"/>
            <w:gridSpan w:val="3"/>
            <w:shd w:val="clear" w:color="auto" w:fill="E5E5E5"/>
          </w:tcPr>
          <w:p>
            <w:pPr>
              <w:ind w:left="420"/>
              <w:spacing w:after="0"/>
              <w:rPr>
                <w:sz w:val="20"/>
                <w:szCs w:val="20"/>
                <w:color w:val="auto"/>
              </w:rPr>
            </w:pPr>
            <w:r>
              <w:rPr>
                <w:rFonts w:ascii="Arial" w:cs="Arial" w:eastAsia="Arial" w:hAnsi="Arial"/>
                <w:sz w:val="16"/>
                <w:szCs w:val="16"/>
                <w:color w:val="auto"/>
              </w:rPr>
              <w:t>Christopher Anzalone (4)</w:t>
            </w:r>
          </w:p>
        </w:tc>
        <w:tc>
          <w:tcPr>
            <w:tcW w:w="1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3,764,252</w:t>
            </w:r>
          </w:p>
        </w:tc>
        <w:tc>
          <w:tcPr>
            <w:tcW w:w="140" w:type="dxa"/>
            <w:vAlign w:val="bottom"/>
            <w:shd w:val="clear" w:color="auto" w:fill="E5E5E5"/>
          </w:tcPr>
          <w:p>
            <w:pPr>
              <w:spacing w:after="0"/>
              <w:rPr>
                <w:sz w:val="18"/>
                <w:szCs w:val="18"/>
                <w:color w:val="auto"/>
              </w:rPr>
            </w:pPr>
          </w:p>
        </w:tc>
        <w:tc>
          <w:tcPr>
            <w:tcW w:w="1680" w:type="dxa"/>
            <w:vAlign w:val="bottom"/>
            <w:shd w:val="clear" w:color="auto" w:fill="E5E5E5"/>
          </w:tcPr>
          <w:p>
            <w:pPr>
              <w:jc w:val="right"/>
              <w:ind w:right="16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00" w:type="dxa"/>
            <w:vAlign w:val="bottom"/>
            <w:gridSpan w:val="3"/>
          </w:tcPr>
          <w:p>
            <w:pPr>
              <w:ind w:left="420"/>
              <w:spacing w:after="0"/>
              <w:rPr>
                <w:sz w:val="20"/>
                <w:szCs w:val="20"/>
                <w:color w:val="auto"/>
              </w:rPr>
            </w:pPr>
            <w:r>
              <w:rPr>
                <w:rFonts w:ascii="Arial" w:cs="Arial" w:eastAsia="Arial" w:hAnsi="Arial"/>
                <w:sz w:val="16"/>
                <w:szCs w:val="16"/>
                <w:color w:val="auto"/>
              </w:rPr>
              <w:t>Patrick O’Brien</w:t>
            </w:r>
          </w:p>
        </w:tc>
        <w:tc>
          <w:tcPr>
            <w:tcW w:w="1680" w:type="dxa"/>
            <w:vAlign w:val="bottom"/>
          </w:tcPr>
          <w:p>
            <w:pPr>
              <w:jc w:val="right"/>
              <w:spacing w:after="0"/>
              <w:rPr>
                <w:sz w:val="20"/>
                <w:szCs w:val="20"/>
                <w:color w:val="auto"/>
              </w:rPr>
            </w:pPr>
            <w:r>
              <w:rPr>
                <w:rFonts w:ascii="Arial" w:cs="Arial" w:eastAsia="Arial" w:hAnsi="Arial"/>
                <w:sz w:val="16"/>
                <w:szCs w:val="16"/>
                <w:color w:val="auto"/>
              </w:rPr>
              <w:t>527,201</w:t>
            </w:r>
          </w:p>
        </w:tc>
        <w:tc>
          <w:tcPr>
            <w:tcW w:w="140" w:type="dxa"/>
            <w:vAlign w:val="bottom"/>
          </w:tcPr>
          <w:p>
            <w:pPr>
              <w:spacing w:after="0"/>
              <w:rPr>
                <w:sz w:val="18"/>
                <w:szCs w:val="18"/>
                <w:color w:val="auto"/>
              </w:rPr>
            </w:pPr>
          </w:p>
        </w:tc>
        <w:tc>
          <w:tcPr>
            <w:tcW w:w="16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shd w:val="clear" w:color="auto" w:fill="E5E5E5"/>
          </w:tcPr>
          <w:p>
            <w:pPr>
              <w:spacing w:after="0"/>
              <w:rPr>
                <w:sz w:val="18"/>
                <w:szCs w:val="18"/>
                <w:color w:val="auto"/>
              </w:rPr>
            </w:pPr>
          </w:p>
        </w:tc>
        <w:tc>
          <w:tcPr>
            <w:tcW w:w="7700" w:type="dxa"/>
            <w:vAlign w:val="bottom"/>
            <w:gridSpan w:val="3"/>
            <w:shd w:val="clear" w:color="auto" w:fill="E5E5E5"/>
          </w:tcPr>
          <w:p>
            <w:pPr>
              <w:ind w:left="420"/>
              <w:spacing w:after="0"/>
              <w:rPr>
                <w:sz w:val="20"/>
                <w:szCs w:val="20"/>
                <w:color w:val="auto"/>
              </w:rPr>
            </w:pPr>
            <w:r>
              <w:rPr>
                <w:rFonts w:ascii="Arial" w:cs="Arial" w:eastAsia="Arial" w:hAnsi="Arial"/>
                <w:sz w:val="16"/>
                <w:szCs w:val="16"/>
                <w:color w:val="auto"/>
              </w:rPr>
              <w:t>Kenneth Myszkowski</w:t>
            </w:r>
          </w:p>
        </w:tc>
        <w:tc>
          <w:tcPr>
            <w:tcW w:w="16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16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E5E5E5"/>
          </w:tcPr>
          <w:p>
            <w:pPr>
              <w:spacing w:after="0"/>
              <w:rPr>
                <w:sz w:val="21"/>
                <w:szCs w:val="21"/>
                <w:color w:val="auto"/>
              </w:rPr>
            </w:pPr>
          </w:p>
        </w:tc>
        <w:tc>
          <w:tcPr>
            <w:tcW w:w="1700" w:type="dxa"/>
            <w:vAlign w:val="bottom"/>
            <w:shd w:val="clear" w:color="auto" w:fill="E5E5E5"/>
          </w:tcPr>
          <w:p>
            <w:pPr>
              <w:spacing w:after="0"/>
              <w:rPr>
                <w:sz w:val="21"/>
                <w:szCs w:val="21"/>
                <w:color w:val="auto"/>
              </w:rPr>
            </w:pPr>
          </w:p>
        </w:tc>
        <w:tc>
          <w:tcPr>
            <w:tcW w:w="1400" w:type="dxa"/>
            <w:vAlign w:val="bottom"/>
            <w:shd w:val="clear" w:color="auto" w:fill="E5E5E5"/>
          </w:tcPr>
          <w:p>
            <w:pPr>
              <w:spacing w:after="0"/>
              <w:rPr>
                <w:sz w:val="21"/>
                <w:szCs w:val="21"/>
                <w:color w:val="auto"/>
              </w:rPr>
            </w:pPr>
          </w:p>
        </w:tc>
        <w:tc>
          <w:tcPr>
            <w:tcW w:w="4600" w:type="dxa"/>
            <w:vAlign w:val="bottom"/>
            <w:shd w:val="clear" w:color="auto" w:fill="E5E5E5"/>
          </w:tcPr>
          <w:p>
            <w:pPr>
              <w:spacing w:after="0"/>
              <w:rPr>
                <w:sz w:val="21"/>
                <w:szCs w:val="21"/>
                <w:color w:val="auto"/>
              </w:rPr>
            </w:pPr>
          </w:p>
        </w:tc>
        <w:tc>
          <w:tcPr>
            <w:tcW w:w="1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455,433</w:t>
            </w:r>
          </w:p>
        </w:tc>
        <w:tc>
          <w:tcPr>
            <w:tcW w:w="140" w:type="dxa"/>
            <w:vAlign w:val="bottom"/>
            <w:shd w:val="clear" w:color="auto" w:fill="E5E5E5"/>
          </w:tcPr>
          <w:p>
            <w:pPr>
              <w:spacing w:after="0"/>
              <w:rPr>
                <w:sz w:val="21"/>
                <w:szCs w:val="21"/>
                <w:color w:val="auto"/>
              </w:rPr>
            </w:pPr>
          </w:p>
        </w:tc>
        <w:tc>
          <w:tcPr>
            <w:tcW w:w="1680" w:type="dxa"/>
            <w:vAlign w:val="bottom"/>
            <w:shd w:val="clear" w:color="auto" w:fill="E5E5E5"/>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00" w:type="dxa"/>
            <w:vAlign w:val="bottom"/>
            <w:gridSpan w:val="3"/>
          </w:tcPr>
          <w:p>
            <w:pPr>
              <w:ind w:left="420"/>
              <w:spacing w:after="0"/>
              <w:rPr>
                <w:sz w:val="20"/>
                <w:szCs w:val="20"/>
                <w:color w:val="auto"/>
              </w:rPr>
            </w:pPr>
            <w:r>
              <w:rPr>
                <w:rFonts w:ascii="Arial" w:cs="Arial" w:eastAsia="Arial" w:hAnsi="Arial"/>
                <w:sz w:val="16"/>
                <w:szCs w:val="16"/>
                <w:color w:val="auto"/>
              </w:rPr>
              <w:t>James Hamilton</w:t>
            </w:r>
          </w:p>
        </w:tc>
        <w:tc>
          <w:tcPr>
            <w:tcW w:w="1680" w:type="dxa"/>
            <w:vAlign w:val="bottom"/>
          </w:tcPr>
          <w:p>
            <w:pPr>
              <w:jc w:val="right"/>
              <w:spacing w:after="0"/>
              <w:rPr>
                <w:sz w:val="20"/>
                <w:szCs w:val="20"/>
                <w:color w:val="auto"/>
              </w:rPr>
            </w:pPr>
            <w:r>
              <w:rPr>
                <w:rFonts w:ascii="Arial" w:cs="Arial" w:eastAsia="Arial" w:hAnsi="Arial"/>
                <w:sz w:val="16"/>
                <w:szCs w:val="16"/>
                <w:color w:val="auto"/>
              </w:rPr>
              <w:t>272,122</w:t>
            </w:r>
          </w:p>
        </w:tc>
        <w:tc>
          <w:tcPr>
            <w:tcW w:w="140" w:type="dxa"/>
            <w:vAlign w:val="bottom"/>
          </w:tcPr>
          <w:p>
            <w:pPr>
              <w:spacing w:after="0"/>
              <w:rPr>
                <w:sz w:val="18"/>
                <w:szCs w:val="18"/>
                <w:color w:val="auto"/>
              </w:rPr>
            </w:pPr>
          </w:p>
        </w:tc>
        <w:tc>
          <w:tcPr>
            <w:tcW w:w="16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shd w:val="clear" w:color="auto" w:fill="E5E5E5"/>
          </w:tcPr>
          <w:p>
            <w:pPr>
              <w:spacing w:after="0"/>
              <w:rPr>
                <w:sz w:val="18"/>
                <w:szCs w:val="18"/>
                <w:color w:val="auto"/>
              </w:rPr>
            </w:pPr>
          </w:p>
        </w:tc>
        <w:tc>
          <w:tcPr>
            <w:tcW w:w="7700" w:type="dxa"/>
            <w:vAlign w:val="bottom"/>
            <w:gridSpan w:val="3"/>
            <w:shd w:val="clear" w:color="auto" w:fill="E5E5E5"/>
          </w:tcPr>
          <w:p>
            <w:pPr>
              <w:ind w:left="420"/>
              <w:spacing w:after="0"/>
              <w:rPr>
                <w:sz w:val="20"/>
                <w:szCs w:val="20"/>
                <w:color w:val="auto"/>
              </w:rPr>
            </w:pPr>
            <w:r>
              <w:rPr>
                <w:rFonts w:ascii="Arial" w:cs="Arial" w:eastAsia="Arial" w:hAnsi="Arial"/>
                <w:sz w:val="16"/>
                <w:szCs w:val="16"/>
                <w:color w:val="auto"/>
              </w:rPr>
              <w:t>Javier San Martin</w:t>
            </w:r>
          </w:p>
        </w:tc>
        <w:tc>
          <w:tcPr>
            <w:tcW w:w="1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198,497</w:t>
            </w:r>
          </w:p>
        </w:tc>
        <w:tc>
          <w:tcPr>
            <w:tcW w:w="140" w:type="dxa"/>
            <w:vAlign w:val="bottom"/>
            <w:shd w:val="clear" w:color="auto" w:fill="E5E5E5"/>
          </w:tcPr>
          <w:p>
            <w:pPr>
              <w:spacing w:after="0"/>
              <w:rPr>
                <w:sz w:val="18"/>
                <w:szCs w:val="18"/>
                <w:color w:val="auto"/>
              </w:rPr>
            </w:pPr>
          </w:p>
        </w:tc>
        <w:tc>
          <w:tcPr>
            <w:tcW w:w="1680" w:type="dxa"/>
            <w:vAlign w:val="bottom"/>
            <w:shd w:val="clear" w:color="auto" w:fill="E5E5E5"/>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00" w:type="dxa"/>
            <w:vAlign w:val="bottom"/>
            <w:gridSpan w:val="3"/>
          </w:tcPr>
          <w:p>
            <w:pPr>
              <w:ind w:left="420"/>
              <w:spacing w:after="0"/>
              <w:rPr>
                <w:sz w:val="20"/>
                <w:szCs w:val="20"/>
                <w:color w:val="auto"/>
              </w:rPr>
            </w:pPr>
            <w:r>
              <w:rPr>
                <w:rFonts w:ascii="Arial" w:cs="Arial" w:eastAsia="Arial" w:hAnsi="Arial"/>
                <w:sz w:val="16"/>
                <w:szCs w:val="16"/>
                <w:color w:val="auto"/>
              </w:rPr>
              <w:t>Tracie Oliver</w:t>
            </w:r>
          </w:p>
        </w:tc>
        <w:tc>
          <w:tcPr>
            <w:tcW w:w="1680" w:type="dxa"/>
            <w:vAlign w:val="bottom"/>
          </w:tcPr>
          <w:p>
            <w:pPr>
              <w:jc w:val="right"/>
              <w:spacing w:after="0"/>
              <w:rPr>
                <w:sz w:val="20"/>
                <w:szCs w:val="20"/>
                <w:color w:val="auto"/>
              </w:rPr>
            </w:pPr>
            <w:r>
              <w:rPr>
                <w:rFonts w:ascii="Arial" w:cs="Arial" w:eastAsia="Arial" w:hAnsi="Arial"/>
                <w:sz w:val="16"/>
                <w:szCs w:val="16"/>
                <w:color w:val="auto"/>
              </w:rPr>
              <w:t>127,107</w:t>
            </w:r>
          </w:p>
        </w:tc>
        <w:tc>
          <w:tcPr>
            <w:tcW w:w="140" w:type="dxa"/>
            <w:vAlign w:val="bottom"/>
          </w:tcPr>
          <w:p>
            <w:pPr>
              <w:spacing w:after="0"/>
              <w:rPr>
                <w:sz w:val="18"/>
                <w:szCs w:val="18"/>
                <w:color w:val="auto"/>
              </w:rPr>
            </w:pPr>
          </w:p>
        </w:tc>
        <w:tc>
          <w:tcPr>
            <w:tcW w:w="16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shd w:val="clear" w:color="auto" w:fill="E5E5E5"/>
          </w:tcPr>
          <w:p>
            <w:pPr>
              <w:spacing w:after="0"/>
              <w:rPr>
                <w:sz w:val="18"/>
                <w:szCs w:val="18"/>
                <w:color w:val="auto"/>
              </w:rPr>
            </w:pPr>
          </w:p>
        </w:tc>
        <w:tc>
          <w:tcPr>
            <w:tcW w:w="7700" w:type="dxa"/>
            <w:vAlign w:val="bottom"/>
            <w:gridSpan w:val="3"/>
            <w:shd w:val="clear" w:color="auto" w:fill="E5E5E5"/>
          </w:tcPr>
          <w:p>
            <w:pPr>
              <w:ind w:left="420"/>
              <w:spacing w:after="0"/>
              <w:rPr>
                <w:sz w:val="20"/>
                <w:szCs w:val="20"/>
                <w:color w:val="auto"/>
              </w:rPr>
            </w:pPr>
            <w:r>
              <w:rPr>
                <w:rFonts w:ascii="Arial" w:cs="Arial" w:eastAsia="Arial" w:hAnsi="Arial"/>
                <w:sz w:val="16"/>
                <w:szCs w:val="16"/>
                <w:color w:val="auto"/>
              </w:rPr>
              <w:t>Michael S. Perry</w:t>
            </w:r>
          </w:p>
        </w:tc>
        <w:tc>
          <w:tcPr>
            <w:tcW w:w="1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131,490</w:t>
            </w:r>
          </w:p>
        </w:tc>
        <w:tc>
          <w:tcPr>
            <w:tcW w:w="140" w:type="dxa"/>
            <w:vAlign w:val="bottom"/>
            <w:shd w:val="clear" w:color="auto" w:fill="E5E5E5"/>
          </w:tcPr>
          <w:p>
            <w:pPr>
              <w:spacing w:after="0"/>
              <w:rPr>
                <w:sz w:val="18"/>
                <w:szCs w:val="18"/>
                <w:color w:val="auto"/>
              </w:rPr>
            </w:pPr>
          </w:p>
        </w:tc>
        <w:tc>
          <w:tcPr>
            <w:tcW w:w="1680" w:type="dxa"/>
            <w:vAlign w:val="bottom"/>
            <w:shd w:val="clear" w:color="auto" w:fill="E5E5E5"/>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00" w:type="dxa"/>
            <w:vAlign w:val="bottom"/>
            <w:gridSpan w:val="3"/>
          </w:tcPr>
          <w:p>
            <w:pPr>
              <w:ind w:left="420"/>
              <w:spacing w:after="0"/>
              <w:rPr>
                <w:sz w:val="20"/>
                <w:szCs w:val="20"/>
                <w:color w:val="auto"/>
              </w:rPr>
            </w:pPr>
            <w:r>
              <w:rPr>
                <w:rFonts w:ascii="Arial" w:cs="Arial" w:eastAsia="Arial" w:hAnsi="Arial"/>
                <w:sz w:val="16"/>
                <w:szCs w:val="16"/>
                <w:color w:val="auto"/>
              </w:rPr>
              <w:t>Mauro Ferrari</w:t>
            </w:r>
          </w:p>
        </w:tc>
        <w:tc>
          <w:tcPr>
            <w:tcW w:w="1680" w:type="dxa"/>
            <w:vAlign w:val="bottom"/>
          </w:tcPr>
          <w:p>
            <w:pPr>
              <w:jc w:val="right"/>
              <w:spacing w:after="0"/>
              <w:rPr>
                <w:sz w:val="20"/>
                <w:szCs w:val="20"/>
                <w:color w:val="auto"/>
              </w:rPr>
            </w:pPr>
            <w:r>
              <w:rPr>
                <w:rFonts w:ascii="Arial" w:cs="Arial" w:eastAsia="Arial" w:hAnsi="Arial"/>
                <w:sz w:val="16"/>
                <w:szCs w:val="16"/>
                <w:color w:val="auto"/>
              </w:rPr>
              <w:t>77,514</w:t>
            </w:r>
          </w:p>
        </w:tc>
        <w:tc>
          <w:tcPr>
            <w:tcW w:w="140" w:type="dxa"/>
            <w:vAlign w:val="bottom"/>
          </w:tcPr>
          <w:p>
            <w:pPr>
              <w:spacing w:after="0"/>
              <w:rPr>
                <w:sz w:val="18"/>
                <w:szCs w:val="18"/>
                <w:color w:val="auto"/>
              </w:rPr>
            </w:pPr>
          </w:p>
        </w:tc>
        <w:tc>
          <w:tcPr>
            <w:tcW w:w="16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shd w:val="clear" w:color="auto" w:fill="E5E5E5"/>
          </w:tcPr>
          <w:p>
            <w:pPr>
              <w:spacing w:after="0"/>
              <w:rPr>
                <w:sz w:val="18"/>
                <w:szCs w:val="18"/>
                <w:color w:val="auto"/>
              </w:rPr>
            </w:pPr>
          </w:p>
        </w:tc>
        <w:tc>
          <w:tcPr>
            <w:tcW w:w="7700" w:type="dxa"/>
            <w:vAlign w:val="bottom"/>
            <w:gridSpan w:val="3"/>
            <w:shd w:val="clear" w:color="auto" w:fill="E5E5E5"/>
          </w:tcPr>
          <w:p>
            <w:pPr>
              <w:ind w:left="420"/>
              <w:spacing w:after="0"/>
              <w:rPr>
                <w:sz w:val="20"/>
                <w:szCs w:val="20"/>
                <w:color w:val="auto"/>
              </w:rPr>
            </w:pPr>
            <w:r>
              <w:rPr>
                <w:rFonts w:ascii="Arial" w:cs="Arial" w:eastAsia="Arial" w:hAnsi="Arial"/>
                <w:sz w:val="16"/>
                <w:szCs w:val="16"/>
                <w:color w:val="auto"/>
              </w:rPr>
              <w:t>William Waddill</w:t>
            </w:r>
          </w:p>
        </w:tc>
        <w:tc>
          <w:tcPr>
            <w:tcW w:w="1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57,111</w:t>
            </w:r>
          </w:p>
        </w:tc>
        <w:tc>
          <w:tcPr>
            <w:tcW w:w="140" w:type="dxa"/>
            <w:vAlign w:val="bottom"/>
            <w:shd w:val="clear" w:color="auto" w:fill="E5E5E5"/>
          </w:tcPr>
          <w:p>
            <w:pPr>
              <w:spacing w:after="0"/>
              <w:rPr>
                <w:sz w:val="18"/>
                <w:szCs w:val="18"/>
                <w:color w:val="auto"/>
              </w:rPr>
            </w:pPr>
          </w:p>
        </w:tc>
        <w:tc>
          <w:tcPr>
            <w:tcW w:w="1680" w:type="dxa"/>
            <w:vAlign w:val="bottom"/>
            <w:shd w:val="clear" w:color="auto" w:fill="E5E5E5"/>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00" w:type="dxa"/>
            <w:vAlign w:val="bottom"/>
            <w:gridSpan w:val="3"/>
          </w:tcPr>
          <w:p>
            <w:pPr>
              <w:ind w:left="420"/>
              <w:spacing w:after="0"/>
              <w:rPr>
                <w:sz w:val="20"/>
                <w:szCs w:val="20"/>
                <w:color w:val="auto"/>
              </w:rPr>
            </w:pPr>
            <w:r>
              <w:rPr>
                <w:rFonts w:ascii="Arial" w:cs="Arial" w:eastAsia="Arial" w:hAnsi="Arial"/>
                <w:sz w:val="16"/>
                <w:szCs w:val="16"/>
                <w:color w:val="auto"/>
              </w:rPr>
              <w:t>Hongbo Lu</w:t>
            </w:r>
          </w:p>
        </w:tc>
        <w:tc>
          <w:tcPr>
            <w:tcW w:w="1680" w:type="dxa"/>
            <w:vAlign w:val="bottom"/>
          </w:tcPr>
          <w:p>
            <w:pPr>
              <w:jc w:val="right"/>
              <w:spacing w:after="0"/>
              <w:rPr>
                <w:sz w:val="20"/>
                <w:szCs w:val="20"/>
                <w:color w:val="auto"/>
              </w:rPr>
            </w:pPr>
            <w:r>
              <w:rPr>
                <w:rFonts w:ascii="Arial" w:cs="Arial" w:eastAsia="Arial" w:hAnsi="Arial"/>
                <w:sz w:val="16"/>
                <w:szCs w:val="16"/>
                <w:color w:val="auto"/>
              </w:rPr>
              <w:t>47,163</w:t>
            </w:r>
          </w:p>
        </w:tc>
        <w:tc>
          <w:tcPr>
            <w:tcW w:w="14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E5E5E5"/>
          </w:tcPr>
          <w:p>
            <w:pPr>
              <w:spacing w:after="0"/>
              <w:rPr>
                <w:sz w:val="18"/>
                <w:szCs w:val="18"/>
                <w:color w:val="auto"/>
              </w:rPr>
            </w:pPr>
          </w:p>
        </w:tc>
        <w:tc>
          <w:tcPr>
            <w:tcW w:w="7700" w:type="dxa"/>
            <w:vAlign w:val="bottom"/>
            <w:gridSpan w:val="3"/>
            <w:shd w:val="clear" w:color="auto" w:fill="E5E5E5"/>
          </w:tcPr>
          <w:p>
            <w:pPr>
              <w:ind w:left="420"/>
              <w:spacing w:after="0"/>
              <w:rPr>
                <w:sz w:val="20"/>
                <w:szCs w:val="20"/>
                <w:color w:val="auto"/>
              </w:rPr>
            </w:pPr>
            <w:r>
              <w:rPr>
                <w:rFonts w:ascii="Arial" w:cs="Arial" w:eastAsia="Arial" w:hAnsi="Arial"/>
                <w:sz w:val="16"/>
                <w:szCs w:val="16"/>
                <w:color w:val="auto"/>
              </w:rPr>
              <w:t>Victoria Vakiener</w:t>
            </w:r>
          </w:p>
        </w:tc>
        <w:tc>
          <w:tcPr>
            <w:tcW w:w="1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37,944</w:t>
            </w:r>
          </w:p>
        </w:tc>
        <w:tc>
          <w:tcPr>
            <w:tcW w:w="140" w:type="dxa"/>
            <w:vAlign w:val="bottom"/>
            <w:shd w:val="clear" w:color="auto" w:fill="E5E5E5"/>
          </w:tcPr>
          <w:p>
            <w:pPr>
              <w:spacing w:after="0"/>
              <w:rPr>
                <w:sz w:val="18"/>
                <w:szCs w:val="18"/>
                <w:color w:val="auto"/>
              </w:rPr>
            </w:pPr>
          </w:p>
        </w:tc>
        <w:tc>
          <w:tcPr>
            <w:tcW w:w="1680" w:type="dxa"/>
            <w:vAlign w:val="bottom"/>
            <w:shd w:val="clear" w:color="auto" w:fill="E5E5E5"/>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00" w:type="dxa"/>
            <w:vAlign w:val="bottom"/>
            <w:gridSpan w:val="3"/>
          </w:tcPr>
          <w:p>
            <w:pPr>
              <w:ind w:left="420"/>
              <w:spacing w:after="0"/>
              <w:rPr>
                <w:sz w:val="20"/>
                <w:szCs w:val="20"/>
                <w:color w:val="auto"/>
              </w:rPr>
            </w:pPr>
            <w:r>
              <w:rPr>
                <w:rFonts w:ascii="Arial" w:cs="Arial" w:eastAsia="Arial" w:hAnsi="Arial"/>
                <w:sz w:val="16"/>
                <w:szCs w:val="16"/>
                <w:color w:val="auto"/>
              </w:rPr>
              <w:t>Adeoye Olukotun</w:t>
            </w:r>
          </w:p>
        </w:tc>
        <w:tc>
          <w:tcPr>
            <w:tcW w:w="1680" w:type="dxa"/>
            <w:vAlign w:val="bottom"/>
          </w:tcPr>
          <w:p>
            <w:pPr>
              <w:jc w:val="right"/>
              <w:spacing w:after="0"/>
              <w:rPr>
                <w:sz w:val="20"/>
                <w:szCs w:val="20"/>
                <w:color w:val="auto"/>
              </w:rPr>
            </w:pPr>
            <w:r>
              <w:rPr>
                <w:rFonts w:ascii="Arial" w:cs="Arial" w:eastAsia="Arial" w:hAnsi="Arial"/>
                <w:sz w:val="16"/>
                <w:szCs w:val="16"/>
                <w:color w:val="auto"/>
              </w:rPr>
              <w:t>36,740</w:t>
            </w:r>
          </w:p>
        </w:tc>
        <w:tc>
          <w:tcPr>
            <w:tcW w:w="140" w:type="dxa"/>
            <w:vAlign w:val="bottom"/>
          </w:tcPr>
          <w:p>
            <w:pPr>
              <w:spacing w:after="0"/>
              <w:rPr>
                <w:sz w:val="18"/>
                <w:szCs w:val="18"/>
                <w:color w:val="auto"/>
              </w:rPr>
            </w:pPr>
          </w:p>
        </w:tc>
        <w:tc>
          <w:tcPr>
            <w:tcW w:w="16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shd w:val="clear" w:color="auto" w:fill="E5E5E5"/>
          </w:tcPr>
          <w:p>
            <w:pPr>
              <w:spacing w:after="0"/>
              <w:rPr>
                <w:sz w:val="18"/>
                <w:szCs w:val="18"/>
                <w:color w:val="auto"/>
              </w:rPr>
            </w:pPr>
          </w:p>
        </w:tc>
        <w:tc>
          <w:tcPr>
            <w:tcW w:w="7700" w:type="dxa"/>
            <w:vAlign w:val="bottom"/>
            <w:gridSpan w:val="3"/>
            <w:shd w:val="clear" w:color="auto" w:fill="E5E5E5"/>
          </w:tcPr>
          <w:p>
            <w:pPr>
              <w:ind w:left="420"/>
              <w:spacing w:after="0"/>
              <w:rPr>
                <w:sz w:val="20"/>
                <w:szCs w:val="20"/>
                <w:color w:val="auto"/>
              </w:rPr>
            </w:pPr>
            <w:r>
              <w:rPr>
                <w:rFonts w:ascii="Arial" w:cs="Arial" w:eastAsia="Arial" w:hAnsi="Arial"/>
                <w:sz w:val="16"/>
                <w:szCs w:val="16"/>
                <w:color w:val="auto"/>
              </w:rPr>
              <w:t>Douglas Ingram</w:t>
            </w:r>
          </w:p>
        </w:tc>
        <w:tc>
          <w:tcPr>
            <w:tcW w:w="1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140" w:type="dxa"/>
            <w:vAlign w:val="bottom"/>
            <w:shd w:val="clear" w:color="auto" w:fill="E5E5E5"/>
          </w:tcPr>
          <w:p>
            <w:pPr>
              <w:spacing w:after="0"/>
              <w:rPr>
                <w:sz w:val="18"/>
                <w:szCs w:val="18"/>
                <w:color w:val="auto"/>
              </w:rPr>
            </w:pPr>
          </w:p>
        </w:tc>
        <w:tc>
          <w:tcPr>
            <w:tcW w:w="1680" w:type="dxa"/>
            <w:vAlign w:val="bottom"/>
            <w:shd w:val="clear" w:color="auto" w:fill="E5E5E5"/>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0071CE"/>
            </w:tcBorders>
            <w:shd w:val="clear" w:color="auto" w:fill="E5E5E5"/>
          </w:tcPr>
          <w:p>
            <w:pPr>
              <w:spacing w:after="0"/>
              <w:rPr>
                <w:sz w:val="18"/>
                <w:szCs w:val="18"/>
                <w:color w:val="auto"/>
              </w:rPr>
            </w:pPr>
          </w:p>
        </w:tc>
        <w:tc>
          <w:tcPr>
            <w:tcW w:w="7700" w:type="dxa"/>
            <w:vAlign w:val="bottom"/>
            <w:tcBorders>
              <w:bottom w:val="single" w:sz="8" w:color="0071CE"/>
            </w:tcBorders>
            <w:gridSpan w:val="3"/>
            <w:shd w:val="clear" w:color="auto" w:fill="E5E5E5"/>
          </w:tcPr>
          <w:p>
            <w:pPr>
              <w:ind w:left="420"/>
              <w:spacing w:after="0"/>
              <w:rPr>
                <w:sz w:val="20"/>
                <w:szCs w:val="20"/>
                <w:color w:val="auto"/>
              </w:rPr>
            </w:pPr>
            <w:r>
              <w:rPr>
                <w:rFonts w:ascii="Arial" w:cs="Arial" w:eastAsia="Arial" w:hAnsi="Arial"/>
                <w:sz w:val="16"/>
                <w:szCs w:val="16"/>
                <w:color w:val="auto"/>
              </w:rPr>
              <w:t>All Executive Officers and Directors as a group (10 persons)</w:t>
            </w:r>
          </w:p>
        </w:tc>
        <w:tc>
          <w:tcPr>
            <w:tcW w:w="1680" w:type="dxa"/>
            <w:vAlign w:val="bottom"/>
            <w:tcBorders>
              <w:bottom w:val="single" w:sz="8" w:color="3051F2"/>
            </w:tcBorders>
            <w:shd w:val="clear" w:color="auto" w:fill="E5E5E5"/>
          </w:tcPr>
          <w:p>
            <w:pPr>
              <w:jc w:val="right"/>
              <w:spacing w:after="0"/>
              <w:rPr>
                <w:sz w:val="20"/>
                <w:szCs w:val="20"/>
                <w:color w:val="auto"/>
              </w:rPr>
            </w:pPr>
            <w:r>
              <w:rPr>
                <w:rFonts w:ascii="Arial" w:cs="Arial" w:eastAsia="Arial" w:hAnsi="Arial"/>
                <w:sz w:val="16"/>
                <w:szCs w:val="16"/>
                <w:color w:val="auto"/>
              </w:rPr>
              <w:t>5,406,970</w:t>
            </w:r>
          </w:p>
        </w:tc>
        <w:tc>
          <w:tcPr>
            <w:tcW w:w="140" w:type="dxa"/>
            <w:vAlign w:val="bottom"/>
            <w:tcBorders>
              <w:bottom w:val="single" w:sz="8" w:color="0071CE"/>
            </w:tcBorders>
            <w:shd w:val="clear" w:color="auto" w:fill="E5E5E5"/>
          </w:tcPr>
          <w:p>
            <w:pPr>
              <w:spacing w:after="0"/>
              <w:rPr>
                <w:sz w:val="18"/>
                <w:szCs w:val="18"/>
                <w:color w:val="auto"/>
              </w:rPr>
            </w:pPr>
          </w:p>
        </w:tc>
        <w:tc>
          <w:tcPr>
            <w:tcW w:w="1680" w:type="dxa"/>
            <w:vAlign w:val="bottom"/>
            <w:tcBorders>
              <w:bottom w:val="single" w:sz="8" w:color="3051F2"/>
            </w:tcBorders>
            <w:shd w:val="clear" w:color="auto" w:fill="E5E5E5"/>
          </w:tcPr>
          <w:p>
            <w:pPr>
              <w:jc w:val="right"/>
              <w:ind w:right="16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-3642360</wp:posOffset>
            </wp:positionV>
            <wp:extent cx="221170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46" w:lineRule="exact"/>
        <w:rPr>
          <w:sz w:val="20"/>
          <w:szCs w:val="20"/>
          <w:color w:val="auto"/>
        </w:rPr>
      </w:pPr>
    </w:p>
    <w:p>
      <w:pPr>
        <w:ind w:left="320" w:hanging="312"/>
        <w:spacing w:after="0"/>
        <w:tabs>
          <w:tab w:leader="none" w:pos="3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23" w:lineRule="exact"/>
        <w:rPr>
          <w:sz w:val="20"/>
          <w:szCs w:val="20"/>
          <w:color w:val="auto"/>
        </w:rPr>
      </w:pPr>
    </w:p>
    <w:p>
      <w:pPr>
        <w:jc w:val="both"/>
        <w:ind w:left="340" w:hanging="332"/>
        <w:spacing w:after="0" w:line="273" w:lineRule="auto"/>
        <w:tabs>
          <w:tab w:leader="none" w:pos="327" w:val="left"/>
        </w:tabs>
        <w:numPr>
          <w:ilvl w:val="0"/>
          <w:numId w:val="69"/>
        </w:numPr>
        <w:rPr>
          <w:rFonts w:ascii="Arial" w:cs="Arial" w:eastAsia="Arial" w:hAnsi="Arial"/>
          <w:sz w:val="14"/>
          <w:szCs w:val="14"/>
          <w:color w:val="auto"/>
        </w:rPr>
      </w:pPr>
      <w:r>
        <w:rPr>
          <w:rFonts w:ascii="Arial" w:cs="Arial" w:eastAsia="Arial" w:hAnsi="Arial"/>
          <w:sz w:val="14"/>
          <w:szCs w:val="14"/>
          <w:color w:val="auto"/>
        </w:rPr>
        <w:t>Based on 125,073,049 shares of Common Stock issued and outstanding as of January 17, 2024. Shares not outstanding but deemed beneficially owned by virtue of the right of a person to acquire them as of January 17, 2024, or within sixty days of such date are treated as outstanding only when determining the percentage owned by such individual and when determining the percentage owned by a group.</w:t>
      </w:r>
    </w:p>
    <w:p>
      <w:pPr>
        <w:spacing w:after="0" w:line="71" w:lineRule="exact"/>
        <w:rPr>
          <w:rFonts w:ascii="Arial" w:cs="Arial" w:eastAsia="Arial" w:hAnsi="Arial"/>
          <w:sz w:val="14"/>
          <w:szCs w:val="14"/>
          <w:color w:val="auto"/>
        </w:rPr>
      </w:pPr>
    </w:p>
    <w:p>
      <w:pPr>
        <w:ind w:left="340" w:hanging="332"/>
        <w:spacing w:after="0" w:line="305" w:lineRule="auto"/>
        <w:tabs>
          <w:tab w:leader="none" w:pos="327" w:val="left"/>
        </w:tabs>
        <w:numPr>
          <w:ilvl w:val="0"/>
          <w:numId w:val="69"/>
        </w:numPr>
        <w:rPr>
          <w:rFonts w:ascii="Arial" w:cs="Arial" w:eastAsia="Arial" w:hAnsi="Arial"/>
          <w:sz w:val="14"/>
          <w:szCs w:val="14"/>
          <w:color w:val="auto"/>
        </w:rPr>
      </w:pPr>
      <w:r>
        <w:rPr>
          <w:rFonts w:ascii="Arial" w:cs="Arial" w:eastAsia="Arial" w:hAnsi="Arial"/>
          <w:sz w:val="14"/>
          <w:szCs w:val="14"/>
          <w:color w:val="auto"/>
        </w:rPr>
        <w:t>Based on Amendment No. 2 to Schedule 13G/A filed January 23, 2024 by BlackRock Inc. According to Amendment No. 2, BlackRock Inc. has sole voting power and sole dispositive power over 13,160,327 shares and 13,303,281 shares, respectively,.</w:t>
      </w:r>
    </w:p>
    <w:p>
      <w:pPr>
        <w:spacing w:after="0" w:line="49" w:lineRule="exact"/>
        <w:rPr>
          <w:rFonts w:ascii="Arial" w:cs="Arial" w:eastAsia="Arial" w:hAnsi="Arial"/>
          <w:sz w:val="14"/>
          <w:szCs w:val="14"/>
          <w:color w:val="auto"/>
        </w:rPr>
      </w:pPr>
    </w:p>
    <w:p>
      <w:pPr>
        <w:ind w:left="340" w:right="20" w:hanging="332"/>
        <w:spacing w:after="0" w:line="305" w:lineRule="auto"/>
        <w:tabs>
          <w:tab w:leader="none" w:pos="327" w:val="left"/>
        </w:tabs>
        <w:numPr>
          <w:ilvl w:val="0"/>
          <w:numId w:val="69"/>
        </w:numPr>
        <w:rPr>
          <w:rFonts w:ascii="Arial" w:cs="Arial" w:eastAsia="Arial" w:hAnsi="Arial"/>
          <w:sz w:val="14"/>
          <w:szCs w:val="14"/>
          <w:color w:val="auto"/>
        </w:rPr>
      </w:pPr>
      <w:r>
        <w:rPr>
          <w:rFonts w:ascii="Arial" w:cs="Arial" w:eastAsia="Arial" w:hAnsi="Arial"/>
          <w:sz w:val="14"/>
          <w:szCs w:val="14"/>
          <w:color w:val="auto"/>
        </w:rPr>
        <w:t>Based on Amendment No. 7 to Schedule 13G/A filed April 10, 2024. According to Amendment No. 7, The Vanguard Group has sole dispositive power over 12,062,313 shares, respectively, and has shared voting power and shared dispositive power over 211,103 shares and 341,737 shares,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534670</wp:posOffset>
            </wp:positionV>
            <wp:extent cx="986155" cy="2057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4"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Voting Securities of Principal Stockholders and Management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40" w:hanging="332"/>
        <w:spacing w:after="0" w:line="305" w:lineRule="auto"/>
        <w:tabs>
          <w:tab w:leader="none" w:pos="327" w:val="left"/>
        </w:tabs>
        <w:numPr>
          <w:ilvl w:val="0"/>
          <w:numId w:val="70"/>
        </w:numPr>
        <w:rPr>
          <w:rFonts w:ascii="Arial" w:cs="Arial" w:eastAsia="Arial" w:hAnsi="Arial"/>
          <w:sz w:val="14"/>
          <w:szCs w:val="14"/>
          <w:color w:val="auto"/>
        </w:rPr>
      </w:pPr>
      <w:r>
        <w:rPr>
          <w:rFonts w:ascii="Arial" w:cs="Arial" w:eastAsia="Arial" w:hAnsi="Arial"/>
          <w:sz w:val="14"/>
          <w:szCs w:val="14"/>
          <w:color w:val="auto"/>
        </w:rPr>
        <w:t>Based on Schedule 13G filed November 14, 2024. According to Schedule 13G, Avoro Capital Advisors LLC and Behzad Aghazadeh, who serves as the portfolio manager and controlling person of Avoro Capital Advisors LLC, have sole voting power and sole dispositive power over 8,888,888 and 8,888,888 shares, respectively.</w:t>
      </w:r>
    </w:p>
    <w:p>
      <w:pPr>
        <w:spacing w:after="0" w:line="36" w:lineRule="exact"/>
        <w:rPr>
          <w:rFonts w:ascii="Arial" w:cs="Arial" w:eastAsia="Arial" w:hAnsi="Arial"/>
          <w:sz w:val="14"/>
          <w:szCs w:val="14"/>
          <w:color w:val="auto"/>
        </w:rPr>
      </w:pPr>
    </w:p>
    <w:p>
      <w:pPr>
        <w:ind w:left="340" w:hanging="332"/>
        <w:spacing w:after="0" w:line="305" w:lineRule="auto"/>
        <w:tabs>
          <w:tab w:leader="none" w:pos="327" w:val="left"/>
        </w:tabs>
        <w:numPr>
          <w:ilvl w:val="0"/>
          <w:numId w:val="70"/>
        </w:numPr>
        <w:rPr>
          <w:rFonts w:ascii="Arial" w:cs="Arial" w:eastAsia="Arial" w:hAnsi="Arial"/>
          <w:sz w:val="14"/>
          <w:szCs w:val="14"/>
          <w:color w:val="auto"/>
        </w:rPr>
      </w:pPr>
      <w:r>
        <w:rPr>
          <w:rFonts w:ascii="Arial" w:cs="Arial" w:eastAsia="Arial" w:hAnsi="Arial"/>
          <w:sz w:val="14"/>
          <w:szCs w:val="14"/>
          <w:color w:val="auto"/>
        </w:rPr>
        <w:t>Based on Schedule 13G/A filed October 16, 2024. According to Schedule 13G, State Street Corporation has shared voting power and shared dispositive power over 5,936,957 shares and 6,354,331 shares,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534670</wp:posOffset>
            </wp:positionV>
            <wp:extent cx="986155" cy="2057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8"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Equity Compensation Plan Information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Equity Compensation Plan Information</w:t>
      </w:r>
    </w:p>
    <w:p>
      <w:pPr>
        <w:spacing w:after="0" w:line="269" w:lineRule="exact"/>
        <w:rPr>
          <w:sz w:val="20"/>
          <w:szCs w:val="20"/>
          <w:color w:val="auto"/>
        </w:rPr>
      </w:pPr>
    </w:p>
    <w:p>
      <w:pPr>
        <w:ind w:right="620"/>
        <w:spacing w:after="0" w:line="251" w:lineRule="auto"/>
        <w:rPr>
          <w:sz w:val="20"/>
          <w:szCs w:val="20"/>
          <w:color w:val="auto"/>
        </w:rPr>
      </w:pPr>
      <w:r>
        <w:rPr>
          <w:rFonts w:ascii="Arial" w:cs="Arial" w:eastAsia="Arial" w:hAnsi="Arial"/>
          <w:sz w:val="16"/>
          <w:szCs w:val="16"/>
          <w:color w:val="auto"/>
        </w:rPr>
        <w:t>The following table provides information as of September 30, 2024 with respect to shares of our Common Stock that may be issued under our equity compensation plans.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80" w:type="dxa"/>
            <w:vAlign w:val="bottom"/>
            <w:shd w:val="clear" w:color="auto" w:fill="0071CE"/>
          </w:tcPr>
          <w:p>
            <w:pPr>
              <w:spacing w:after="0"/>
              <w:rPr>
                <w:sz w:val="20"/>
                <w:szCs w:val="20"/>
                <w:color w:val="auto"/>
              </w:rPr>
            </w:pPr>
          </w:p>
        </w:tc>
        <w:tc>
          <w:tcPr>
            <w:tcW w:w="5740" w:type="dxa"/>
            <w:vAlign w:val="bottom"/>
            <w:gridSpan w:val="3"/>
            <w:shd w:val="clear" w:color="auto" w:fill="0071CE"/>
          </w:tcPr>
          <w:p>
            <w:pPr>
              <w:jc w:val="right"/>
              <w:ind w:right="1457"/>
              <w:spacing w:after="0"/>
              <w:rPr>
                <w:sz w:val="20"/>
                <w:szCs w:val="20"/>
                <w:color w:val="auto"/>
              </w:rPr>
            </w:pPr>
            <w:r>
              <w:rPr>
                <w:rFonts w:ascii="Arial" w:cs="Arial" w:eastAsia="Arial" w:hAnsi="Arial"/>
                <w:sz w:val="14"/>
                <w:szCs w:val="14"/>
                <w:b w:val="1"/>
                <w:bCs w:val="1"/>
                <w:color w:val="FFFFFF"/>
              </w:rPr>
              <w:t>Equity Compensation Plan Information</w:t>
            </w:r>
          </w:p>
        </w:tc>
        <w:tc>
          <w:tcPr>
            <w:tcW w:w="0" w:type="dxa"/>
            <w:vAlign w:val="bottom"/>
          </w:tcPr>
          <w:p>
            <w:pPr>
              <w:spacing w:after="0"/>
              <w:rPr>
                <w:sz w:val="1"/>
                <w:szCs w:val="1"/>
                <w:color w:val="auto"/>
              </w:rPr>
            </w:pPr>
          </w:p>
        </w:tc>
      </w:tr>
      <w:tr>
        <w:trPr>
          <w:trHeight w:val="407"/>
        </w:trPr>
        <w:tc>
          <w:tcPr>
            <w:tcW w:w="5480" w:type="dxa"/>
            <w:vAlign w:val="bottom"/>
            <w:shd w:val="clear" w:color="auto" w:fill="0071CE"/>
          </w:tcPr>
          <w:p>
            <w:pPr>
              <w:spacing w:after="0"/>
              <w:rPr>
                <w:sz w:val="24"/>
                <w:szCs w:val="24"/>
                <w:color w:val="auto"/>
              </w:rPr>
            </w:pPr>
          </w:p>
        </w:tc>
        <w:tc>
          <w:tcPr>
            <w:tcW w:w="1820" w:type="dxa"/>
            <w:vAlign w:val="bottom"/>
            <w:shd w:val="clear" w:color="auto" w:fill="0071CE"/>
          </w:tcPr>
          <w:p>
            <w:pPr>
              <w:jc w:val="center"/>
              <w:ind w:right="78"/>
              <w:spacing w:after="0"/>
              <w:rPr>
                <w:sz w:val="20"/>
                <w:szCs w:val="20"/>
                <w:color w:val="auto"/>
              </w:rPr>
            </w:pPr>
            <w:r>
              <w:rPr>
                <w:rFonts w:ascii="Arial" w:cs="Arial" w:eastAsia="Arial" w:hAnsi="Arial"/>
                <w:sz w:val="16"/>
                <w:szCs w:val="16"/>
                <w:b w:val="1"/>
                <w:bCs w:val="1"/>
                <w:color w:val="FFFFFF"/>
              </w:rPr>
              <w:t>Number of</w:t>
            </w:r>
          </w:p>
        </w:tc>
        <w:tc>
          <w:tcPr>
            <w:tcW w:w="1500" w:type="dxa"/>
            <w:vAlign w:val="bottom"/>
            <w:shd w:val="clear" w:color="auto" w:fill="0071CE"/>
          </w:tcPr>
          <w:p>
            <w:pPr>
              <w:spacing w:after="0"/>
              <w:rPr>
                <w:sz w:val="24"/>
                <w:szCs w:val="24"/>
                <w:color w:val="auto"/>
              </w:rPr>
            </w:pPr>
          </w:p>
        </w:tc>
        <w:tc>
          <w:tcPr>
            <w:tcW w:w="2420" w:type="dxa"/>
            <w:vAlign w:val="bottom"/>
            <w:shd w:val="clear" w:color="auto" w:fill="0071CE"/>
          </w:tcPr>
          <w:p>
            <w:pPr>
              <w:jc w:val="center"/>
              <w:spacing w:after="0"/>
              <w:rPr>
                <w:sz w:val="20"/>
                <w:szCs w:val="20"/>
                <w:color w:val="auto"/>
              </w:rPr>
            </w:pPr>
            <w:r>
              <w:rPr>
                <w:rFonts w:ascii="Arial" w:cs="Arial" w:eastAsia="Arial" w:hAnsi="Arial"/>
                <w:sz w:val="16"/>
                <w:szCs w:val="16"/>
                <w:b w:val="1"/>
                <w:bCs w:val="1"/>
                <w:color w:val="FFFFFF"/>
                <w:w w:val="99"/>
              </w:rPr>
              <w:t>Number of</w:t>
            </w:r>
          </w:p>
        </w:tc>
        <w:tc>
          <w:tcPr>
            <w:tcW w:w="0" w:type="dxa"/>
            <w:vAlign w:val="bottom"/>
          </w:tcPr>
          <w:p>
            <w:pPr>
              <w:spacing w:after="0"/>
              <w:rPr>
                <w:sz w:val="1"/>
                <w:szCs w:val="1"/>
                <w:color w:val="auto"/>
              </w:rPr>
            </w:pPr>
          </w:p>
        </w:tc>
      </w:tr>
      <w:tr>
        <w:trPr>
          <w:trHeight w:val="162"/>
        </w:trPr>
        <w:tc>
          <w:tcPr>
            <w:tcW w:w="5480" w:type="dxa"/>
            <w:vAlign w:val="bottom"/>
            <w:shd w:val="clear" w:color="auto" w:fill="0071CE"/>
          </w:tcPr>
          <w:p>
            <w:pPr>
              <w:spacing w:after="0"/>
              <w:rPr>
                <w:sz w:val="14"/>
                <w:szCs w:val="14"/>
                <w:color w:val="auto"/>
              </w:rPr>
            </w:pPr>
          </w:p>
        </w:tc>
        <w:tc>
          <w:tcPr>
            <w:tcW w:w="1820" w:type="dxa"/>
            <w:vAlign w:val="bottom"/>
            <w:shd w:val="clear" w:color="auto" w:fill="0071CE"/>
          </w:tcPr>
          <w:p>
            <w:pPr>
              <w:jc w:val="center"/>
              <w:ind w:right="98"/>
              <w:spacing w:after="0" w:line="162" w:lineRule="exact"/>
              <w:rPr>
                <w:sz w:val="20"/>
                <w:szCs w:val="20"/>
                <w:color w:val="auto"/>
              </w:rPr>
            </w:pPr>
            <w:r>
              <w:rPr>
                <w:rFonts w:ascii="Arial" w:cs="Arial" w:eastAsia="Arial" w:hAnsi="Arial"/>
                <w:sz w:val="16"/>
                <w:szCs w:val="16"/>
                <w:b w:val="1"/>
                <w:bCs w:val="1"/>
                <w:color w:val="FFFFFF"/>
              </w:rPr>
              <w:t>shares to</w:t>
            </w:r>
          </w:p>
        </w:tc>
        <w:tc>
          <w:tcPr>
            <w:tcW w:w="1500" w:type="dxa"/>
            <w:vAlign w:val="bottom"/>
            <w:vMerge w:val="restart"/>
            <w:shd w:val="clear" w:color="auto" w:fill="0071CE"/>
          </w:tcPr>
          <w:p>
            <w:pPr>
              <w:jc w:val="center"/>
              <w:spacing w:after="0"/>
              <w:rPr>
                <w:sz w:val="20"/>
                <w:szCs w:val="20"/>
                <w:color w:val="auto"/>
              </w:rPr>
            </w:pPr>
            <w:r>
              <w:rPr>
                <w:rFonts w:ascii="Arial" w:cs="Arial" w:eastAsia="Arial" w:hAnsi="Arial"/>
                <w:sz w:val="16"/>
                <w:szCs w:val="16"/>
                <w:b w:val="1"/>
                <w:bCs w:val="1"/>
                <w:color w:val="FFFFFF"/>
                <w:w w:val="99"/>
              </w:rPr>
              <w:t>Weighted</w:t>
            </w:r>
          </w:p>
        </w:tc>
        <w:tc>
          <w:tcPr>
            <w:tcW w:w="242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securities</w:t>
            </w:r>
          </w:p>
        </w:tc>
        <w:tc>
          <w:tcPr>
            <w:tcW w:w="0" w:type="dxa"/>
            <w:vAlign w:val="bottom"/>
          </w:tcPr>
          <w:p>
            <w:pPr>
              <w:spacing w:after="0"/>
              <w:rPr>
                <w:sz w:val="1"/>
                <w:szCs w:val="1"/>
                <w:color w:val="auto"/>
              </w:rPr>
            </w:pPr>
          </w:p>
        </w:tc>
      </w:tr>
      <w:tr>
        <w:trPr>
          <w:trHeight w:val="162"/>
        </w:trPr>
        <w:tc>
          <w:tcPr>
            <w:tcW w:w="5480" w:type="dxa"/>
            <w:vAlign w:val="bottom"/>
            <w:shd w:val="clear" w:color="auto" w:fill="0071CE"/>
          </w:tcPr>
          <w:p>
            <w:pPr>
              <w:spacing w:after="0"/>
              <w:rPr>
                <w:sz w:val="14"/>
                <w:szCs w:val="14"/>
                <w:color w:val="auto"/>
              </w:rPr>
            </w:pPr>
          </w:p>
        </w:tc>
        <w:tc>
          <w:tcPr>
            <w:tcW w:w="1820" w:type="dxa"/>
            <w:vAlign w:val="bottom"/>
            <w:shd w:val="clear" w:color="auto" w:fill="0071CE"/>
          </w:tcPr>
          <w:p>
            <w:pPr>
              <w:jc w:val="center"/>
              <w:ind w:right="78"/>
              <w:spacing w:after="0" w:line="162" w:lineRule="exact"/>
              <w:rPr>
                <w:sz w:val="20"/>
                <w:szCs w:val="20"/>
                <w:color w:val="auto"/>
              </w:rPr>
            </w:pPr>
            <w:r>
              <w:rPr>
                <w:rFonts w:ascii="Arial" w:cs="Arial" w:eastAsia="Arial" w:hAnsi="Arial"/>
                <w:sz w:val="16"/>
                <w:szCs w:val="16"/>
                <w:b w:val="1"/>
                <w:bCs w:val="1"/>
                <w:color w:val="FFFFFF"/>
              </w:rPr>
              <w:t>be issued</w:t>
            </w:r>
          </w:p>
        </w:tc>
        <w:tc>
          <w:tcPr>
            <w:tcW w:w="1500" w:type="dxa"/>
            <w:vAlign w:val="bottom"/>
            <w:vMerge w:val="continue"/>
            <w:shd w:val="clear" w:color="auto" w:fill="0071CE"/>
          </w:tcPr>
          <w:p>
            <w:pPr>
              <w:spacing w:after="0"/>
              <w:rPr>
                <w:sz w:val="14"/>
                <w:szCs w:val="14"/>
                <w:color w:val="auto"/>
              </w:rPr>
            </w:pPr>
          </w:p>
        </w:tc>
        <w:tc>
          <w:tcPr>
            <w:tcW w:w="242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remaining</w:t>
            </w:r>
          </w:p>
        </w:tc>
        <w:tc>
          <w:tcPr>
            <w:tcW w:w="0" w:type="dxa"/>
            <w:vAlign w:val="bottom"/>
          </w:tcPr>
          <w:p>
            <w:pPr>
              <w:spacing w:after="0"/>
              <w:rPr>
                <w:sz w:val="1"/>
                <w:szCs w:val="1"/>
                <w:color w:val="auto"/>
              </w:rPr>
            </w:pPr>
          </w:p>
        </w:tc>
      </w:tr>
      <w:tr>
        <w:trPr>
          <w:trHeight w:val="162"/>
        </w:trPr>
        <w:tc>
          <w:tcPr>
            <w:tcW w:w="5480" w:type="dxa"/>
            <w:vAlign w:val="bottom"/>
            <w:shd w:val="clear" w:color="auto" w:fill="0071CE"/>
          </w:tcPr>
          <w:p>
            <w:pPr>
              <w:spacing w:after="0"/>
              <w:rPr>
                <w:sz w:val="14"/>
                <w:szCs w:val="14"/>
                <w:color w:val="auto"/>
              </w:rPr>
            </w:pPr>
          </w:p>
        </w:tc>
        <w:tc>
          <w:tcPr>
            <w:tcW w:w="1820" w:type="dxa"/>
            <w:vAlign w:val="bottom"/>
            <w:shd w:val="clear" w:color="auto" w:fill="0071CE"/>
          </w:tcPr>
          <w:p>
            <w:pPr>
              <w:jc w:val="center"/>
              <w:ind w:right="78"/>
              <w:spacing w:after="0" w:line="162" w:lineRule="exact"/>
              <w:rPr>
                <w:sz w:val="20"/>
                <w:szCs w:val="20"/>
                <w:color w:val="auto"/>
              </w:rPr>
            </w:pPr>
            <w:r>
              <w:rPr>
                <w:rFonts w:ascii="Arial" w:cs="Arial" w:eastAsia="Arial" w:hAnsi="Arial"/>
                <w:sz w:val="16"/>
                <w:szCs w:val="16"/>
                <w:b w:val="1"/>
                <w:bCs w:val="1"/>
                <w:color w:val="FFFFFF"/>
                <w:w w:val="97"/>
              </w:rPr>
              <w:t>upon</w:t>
            </w:r>
          </w:p>
        </w:tc>
        <w:tc>
          <w:tcPr>
            <w:tcW w:w="150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average</w:t>
            </w:r>
          </w:p>
        </w:tc>
        <w:tc>
          <w:tcPr>
            <w:tcW w:w="242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available for</w:t>
            </w:r>
          </w:p>
        </w:tc>
        <w:tc>
          <w:tcPr>
            <w:tcW w:w="0" w:type="dxa"/>
            <w:vAlign w:val="bottom"/>
          </w:tcPr>
          <w:p>
            <w:pPr>
              <w:spacing w:after="0"/>
              <w:rPr>
                <w:sz w:val="1"/>
                <w:szCs w:val="1"/>
                <w:color w:val="auto"/>
              </w:rPr>
            </w:pPr>
          </w:p>
        </w:tc>
      </w:tr>
      <w:tr>
        <w:trPr>
          <w:trHeight w:val="162"/>
        </w:trPr>
        <w:tc>
          <w:tcPr>
            <w:tcW w:w="5480" w:type="dxa"/>
            <w:vAlign w:val="bottom"/>
            <w:shd w:val="clear" w:color="auto" w:fill="0071CE"/>
          </w:tcPr>
          <w:p>
            <w:pPr>
              <w:spacing w:after="0"/>
              <w:rPr>
                <w:sz w:val="14"/>
                <w:szCs w:val="14"/>
                <w:color w:val="auto"/>
              </w:rPr>
            </w:pPr>
          </w:p>
        </w:tc>
        <w:tc>
          <w:tcPr>
            <w:tcW w:w="1820" w:type="dxa"/>
            <w:vAlign w:val="bottom"/>
            <w:shd w:val="clear" w:color="auto" w:fill="0071CE"/>
          </w:tcPr>
          <w:p>
            <w:pPr>
              <w:jc w:val="center"/>
              <w:ind w:right="78"/>
              <w:spacing w:after="0" w:line="162" w:lineRule="exact"/>
              <w:rPr>
                <w:sz w:val="20"/>
                <w:szCs w:val="20"/>
                <w:color w:val="auto"/>
              </w:rPr>
            </w:pPr>
            <w:r>
              <w:rPr>
                <w:rFonts w:ascii="Arial" w:cs="Arial" w:eastAsia="Arial" w:hAnsi="Arial"/>
                <w:sz w:val="16"/>
                <w:szCs w:val="16"/>
                <w:b w:val="1"/>
                <w:bCs w:val="1"/>
                <w:color w:val="FFFFFF"/>
              </w:rPr>
              <w:t>exercise of</w:t>
            </w:r>
          </w:p>
        </w:tc>
        <w:tc>
          <w:tcPr>
            <w:tcW w:w="150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exercise price</w:t>
            </w:r>
          </w:p>
        </w:tc>
        <w:tc>
          <w:tcPr>
            <w:tcW w:w="242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future issuance</w:t>
            </w:r>
          </w:p>
        </w:tc>
        <w:tc>
          <w:tcPr>
            <w:tcW w:w="0" w:type="dxa"/>
            <w:vAlign w:val="bottom"/>
          </w:tcPr>
          <w:p>
            <w:pPr>
              <w:spacing w:after="0"/>
              <w:rPr>
                <w:sz w:val="1"/>
                <w:szCs w:val="1"/>
                <w:color w:val="auto"/>
              </w:rPr>
            </w:pPr>
          </w:p>
        </w:tc>
      </w:tr>
      <w:tr>
        <w:trPr>
          <w:trHeight w:val="162"/>
        </w:trPr>
        <w:tc>
          <w:tcPr>
            <w:tcW w:w="5480" w:type="dxa"/>
            <w:vAlign w:val="bottom"/>
            <w:shd w:val="clear" w:color="auto" w:fill="0071CE"/>
          </w:tcPr>
          <w:p>
            <w:pPr>
              <w:spacing w:after="0"/>
              <w:rPr>
                <w:sz w:val="14"/>
                <w:szCs w:val="14"/>
                <w:color w:val="auto"/>
              </w:rPr>
            </w:pPr>
          </w:p>
        </w:tc>
        <w:tc>
          <w:tcPr>
            <w:tcW w:w="1820" w:type="dxa"/>
            <w:vAlign w:val="bottom"/>
            <w:shd w:val="clear" w:color="auto" w:fill="0071CE"/>
          </w:tcPr>
          <w:p>
            <w:pPr>
              <w:jc w:val="center"/>
              <w:ind w:right="78"/>
              <w:spacing w:after="0" w:line="162" w:lineRule="exact"/>
              <w:rPr>
                <w:sz w:val="20"/>
                <w:szCs w:val="20"/>
                <w:color w:val="auto"/>
              </w:rPr>
            </w:pPr>
            <w:r>
              <w:rPr>
                <w:rFonts w:ascii="Arial" w:cs="Arial" w:eastAsia="Arial" w:hAnsi="Arial"/>
                <w:sz w:val="16"/>
                <w:szCs w:val="16"/>
                <w:b w:val="1"/>
                <w:bCs w:val="1"/>
                <w:color w:val="FFFFFF"/>
              </w:rPr>
              <w:t>outstanding</w:t>
            </w:r>
          </w:p>
        </w:tc>
        <w:tc>
          <w:tcPr>
            <w:tcW w:w="150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of outstanding</w:t>
            </w:r>
          </w:p>
        </w:tc>
        <w:tc>
          <w:tcPr>
            <w:tcW w:w="242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under equity</w:t>
            </w:r>
          </w:p>
        </w:tc>
        <w:tc>
          <w:tcPr>
            <w:tcW w:w="0" w:type="dxa"/>
            <w:vAlign w:val="bottom"/>
          </w:tcPr>
          <w:p>
            <w:pPr>
              <w:spacing w:after="0"/>
              <w:rPr>
                <w:sz w:val="1"/>
                <w:szCs w:val="1"/>
                <w:color w:val="auto"/>
              </w:rPr>
            </w:pPr>
          </w:p>
        </w:tc>
      </w:tr>
      <w:tr>
        <w:trPr>
          <w:trHeight w:val="162"/>
        </w:trPr>
        <w:tc>
          <w:tcPr>
            <w:tcW w:w="5480" w:type="dxa"/>
            <w:vAlign w:val="bottom"/>
            <w:shd w:val="clear" w:color="auto" w:fill="0071CE"/>
          </w:tcPr>
          <w:p>
            <w:pPr>
              <w:spacing w:after="0"/>
              <w:rPr>
                <w:sz w:val="14"/>
                <w:szCs w:val="14"/>
                <w:color w:val="auto"/>
              </w:rPr>
            </w:pPr>
          </w:p>
        </w:tc>
        <w:tc>
          <w:tcPr>
            <w:tcW w:w="1820" w:type="dxa"/>
            <w:vAlign w:val="bottom"/>
            <w:shd w:val="clear" w:color="auto" w:fill="0071CE"/>
          </w:tcPr>
          <w:p>
            <w:pPr>
              <w:jc w:val="center"/>
              <w:ind w:right="78"/>
              <w:spacing w:after="0" w:line="162" w:lineRule="exact"/>
              <w:rPr>
                <w:sz w:val="20"/>
                <w:szCs w:val="20"/>
                <w:color w:val="auto"/>
              </w:rPr>
            </w:pPr>
            <w:r>
              <w:rPr>
                <w:rFonts w:ascii="Arial" w:cs="Arial" w:eastAsia="Arial" w:hAnsi="Arial"/>
                <w:sz w:val="16"/>
                <w:szCs w:val="16"/>
                <w:b w:val="1"/>
                <w:bCs w:val="1"/>
                <w:color w:val="FFFFFF"/>
                <w:w w:val="99"/>
              </w:rPr>
              <w:t>options,</w:t>
            </w:r>
          </w:p>
        </w:tc>
        <w:tc>
          <w:tcPr>
            <w:tcW w:w="150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options,</w:t>
            </w:r>
          </w:p>
        </w:tc>
        <w:tc>
          <w:tcPr>
            <w:tcW w:w="242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compensation</w:t>
            </w:r>
          </w:p>
        </w:tc>
        <w:tc>
          <w:tcPr>
            <w:tcW w:w="0" w:type="dxa"/>
            <w:vAlign w:val="bottom"/>
          </w:tcPr>
          <w:p>
            <w:pPr>
              <w:spacing w:after="0"/>
              <w:rPr>
                <w:sz w:val="1"/>
                <w:szCs w:val="1"/>
                <w:color w:val="auto"/>
              </w:rPr>
            </w:pPr>
          </w:p>
        </w:tc>
      </w:tr>
      <w:tr>
        <w:trPr>
          <w:trHeight w:val="162"/>
        </w:trPr>
        <w:tc>
          <w:tcPr>
            <w:tcW w:w="5480" w:type="dxa"/>
            <w:vAlign w:val="bottom"/>
            <w:shd w:val="clear" w:color="auto" w:fill="0071CE"/>
          </w:tcPr>
          <w:p>
            <w:pPr>
              <w:spacing w:after="0"/>
              <w:rPr>
                <w:sz w:val="14"/>
                <w:szCs w:val="14"/>
                <w:color w:val="auto"/>
              </w:rPr>
            </w:pPr>
          </w:p>
        </w:tc>
        <w:tc>
          <w:tcPr>
            <w:tcW w:w="1820" w:type="dxa"/>
            <w:vAlign w:val="bottom"/>
            <w:shd w:val="clear" w:color="auto" w:fill="0071CE"/>
          </w:tcPr>
          <w:p>
            <w:pPr>
              <w:jc w:val="center"/>
              <w:ind w:right="78"/>
              <w:spacing w:after="0" w:line="162" w:lineRule="exact"/>
              <w:rPr>
                <w:sz w:val="20"/>
                <w:szCs w:val="20"/>
                <w:color w:val="auto"/>
              </w:rPr>
            </w:pPr>
            <w:r>
              <w:rPr>
                <w:rFonts w:ascii="Arial" w:cs="Arial" w:eastAsia="Arial" w:hAnsi="Arial"/>
                <w:sz w:val="16"/>
                <w:szCs w:val="16"/>
                <w:b w:val="1"/>
                <w:bCs w:val="1"/>
                <w:color w:val="FFFFFF"/>
                <w:w w:val="98"/>
              </w:rPr>
              <w:t>warrants</w:t>
            </w:r>
          </w:p>
        </w:tc>
        <w:tc>
          <w:tcPr>
            <w:tcW w:w="150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warrants and</w:t>
            </w:r>
          </w:p>
        </w:tc>
        <w:tc>
          <w:tcPr>
            <w:tcW w:w="242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plans (excluding securities</w:t>
            </w:r>
          </w:p>
        </w:tc>
        <w:tc>
          <w:tcPr>
            <w:tcW w:w="0" w:type="dxa"/>
            <w:vAlign w:val="bottom"/>
          </w:tcPr>
          <w:p>
            <w:pPr>
              <w:spacing w:after="0"/>
              <w:rPr>
                <w:sz w:val="1"/>
                <w:szCs w:val="1"/>
                <w:color w:val="auto"/>
              </w:rPr>
            </w:pPr>
          </w:p>
        </w:tc>
      </w:tr>
      <w:tr>
        <w:trPr>
          <w:trHeight w:val="162"/>
        </w:trPr>
        <w:tc>
          <w:tcPr>
            <w:tcW w:w="5480" w:type="dxa"/>
            <w:vAlign w:val="bottom"/>
            <w:shd w:val="clear" w:color="auto" w:fill="0071CE"/>
          </w:tcPr>
          <w:p>
            <w:pPr>
              <w:spacing w:after="0"/>
              <w:rPr>
                <w:sz w:val="14"/>
                <w:szCs w:val="14"/>
                <w:color w:val="auto"/>
              </w:rPr>
            </w:pPr>
          </w:p>
        </w:tc>
        <w:tc>
          <w:tcPr>
            <w:tcW w:w="1820" w:type="dxa"/>
            <w:vAlign w:val="bottom"/>
            <w:shd w:val="clear" w:color="auto" w:fill="0071CE"/>
          </w:tcPr>
          <w:p>
            <w:pPr>
              <w:jc w:val="center"/>
              <w:ind w:right="78"/>
              <w:spacing w:after="0" w:line="162" w:lineRule="exact"/>
              <w:rPr>
                <w:sz w:val="20"/>
                <w:szCs w:val="20"/>
                <w:color w:val="auto"/>
              </w:rPr>
            </w:pPr>
            <w:r>
              <w:rPr>
                <w:rFonts w:ascii="Arial" w:cs="Arial" w:eastAsia="Arial" w:hAnsi="Arial"/>
                <w:sz w:val="16"/>
                <w:szCs w:val="16"/>
                <w:b w:val="1"/>
                <w:bCs w:val="1"/>
                <w:color w:val="FFFFFF"/>
              </w:rPr>
              <w:t>and rights</w:t>
            </w:r>
          </w:p>
        </w:tc>
        <w:tc>
          <w:tcPr>
            <w:tcW w:w="150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w w:val="98"/>
              </w:rPr>
              <w:t>rights</w:t>
            </w:r>
          </w:p>
        </w:tc>
        <w:tc>
          <w:tcPr>
            <w:tcW w:w="2420" w:type="dxa"/>
            <w:vAlign w:val="bottom"/>
            <w:shd w:val="clear" w:color="auto" w:fill="0071CE"/>
          </w:tcPr>
          <w:p>
            <w:pPr>
              <w:jc w:val="center"/>
              <w:spacing w:after="0" w:line="162" w:lineRule="exact"/>
              <w:rPr>
                <w:sz w:val="20"/>
                <w:szCs w:val="20"/>
                <w:color w:val="auto"/>
              </w:rPr>
            </w:pPr>
            <w:r>
              <w:rPr>
                <w:rFonts w:ascii="Arial" w:cs="Arial" w:eastAsia="Arial" w:hAnsi="Arial"/>
                <w:sz w:val="16"/>
                <w:szCs w:val="16"/>
                <w:b w:val="1"/>
                <w:bCs w:val="1"/>
                <w:color w:val="FFFFFF"/>
              </w:rPr>
              <w:t>reflected in</w:t>
            </w:r>
          </w:p>
        </w:tc>
        <w:tc>
          <w:tcPr>
            <w:tcW w:w="0" w:type="dxa"/>
            <w:vAlign w:val="bottom"/>
          </w:tcPr>
          <w:p>
            <w:pPr>
              <w:spacing w:after="0"/>
              <w:rPr>
                <w:sz w:val="1"/>
                <w:szCs w:val="1"/>
                <w:color w:val="auto"/>
              </w:rPr>
            </w:pPr>
          </w:p>
        </w:tc>
      </w:tr>
      <w:tr>
        <w:trPr>
          <w:trHeight w:val="216"/>
        </w:trPr>
        <w:tc>
          <w:tcPr>
            <w:tcW w:w="5480" w:type="dxa"/>
            <w:vAlign w:val="bottom"/>
            <w:shd w:val="clear" w:color="auto" w:fill="0071CE"/>
          </w:tcPr>
          <w:p>
            <w:pPr>
              <w:spacing w:after="0"/>
              <w:rPr>
                <w:sz w:val="18"/>
                <w:szCs w:val="18"/>
                <w:color w:val="auto"/>
              </w:rPr>
            </w:pPr>
          </w:p>
        </w:tc>
        <w:tc>
          <w:tcPr>
            <w:tcW w:w="1820" w:type="dxa"/>
            <w:vAlign w:val="bottom"/>
            <w:shd w:val="clear" w:color="auto" w:fill="0071CE"/>
          </w:tcPr>
          <w:p>
            <w:pPr>
              <w:spacing w:after="0"/>
              <w:rPr>
                <w:sz w:val="18"/>
                <w:szCs w:val="18"/>
                <w:color w:val="auto"/>
              </w:rPr>
            </w:pPr>
          </w:p>
        </w:tc>
        <w:tc>
          <w:tcPr>
            <w:tcW w:w="1500" w:type="dxa"/>
            <w:vAlign w:val="bottom"/>
            <w:shd w:val="clear" w:color="auto" w:fill="0071CE"/>
          </w:tcPr>
          <w:p>
            <w:pPr>
              <w:spacing w:after="0"/>
              <w:rPr>
                <w:sz w:val="18"/>
                <w:szCs w:val="18"/>
                <w:color w:val="auto"/>
              </w:rPr>
            </w:pPr>
          </w:p>
        </w:tc>
        <w:tc>
          <w:tcPr>
            <w:tcW w:w="2420" w:type="dxa"/>
            <w:vAlign w:val="bottom"/>
            <w:shd w:val="clear" w:color="auto" w:fill="0071CE"/>
          </w:tcPr>
          <w:p>
            <w:pPr>
              <w:jc w:val="center"/>
              <w:ind w:left="37"/>
              <w:spacing w:after="0"/>
              <w:rPr>
                <w:sz w:val="20"/>
                <w:szCs w:val="20"/>
                <w:color w:val="auto"/>
              </w:rPr>
            </w:pPr>
            <w:r>
              <w:rPr>
                <w:rFonts w:ascii="Arial" w:cs="Arial" w:eastAsia="Arial" w:hAnsi="Arial"/>
                <w:sz w:val="16"/>
                <w:szCs w:val="16"/>
                <w:b w:val="1"/>
                <w:bCs w:val="1"/>
                <w:color w:val="FFFFFF"/>
                <w:w w:val="99"/>
              </w:rPr>
              <w:t>column (a))</w:t>
            </w:r>
          </w:p>
        </w:tc>
        <w:tc>
          <w:tcPr>
            <w:tcW w:w="0" w:type="dxa"/>
            <w:vAlign w:val="bottom"/>
          </w:tcPr>
          <w:p>
            <w:pPr>
              <w:spacing w:after="0"/>
              <w:rPr>
                <w:sz w:val="1"/>
                <w:szCs w:val="1"/>
                <w:color w:val="auto"/>
              </w:rPr>
            </w:pPr>
          </w:p>
        </w:tc>
      </w:tr>
      <w:tr>
        <w:trPr>
          <w:trHeight w:val="229"/>
        </w:trPr>
        <w:tc>
          <w:tcPr>
            <w:tcW w:w="5480" w:type="dxa"/>
            <w:vAlign w:val="bottom"/>
            <w:shd w:val="clear" w:color="auto" w:fill="E5E5E5"/>
          </w:tcPr>
          <w:p>
            <w:pPr>
              <w:ind w:left="120"/>
              <w:spacing w:after="0"/>
              <w:rPr>
                <w:sz w:val="20"/>
                <w:szCs w:val="20"/>
                <w:color w:val="auto"/>
              </w:rPr>
            </w:pPr>
            <w:r>
              <w:rPr>
                <w:rFonts w:ascii="Arial" w:cs="Arial" w:eastAsia="Arial" w:hAnsi="Arial"/>
                <w:sz w:val="18"/>
                <w:szCs w:val="18"/>
                <w:color w:val="auto"/>
              </w:rPr>
              <w:t>Equity compensation plans approved by security holders (1)</w:t>
            </w:r>
          </w:p>
        </w:tc>
        <w:tc>
          <w:tcPr>
            <w:tcW w:w="1820" w:type="dxa"/>
            <w:vAlign w:val="bottom"/>
            <w:shd w:val="clear" w:color="auto" w:fill="E5E5E5"/>
          </w:tcPr>
          <w:p>
            <w:pPr>
              <w:jc w:val="right"/>
              <w:ind w:right="118"/>
              <w:spacing w:after="0"/>
              <w:rPr>
                <w:sz w:val="20"/>
                <w:szCs w:val="20"/>
                <w:color w:val="auto"/>
              </w:rPr>
            </w:pPr>
            <w:r>
              <w:rPr>
                <w:rFonts w:ascii="Arial" w:cs="Arial" w:eastAsia="Arial" w:hAnsi="Arial"/>
                <w:sz w:val="18"/>
                <w:szCs w:val="18"/>
                <w:color w:val="auto"/>
              </w:rPr>
              <w:t>6,600,427</w:t>
            </w:r>
          </w:p>
        </w:tc>
        <w:tc>
          <w:tcPr>
            <w:tcW w:w="1500" w:type="dxa"/>
            <w:vAlign w:val="bottom"/>
            <w:shd w:val="clear" w:color="auto" w:fill="E5E5E5"/>
          </w:tcPr>
          <w:p>
            <w:pPr>
              <w:jc w:val="center"/>
              <w:spacing w:after="0"/>
              <w:rPr>
                <w:sz w:val="20"/>
                <w:szCs w:val="20"/>
                <w:color w:val="auto"/>
              </w:rPr>
            </w:pPr>
            <w:r>
              <w:rPr>
                <w:rFonts w:ascii="Arial" w:cs="Arial" w:eastAsia="Arial" w:hAnsi="Arial"/>
                <w:sz w:val="18"/>
                <w:szCs w:val="18"/>
                <w:color w:val="auto"/>
              </w:rPr>
              <w:t>$41.75</w:t>
            </w:r>
          </w:p>
        </w:tc>
        <w:tc>
          <w:tcPr>
            <w:tcW w:w="2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4,600,465</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0071CE"/>
            </w:tcBorders>
          </w:tcPr>
          <w:p>
            <w:pPr>
              <w:ind w:left="120"/>
              <w:spacing w:after="0"/>
              <w:rPr>
                <w:sz w:val="20"/>
                <w:szCs w:val="20"/>
                <w:color w:val="auto"/>
              </w:rPr>
            </w:pPr>
            <w:r>
              <w:rPr>
                <w:rFonts w:ascii="Arial" w:cs="Arial" w:eastAsia="Arial" w:hAnsi="Arial"/>
                <w:sz w:val="18"/>
                <w:szCs w:val="18"/>
                <w:color w:val="auto"/>
              </w:rPr>
              <w:t>Equity compensation plans not approved by security holders (2)</w:t>
            </w:r>
          </w:p>
        </w:tc>
        <w:tc>
          <w:tcPr>
            <w:tcW w:w="1820" w:type="dxa"/>
            <w:vAlign w:val="bottom"/>
            <w:tcBorders>
              <w:bottom w:val="single" w:sz="8" w:color="0071CE"/>
            </w:tcBorders>
          </w:tcPr>
          <w:p>
            <w:pPr>
              <w:jc w:val="right"/>
              <w:ind w:right="118"/>
              <w:spacing w:after="0"/>
              <w:rPr>
                <w:sz w:val="20"/>
                <w:szCs w:val="20"/>
                <w:color w:val="auto"/>
              </w:rPr>
            </w:pPr>
            <w:r>
              <w:rPr>
                <w:rFonts w:ascii="Arial" w:cs="Arial" w:eastAsia="Arial" w:hAnsi="Arial"/>
                <w:sz w:val="18"/>
                <w:szCs w:val="18"/>
                <w:color w:val="auto"/>
              </w:rPr>
              <w:t>291,401</w:t>
            </w:r>
          </w:p>
        </w:tc>
        <w:tc>
          <w:tcPr>
            <w:tcW w:w="1500" w:type="dxa"/>
            <w:vAlign w:val="bottom"/>
            <w:tcBorders>
              <w:bottom w:val="single" w:sz="8" w:color="0071CE"/>
            </w:tcBorders>
          </w:tcPr>
          <w:p>
            <w:pPr>
              <w:jc w:val="right"/>
              <w:ind w:right="616"/>
              <w:spacing w:after="0"/>
              <w:rPr>
                <w:sz w:val="20"/>
                <w:szCs w:val="20"/>
                <w:color w:val="auto"/>
              </w:rPr>
            </w:pPr>
            <w:r>
              <w:rPr>
                <w:rFonts w:ascii="Arial" w:cs="Arial" w:eastAsia="Arial" w:hAnsi="Arial"/>
                <w:sz w:val="18"/>
                <w:szCs w:val="18"/>
                <w:color w:val="auto"/>
              </w:rPr>
              <w:t>$49.61</w:t>
            </w:r>
          </w:p>
        </w:tc>
        <w:tc>
          <w:tcPr>
            <w:tcW w:w="2420" w:type="dxa"/>
            <w:vAlign w:val="bottom"/>
            <w:tcBorders>
              <w:bottom w:val="single" w:sz="8" w:color="0071CE"/>
            </w:tcBorders>
          </w:tcPr>
          <w:p>
            <w:pPr>
              <w:jc w:val="right"/>
              <w:spacing w:after="0"/>
              <w:rPr>
                <w:sz w:val="20"/>
                <w:szCs w:val="20"/>
                <w:color w:val="auto"/>
              </w:rPr>
            </w:pPr>
            <w:r>
              <w:rPr>
                <w:rFonts w:ascii="Arial" w:cs="Arial" w:eastAsia="Arial" w:hAnsi="Arial"/>
                <w:sz w:val="18"/>
                <w:szCs w:val="18"/>
                <w:color w:val="auto"/>
              </w:rPr>
              <w:t>510,600</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0071CE"/>
            </w:tcBorders>
            <w:shd w:val="clear" w:color="auto" w:fill="E5E5E5"/>
          </w:tcPr>
          <w:p>
            <w:pPr>
              <w:ind w:left="120"/>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0071CE"/>
            </w:tcBorders>
            <w:shd w:val="clear" w:color="auto" w:fill="E5E5E5"/>
          </w:tcPr>
          <w:p>
            <w:pPr>
              <w:jc w:val="right"/>
              <w:ind w:right="118"/>
              <w:spacing w:after="0"/>
              <w:rPr>
                <w:sz w:val="20"/>
                <w:szCs w:val="20"/>
                <w:color w:val="auto"/>
              </w:rPr>
            </w:pPr>
            <w:r>
              <w:rPr>
                <w:rFonts w:ascii="Arial" w:cs="Arial" w:eastAsia="Arial" w:hAnsi="Arial"/>
                <w:sz w:val="18"/>
                <w:szCs w:val="18"/>
                <w:color w:val="auto"/>
              </w:rPr>
              <w:t>6,891,828</w:t>
            </w:r>
          </w:p>
        </w:tc>
        <w:tc>
          <w:tcPr>
            <w:tcW w:w="1500" w:type="dxa"/>
            <w:vAlign w:val="bottom"/>
            <w:tcBorders>
              <w:bottom w:val="single" w:sz="8" w:color="0071CE"/>
            </w:tcBorders>
            <w:shd w:val="clear" w:color="auto" w:fill="E5E5E5"/>
          </w:tcPr>
          <w:p>
            <w:pPr>
              <w:jc w:val="center"/>
              <w:spacing w:after="0"/>
              <w:rPr>
                <w:sz w:val="20"/>
                <w:szCs w:val="20"/>
                <w:color w:val="auto"/>
              </w:rPr>
            </w:pPr>
            <w:r>
              <w:rPr>
                <w:rFonts w:ascii="Arial" w:cs="Arial" w:eastAsia="Arial" w:hAnsi="Arial"/>
                <w:sz w:val="18"/>
                <w:szCs w:val="18"/>
                <w:color w:val="auto"/>
              </w:rPr>
              <w:t>$42.08</w:t>
            </w:r>
          </w:p>
        </w:tc>
        <w:tc>
          <w:tcPr>
            <w:tcW w:w="2420" w:type="dxa"/>
            <w:vAlign w:val="bottom"/>
            <w:tcBorders>
              <w:bottom w:val="single" w:sz="8" w:color="0071CE"/>
            </w:tcBorders>
            <w:shd w:val="clear" w:color="auto" w:fill="E5E5E5"/>
          </w:tcPr>
          <w:p>
            <w:pPr>
              <w:jc w:val="right"/>
              <w:spacing w:after="0"/>
              <w:rPr>
                <w:sz w:val="20"/>
                <w:szCs w:val="20"/>
                <w:color w:val="auto"/>
              </w:rPr>
            </w:pPr>
            <w:r>
              <w:rPr>
                <w:rFonts w:ascii="Arial" w:cs="Arial" w:eastAsia="Arial" w:hAnsi="Arial"/>
                <w:sz w:val="18"/>
                <w:szCs w:val="18"/>
                <w:color w:val="auto"/>
              </w:rPr>
              <w:t>5,111,065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-1645285</wp:posOffset>
            </wp:positionV>
            <wp:extent cx="363474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133" w:lineRule="exact"/>
        <w:rPr>
          <w:sz w:val="20"/>
          <w:szCs w:val="20"/>
          <w:color w:val="auto"/>
        </w:rPr>
      </w:pPr>
    </w:p>
    <w:p>
      <w:pPr>
        <w:jc w:val="both"/>
        <w:ind w:left="340" w:hanging="332"/>
        <w:spacing w:after="0" w:line="263" w:lineRule="auto"/>
        <w:tabs>
          <w:tab w:leader="none" w:pos="327"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Includes options outstanding representing 1,290,720 and 32,151 shares of Common Stock under the 2013 Incentive Plan and the 2021 Incentive Plan, respectively. Also includes 1,608,510 and 2,768,776 RSUs subject to the 2013 Incentive Plan and the 2021 Incentive Plan, respectively. There is no exercise price associated with a RSU award. Accordingly, these have been excluded from the column in the table reporting the weighted-average exercise price of outstanding awards.</w:t>
      </w:r>
    </w:p>
    <w:p>
      <w:pPr>
        <w:spacing w:after="0" w:line="199" w:lineRule="exact"/>
        <w:rPr>
          <w:rFonts w:ascii="Arial" w:cs="Arial" w:eastAsia="Arial" w:hAnsi="Arial"/>
          <w:sz w:val="14"/>
          <w:szCs w:val="14"/>
          <w:color w:val="auto"/>
        </w:rPr>
      </w:pPr>
    </w:p>
    <w:p>
      <w:pPr>
        <w:ind w:left="340" w:right="60" w:hanging="332"/>
        <w:spacing w:after="0" w:line="285" w:lineRule="auto"/>
        <w:tabs>
          <w:tab w:leader="none" w:pos="327"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Includes 655,645 inducement option grants and 244,625 inducement RSU grants issued to newly hired employees granted outside of the Company’s Inducement Plan and 0 inducement option grants and 291,401 inducement RSU grants issued to newly hired employees pursuant to the Company’s Inducement Plan.</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Material Features of the Inducement Plan and Stand-Alone Inducement Awards</w:t>
      </w:r>
    </w:p>
    <w:p>
      <w:pPr>
        <w:spacing w:after="0" w:line="20"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The Company’s Inducement Plan was established by the Board during fiscal year 2024 to advance the interests of the Company by providing for the grant of stock-based awards. The Company has also granted inducement awards outside of the inducement plan. In accordance with Nasdaq rules, this plan and the stand-alone awards are used to offer equity awards as material inducements for new employees to join the Company. Subject to adjustment for certain changes in our capitalization, the maximum aggregate number of shares that may be issued under the inducement plan is 832,950. The equity awards granted as inducement awards both under and outside of the inducement plan are typically in the form of stock options with exercise prices equal to the fair market value of our common stock on the date of grant and/or restricted stock units. The inducement plan also provides for the granting of other types of equity awards, including stock appreciation rights and restricted stock awards.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Current Executive Officers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names, ages, and positions of our current executive officers serving as of January 28, 2025 are provided below. Biographical information regarding these officers is set forth under the following table, except for Dr. Anzalone, whose biography is set forth above with our other directors. Each executive officer holds office until the first meeting of the Board of Directors after the annual meeting of stockholders next succeeding their election, and until his/her successor is elected and qualified or until his/her earlier resignation or removal.</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380"/>
        </w:trPr>
        <w:tc>
          <w:tcPr>
            <w:tcW w:w="3140" w:type="dxa"/>
            <w:vAlign w:val="bottom"/>
            <w:shd w:val="clear" w:color="auto" w:fill="0071CE"/>
          </w:tcPr>
          <w:p>
            <w:pPr>
              <w:ind w:left="140"/>
              <w:spacing w:after="0"/>
              <w:rPr>
                <w:sz w:val="20"/>
                <w:szCs w:val="20"/>
                <w:color w:val="auto"/>
              </w:rPr>
            </w:pPr>
            <w:r>
              <w:rPr>
                <w:rFonts w:ascii="Arial" w:cs="Arial" w:eastAsia="Arial" w:hAnsi="Arial"/>
                <w:sz w:val="16"/>
                <w:szCs w:val="16"/>
                <w:b w:val="1"/>
                <w:bCs w:val="1"/>
                <w:color w:val="FFFFFF"/>
              </w:rPr>
              <w:t>Name</w:t>
            </w:r>
          </w:p>
        </w:tc>
        <w:tc>
          <w:tcPr>
            <w:tcW w:w="560" w:type="dxa"/>
            <w:vAlign w:val="bottom"/>
            <w:shd w:val="clear" w:color="auto" w:fill="0071CE"/>
          </w:tcPr>
          <w:p>
            <w:pPr>
              <w:jc w:val="center"/>
              <w:spacing w:after="0"/>
              <w:rPr>
                <w:sz w:val="20"/>
                <w:szCs w:val="20"/>
                <w:color w:val="auto"/>
              </w:rPr>
            </w:pPr>
            <w:r>
              <w:rPr>
                <w:rFonts w:ascii="Arial" w:cs="Arial" w:eastAsia="Arial" w:hAnsi="Arial"/>
                <w:sz w:val="16"/>
                <w:szCs w:val="16"/>
                <w:b w:val="1"/>
                <w:bCs w:val="1"/>
                <w:color w:val="FFFFFF"/>
                <w:w w:val="99"/>
              </w:rPr>
              <w:t>Age</w:t>
            </w:r>
          </w:p>
        </w:tc>
        <w:tc>
          <w:tcPr>
            <w:tcW w:w="7520" w:type="dxa"/>
            <w:vAlign w:val="bottom"/>
            <w:shd w:val="clear" w:color="auto" w:fill="0071CE"/>
          </w:tcPr>
          <w:p>
            <w:pPr>
              <w:ind w:left="2880"/>
              <w:spacing w:after="0"/>
              <w:rPr>
                <w:sz w:val="20"/>
                <w:szCs w:val="20"/>
                <w:color w:val="auto"/>
              </w:rPr>
            </w:pPr>
            <w:r>
              <w:rPr>
                <w:rFonts w:ascii="Arial" w:cs="Arial" w:eastAsia="Arial" w:hAnsi="Arial"/>
                <w:sz w:val="16"/>
                <w:szCs w:val="16"/>
                <w:b w:val="1"/>
                <w:bCs w:val="1"/>
                <w:color w:val="FFFFFF"/>
              </w:rPr>
              <w:t>Position with Arrowhead</w:t>
            </w:r>
          </w:p>
        </w:tc>
        <w:tc>
          <w:tcPr>
            <w:tcW w:w="20" w:type="dxa"/>
            <w:vAlign w:val="bottom"/>
            <w:shd w:val="clear" w:color="auto" w:fill="0071CE"/>
          </w:tcPr>
          <w:p>
            <w:pPr>
              <w:spacing w:after="0"/>
              <w:rPr>
                <w:sz w:val="24"/>
                <w:szCs w:val="24"/>
                <w:color w:val="auto"/>
              </w:rPr>
            </w:pPr>
          </w:p>
        </w:tc>
      </w:tr>
      <w:tr>
        <w:trPr>
          <w:trHeight w:val="196"/>
        </w:trPr>
        <w:tc>
          <w:tcPr>
            <w:tcW w:w="3140" w:type="dxa"/>
            <w:vAlign w:val="bottom"/>
            <w:shd w:val="clear" w:color="auto" w:fill="0071CE"/>
          </w:tcPr>
          <w:p>
            <w:pPr>
              <w:spacing w:after="0"/>
              <w:rPr>
                <w:sz w:val="17"/>
                <w:szCs w:val="17"/>
                <w:color w:val="auto"/>
              </w:rPr>
            </w:pPr>
          </w:p>
        </w:tc>
        <w:tc>
          <w:tcPr>
            <w:tcW w:w="560" w:type="dxa"/>
            <w:vAlign w:val="bottom"/>
            <w:shd w:val="clear" w:color="auto" w:fill="0071CE"/>
          </w:tcPr>
          <w:p>
            <w:pPr>
              <w:spacing w:after="0"/>
              <w:rPr>
                <w:sz w:val="17"/>
                <w:szCs w:val="17"/>
                <w:color w:val="auto"/>
              </w:rPr>
            </w:pPr>
          </w:p>
        </w:tc>
        <w:tc>
          <w:tcPr>
            <w:tcW w:w="7520" w:type="dxa"/>
            <w:vAlign w:val="bottom"/>
            <w:shd w:val="clear" w:color="auto" w:fill="0071CE"/>
          </w:tcPr>
          <w:p>
            <w:pPr>
              <w:spacing w:after="0"/>
              <w:rPr>
                <w:sz w:val="17"/>
                <w:szCs w:val="17"/>
                <w:color w:val="auto"/>
              </w:rPr>
            </w:pPr>
          </w:p>
        </w:tc>
        <w:tc>
          <w:tcPr>
            <w:tcW w:w="20" w:type="dxa"/>
            <w:vAlign w:val="bottom"/>
            <w:shd w:val="clear" w:color="auto" w:fill="0071CE"/>
          </w:tcPr>
          <w:p>
            <w:pPr>
              <w:spacing w:after="0"/>
              <w:rPr>
                <w:sz w:val="17"/>
                <w:szCs w:val="17"/>
                <w:color w:val="auto"/>
              </w:rPr>
            </w:pPr>
          </w:p>
        </w:tc>
      </w:tr>
      <w:tr>
        <w:trPr>
          <w:trHeight w:val="216"/>
        </w:trPr>
        <w:tc>
          <w:tcPr>
            <w:tcW w:w="3140" w:type="dxa"/>
            <w:vAlign w:val="bottom"/>
            <w:shd w:val="clear" w:color="auto" w:fill="E5E5E5"/>
          </w:tcPr>
          <w:p>
            <w:pPr>
              <w:ind w:left="20"/>
              <w:spacing w:after="0"/>
              <w:rPr>
                <w:sz w:val="20"/>
                <w:szCs w:val="20"/>
                <w:color w:val="auto"/>
              </w:rPr>
            </w:pPr>
            <w:r>
              <w:rPr>
                <w:rFonts w:ascii="Arial" w:cs="Arial" w:eastAsia="Arial" w:hAnsi="Arial"/>
                <w:sz w:val="16"/>
                <w:szCs w:val="16"/>
                <w:color w:val="auto"/>
              </w:rPr>
              <w:t>Christopher Anzalone</w:t>
            </w:r>
          </w:p>
        </w:tc>
        <w:tc>
          <w:tcPr>
            <w:tcW w:w="5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55</w:t>
            </w:r>
          </w:p>
        </w:tc>
        <w:tc>
          <w:tcPr>
            <w:tcW w:w="7520" w:type="dxa"/>
            <w:vAlign w:val="bottom"/>
            <w:shd w:val="clear" w:color="auto" w:fill="E5E5E5"/>
          </w:tcPr>
          <w:p>
            <w:pPr>
              <w:ind w:left="140"/>
              <w:spacing w:after="0"/>
              <w:rPr>
                <w:sz w:val="20"/>
                <w:szCs w:val="20"/>
                <w:color w:val="auto"/>
              </w:rPr>
            </w:pPr>
            <w:r>
              <w:rPr>
                <w:rFonts w:ascii="Arial" w:cs="Arial" w:eastAsia="Arial" w:hAnsi="Arial"/>
                <w:sz w:val="16"/>
                <w:szCs w:val="16"/>
                <w:color w:val="auto"/>
              </w:rPr>
              <w:t>Chief Executive Officer &amp; President and Director</w:t>
            </w:r>
          </w:p>
        </w:tc>
        <w:tc>
          <w:tcPr>
            <w:tcW w:w="20" w:type="dxa"/>
            <w:vAlign w:val="bottom"/>
          </w:tcPr>
          <w:p>
            <w:pPr>
              <w:spacing w:after="0"/>
              <w:rPr>
                <w:sz w:val="18"/>
                <w:szCs w:val="18"/>
                <w:color w:val="auto"/>
              </w:rPr>
            </w:pPr>
          </w:p>
        </w:tc>
      </w:tr>
      <w:tr>
        <w:trPr>
          <w:trHeight w:val="215"/>
        </w:trPr>
        <w:tc>
          <w:tcPr>
            <w:tcW w:w="3140" w:type="dxa"/>
            <w:vAlign w:val="bottom"/>
          </w:tcPr>
          <w:p>
            <w:pPr>
              <w:ind w:left="20"/>
              <w:spacing w:after="0"/>
              <w:rPr>
                <w:sz w:val="20"/>
                <w:szCs w:val="20"/>
                <w:color w:val="auto"/>
              </w:rPr>
            </w:pPr>
            <w:r>
              <w:rPr>
                <w:rFonts w:ascii="Arial" w:cs="Arial" w:eastAsia="Arial" w:hAnsi="Arial"/>
                <w:sz w:val="16"/>
                <w:szCs w:val="16"/>
                <w:color w:val="auto"/>
              </w:rPr>
              <w:t>Kenneth A. Myszkowski</w:t>
            </w:r>
          </w:p>
        </w:tc>
        <w:tc>
          <w:tcPr>
            <w:tcW w:w="560" w:type="dxa"/>
            <w:vAlign w:val="bottom"/>
          </w:tcPr>
          <w:p>
            <w:pPr>
              <w:jc w:val="center"/>
              <w:spacing w:after="0"/>
              <w:rPr>
                <w:sz w:val="20"/>
                <w:szCs w:val="20"/>
                <w:color w:val="auto"/>
              </w:rPr>
            </w:pPr>
            <w:r>
              <w:rPr>
                <w:rFonts w:ascii="Arial" w:cs="Arial" w:eastAsia="Arial" w:hAnsi="Arial"/>
                <w:sz w:val="16"/>
                <w:szCs w:val="16"/>
                <w:color w:val="auto"/>
              </w:rPr>
              <w:t>58</w:t>
            </w:r>
          </w:p>
        </w:tc>
        <w:tc>
          <w:tcPr>
            <w:tcW w:w="7520" w:type="dxa"/>
            <w:vAlign w:val="bottom"/>
          </w:tcPr>
          <w:p>
            <w:pPr>
              <w:ind w:left="140"/>
              <w:spacing w:after="0"/>
              <w:rPr>
                <w:sz w:val="20"/>
                <w:szCs w:val="20"/>
                <w:color w:val="auto"/>
              </w:rPr>
            </w:pPr>
            <w:r>
              <w:rPr>
                <w:rFonts w:ascii="Arial" w:cs="Arial" w:eastAsia="Arial" w:hAnsi="Arial"/>
                <w:sz w:val="16"/>
                <w:szCs w:val="16"/>
                <w:color w:val="auto"/>
              </w:rPr>
              <w:t>Chief Financial Officer</w:t>
            </w:r>
          </w:p>
        </w:tc>
        <w:tc>
          <w:tcPr>
            <w:tcW w:w="20" w:type="dxa"/>
            <w:vAlign w:val="bottom"/>
          </w:tcPr>
          <w:p>
            <w:pPr>
              <w:spacing w:after="0"/>
              <w:rPr>
                <w:sz w:val="18"/>
                <w:szCs w:val="18"/>
                <w:color w:val="auto"/>
              </w:rPr>
            </w:pPr>
          </w:p>
        </w:tc>
      </w:tr>
      <w:tr>
        <w:trPr>
          <w:trHeight w:val="217"/>
        </w:trPr>
        <w:tc>
          <w:tcPr>
            <w:tcW w:w="3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James Hamilton</w:t>
            </w:r>
          </w:p>
        </w:tc>
        <w:tc>
          <w:tcPr>
            <w:tcW w:w="56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47</w:t>
            </w:r>
          </w:p>
        </w:tc>
        <w:tc>
          <w:tcPr>
            <w:tcW w:w="7520" w:type="dxa"/>
            <w:vAlign w:val="bottom"/>
            <w:shd w:val="clear" w:color="auto" w:fill="E5E5E5"/>
          </w:tcPr>
          <w:p>
            <w:pPr>
              <w:ind w:left="140"/>
              <w:spacing w:after="0"/>
              <w:rPr>
                <w:sz w:val="20"/>
                <w:szCs w:val="20"/>
                <w:color w:val="auto"/>
              </w:rPr>
            </w:pPr>
            <w:r>
              <w:rPr>
                <w:rFonts w:ascii="Arial" w:cs="Arial" w:eastAsia="Arial" w:hAnsi="Arial"/>
                <w:sz w:val="16"/>
                <w:szCs w:val="16"/>
                <w:color w:val="auto"/>
              </w:rPr>
              <w:t>Chief of Discovery and Translational Medicine</w:t>
            </w:r>
          </w:p>
        </w:tc>
        <w:tc>
          <w:tcPr>
            <w:tcW w:w="20" w:type="dxa"/>
            <w:vAlign w:val="bottom"/>
          </w:tcPr>
          <w:p>
            <w:pPr>
              <w:spacing w:after="0"/>
              <w:rPr>
                <w:sz w:val="18"/>
                <w:szCs w:val="18"/>
                <w:color w:val="auto"/>
              </w:rPr>
            </w:pPr>
          </w:p>
        </w:tc>
      </w:tr>
      <w:tr>
        <w:trPr>
          <w:trHeight w:val="215"/>
        </w:trPr>
        <w:tc>
          <w:tcPr>
            <w:tcW w:w="3140" w:type="dxa"/>
            <w:vAlign w:val="bottom"/>
          </w:tcPr>
          <w:p>
            <w:pPr>
              <w:ind w:left="20"/>
              <w:spacing w:after="0"/>
              <w:rPr>
                <w:sz w:val="20"/>
                <w:szCs w:val="20"/>
                <w:color w:val="auto"/>
              </w:rPr>
            </w:pPr>
            <w:r>
              <w:rPr>
                <w:rFonts w:ascii="Arial" w:cs="Arial" w:eastAsia="Arial" w:hAnsi="Arial"/>
                <w:sz w:val="16"/>
                <w:szCs w:val="16"/>
                <w:color w:val="auto"/>
              </w:rPr>
              <w:t>Patrick O’Brien</w:t>
            </w:r>
          </w:p>
        </w:tc>
        <w:tc>
          <w:tcPr>
            <w:tcW w:w="560" w:type="dxa"/>
            <w:vAlign w:val="bottom"/>
          </w:tcPr>
          <w:p>
            <w:pPr>
              <w:jc w:val="center"/>
              <w:spacing w:after="0"/>
              <w:rPr>
                <w:sz w:val="20"/>
                <w:szCs w:val="20"/>
                <w:color w:val="auto"/>
              </w:rPr>
            </w:pPr>
            <w:r>
              <w:rPr>
                <w:rFonts w:ascii="Arial" w:cs="Arial" w:eastAsia="Arial" w:hAnsi="Arial"/>
                <w:sz w:val="16"/>
                <w:szCs w:val="16"/>
                <w:color w:val="auto"/>
              </w:rPr>
              <w:t>61</w:t>
            </w:r>
          </w:p>
        </w:tc>
        <w:tc>
          <w:tcPr>
            <w:tcW w:w="7520" w:type="dxa"/>
            <w:vAlign w:val="bottom"/>
          </w:tcPr>
          <w:p>
            <w:pPr>
              <w:ind w:left="140"/>
              <w:spacing w:after="0"/>
              <w:rPr>
                <w:sz w:val="20"/>
                <w:szCs w:val="20"/>
                <w:color w:val="auto"/>
              </w:rPr>
            </w:pPr>
            <w:r>
              <w:rPr>
                <w:rFonts w:ascii="Arial" w:cs="Arial" w:eastAsia="Arial" w:hAnsi="Arial"/>
                <w:sz w:val="16"/>
                <w:szCs w:val="16"/>
                <w:color w:val="auto"/>
              </w:rPr>
              <w:t>Chief Operating Officer and General Counsel</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558165</wp:posOffset>
            </wp:positionV>
            <wp:extent cx="986155" cy="2057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8" w:lineRule="exact"/>
        <w:rPr>
          <w:sz w:val="20"/>
          <w:szCs w:val="20"/>
          <w:color w:val="auto"/>
        </w:rPr>
      </w:pPr>
    </w:p>
    <w:p>
      <w:pPr>
        <w:jc w:val="right"/>
        <w:spacing w:after="0"/>
        <w:tabs>
          <w:tab w:leader="none" w:pos="264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Equity Compensation Plan Information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color w:val="auto"/>
        </w:rPr>
        <w:t xml:space="preserve">Kenneth A. Myszkowski, </w:t>
      </w:r>
      <w:r>
        <w:rPr>
          <w:rFonts w:ascii="Arial" w:cs="Arial" w:eastAsia="Arial" w:hAnsi="Arial"/>
          <w:sz w:val="16"/>
          <w:szCs w:val="16"/>
          <w:color w:val="auto"/>
        </w:rPr>
        <w:t>Chief Financial Officer, joined the Company in 2009. Prior to joining Arrowhead, Mr. Myszkowski served as the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controller for Broadwind Energy, a public energy company which provides products and services to the wind energy industry. Previous to his position at Broadwind, Mr. Myszkowski was controller for Epcor USA, the U.S. headquarters for Epcor Utilities, Inc., a public energy company. Prior to Epcor, Mr. Myszkowski was controller for two start-up ventures: NanoInk, specializing in Dip Pen Nanolithography, a nanofabrication technology, and Delphion, which provided on-line tools for intellectual property research. Mr. Myszkowski also held several corporate roles at FMC Corporation and Premark International, both Fortune 500 conglomerates. He began his career in the audit practice of Arthur Andersen &amp; Co. in Chicago, Illinois. Mr. Myszkowski received his undergraduate degree from the University of Illinois, and his MBA from the University of Chicago Booth School of Business. He is a certified public accountant (inactive).</w:t>
      </w:r>
    </w:p>
    <w:p>
      <w:pPr>
        <w:spacing w:after="0" w:line="34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color w:val="auto"/>
        </w:rPr>
        <w:t>Patrick C. O’Brien</w:t>
      </w:r>
      <w:r>
        <w:rPr>
          <w:rFonts w:ascii="Arial" w:cs="Arial" w:eastAsia="Arial" w:hAnsi="Arial"/>
          <w:sz w:val="16"/>
          <w:szCs w:val="16"/>
          <w:color w:val="auto"/>
        </w:rPr>
        <w:t>, Chief Operating Officer and General Counsel, joined the Company in December 2014, where he has served as Chief Operating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since July 2022 and as General Counsel since 2014. Mr. O’Brien has practiced in the healthcare legal field for over 30 years. Before joining the Company, from 2012 to 2014, Mr. O’Brien was with Shire, a global pharmaceutical company, where he was Group Vice President, Law. Immediately prior to working with Shire he was a partner with the international law firm of Holland &amp; Knight LLP in its Washington, DC office. In 2010, Mr. O’Brien co-founded the law firm O’Brien Gould PLLC which joined Holland &amp; Knight in 2011. From 2009 to 2010, Mr. O’Brien was a partner in Burke O’Neil LLC. From 2001 to 2009, Mr. O’Brien served in several legal roles with Johnson &amp; Johnson, including serving as Vice President of Law for J&amp;J’s Centocor Ortho-Biotech unit. Mr. O’Brien previously served as Regulatory Counsel with the United States Food &amp; Drug Administration. Mr. O’Brien was awarded a BS in Pharmacy and a PharmD from the University of Arizona before completing a residency in Clinical Pharmacy with the University of Illinois at Chicago Hospital. He was also awarded his JD from the University of Arizona.</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James Hamilton, </w:t>
      </w:r>
      <w:r>
        <w:rPr>
          <w:rFonts w:ascii="Arial" w:cs="Arial" w:eastAsia="Arial" w:hAnsi="Arial"/>
          <w:sz w:val="16"/>
          <w:szCs w:val="16"/>
          <w:color w:val="auto"/>
        </w:rPr>
        <w:t>Chief of Discovery &amp; Translational Medicine, joined the Company in 2014. He is responsible for target discovery as well as non-clinical</w:t>
      </w:r>
      <w:r>
        <w:rPr>
          <w:rFonts w:ascii="Arial" w:cs="Arial" w:eastAsia="Arial" w:hAnsi="Arial"/>
          <w:sz w:val="16"/>
          <w:szCs w:val="16"/>
          <w:b w:val="1"/>
          <w:bCs w:val="1"/>
          <w:color w:val="auto"/>
        </w:rPr>
        <w:t xml:space="preserve"> </w:t>
      </w:r>
      <w:r>
        <w:rPr>
          <w:rFonts w:ascii="Arial" w:cs="Arial" w:eastAsia="Arial" w:hAnsi="Arial"/>
          <w:sz w:val="16"/>
          <w:szCs w:val="16"/>
          <w:color w:val="auto"/>
        </w:rPr>
        <w:t>and early clinical development. Previously, Dr. Hamilton served as Vice President, Clinical Development, responsible for clinical strategy, clinical trial design and execution including early translational and mid-stage development of all Arrowhead programs. He is experienced in multiple disease areas including virology, hepatology, cardiovascular disease, rare disease and oncology. Dr. Hamilton led the clinical development of ARO-HBV (now JNJ-3989), which was licensed to Janssen Pharmaceuticals. In parallel, Dr. Hamilton served as Head of Corporate Development and led Arrowhead’s in-licensing transaction of Novartis’s RNAi assets, as well as the out-licensing of ARO-LPA (now AMG890) to Amgen and the ARO-AAT partnership with Takeda. Dr. Hamilton started his employment at Arrowhead as Medical Director and Head of Corporate development. He holds both MD and MBA degrees from The Ohio State University. He is a licensed physician and completed residency training with board certification in emergency medicine.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492125</wp:posOffset>
            </wp:positionV>
            <wp:extent cx="986155" cy="2057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8" w:lineRule="exact"/>
        <w:rPr>
          <w:sz w:val="20"/>
          <w:szCs w:val="20"/>
          <w:color w:val="auto"/>
        </w:rPr>
      </w:pPr>
    </w:p>
    <w:p>
      <w:pPr>
        <w:jc w:val="right"/>
        <w:spacing w:after="0"/>
        <w:tabs>
          <w:tab w:leader="none" w:pos="352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Review and Approval of Related-Party Transactions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2"/>
          <w:szCs w:val="32"/>
          <w:b w:val="1"/>
          <w:bCs w:val="1"/>
          <w:color w:val="0071CE"/>
        </w:rPr>
        <w:t>Review and Approval of Related-Party Transactions</w:t>
      </w:r>
    </w:p>
    <w:p>
      <w:pPr>
        <w:spacing w:after="0" w:line="3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Board has adopted written policies and procedures for the review and approval of related-party transactions and has delegated to the Audit Committee the authority to review and approve the material terms of any proposed related-party transactions. To the extent that a proposed related-party transaction may involve a non-employee director or nominee for election as a director and may be material to a consideration of that person’s independence, the matter may also be considered by the other disinterested directors.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Pursuant to our Corporate Code of Conduct and our Nomination Committee Charter, each of our officers, directors and employees must disclose related-party transactions to our Board. In order to avoid conflicts of interest, our executive officers and directors may not acquire any ownership interest in any supplier, customer or competitor (other than nominal amounts of stock in publicly traded companies), enter into any consulting or employment relationship with any customer, supplier or competitor, or engage in any outside business activity that is competitive with any of our businesses, without first disclosing the proposed transaction. After the proposed transaction has been disclosed, a determination will be made by our Board or Audit Committee as to what course to follow, depending on the nature or extent of the conflict. Furthermore, our executive officers and directors may not serve on any board of directors of any customer, supplier or competitor unless such board service has been disclosed to us and approved by our Board.</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determining whether to approve or ratify a related-party transaction, the Board and/or Audit Committee may consider, among other factors it deems appropriate, the potential benefits to the Company, the impact on a director’s or nominee’s independence or an executive officer’s relationship with or service to the Company, whether the related-party transaction is on terms no less favorable than terms generally available to an unaffiliated third party under the same or similar circumstances, and the extent of the related party’s interest in the transaction. In deciding to approve a transaction, the Board or Audit Committee may, in its sole discretion, impose such conditions as it deems appropriate on us or the related party in connection with its approval of any transaction. Any transactions involving the compensation of executive officers, however, are reviewed and approved by the Compensation Committee. If a related-party transaction will be ongoing, the Audit Committee may establish guidelines to be followed in our ongoing dealings with the related party. Thereafter, the Audit Committee reviews and assesses the ongoing relationship with each related party to see that it is in compliance with the Audit Committee’s guidelines and that the related-party transaction remains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490220</wp:posOffset>
            </wp:positionV>
            <wp:extent cx="986155" cy="2057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8" w:lineRule="exact"/>
        <w:rPr>
          <w:sz w:val="20"/>
          <w:szCs w:val="20"/>
          <w:color w:val="auto"/>
        </w:rPr>
      </w:pPr>
    </w:p>
    <w:p>
      <w:pPr>
        <w:jc w:val="right"/>
        <w:spacing w:after="0"/>
        <w:tabs>
          <w:tab w:leader="none" w:pos="518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Certain Relationships and Related Transactions, and Director Independence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800"/>
        <w:spacing w:after="0" w:line="307" w:lineRule="auto"/>
        <w:rPr>
          <w:sz w:val="20"/>
          <w:szCs w:val="20"/>
          <w:color w:val="auto"/>
        </w:rPr>
      </w:pPr>
      <w:r>
        <w:rPr>
          <w:rFonts w:ascii="Arial" w:cs="Arial" w:eastAsia="Arial" w:hAnsi="Arial"/>
          <w:sz w:val="32"/>
          <w:szCs w:val="32"/>
          <w:b w:val="1"/>
          <w:bCs w:val="1"/>
          <w:color w:val="0071CE"/>
        </w:rPr>
        <w:t>Certain Relationships and Related Transactions, and Director Independence</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September 30, 2024, a majority of the members of the Board are independent directors, as defined by the Nasdaq Marketplace Rules. The Board has determined that all of the Company’s directors are independent, except Dr. Anzalone, the Company’s Chief Executive Officer. Non-employee directors do not receive consulting, legal or other fees from the Company, other than Board compensation.</w:t>
      </w:r>
    </w:p>
    <w:p>
      <w:pPr>
        <w:spacing w:after="0" w:line="191" w:lineRule="exact"/>
        <w:rPr>
          <w:sz w:val="20"/>
          <w:szCs w:val="20"/>
          <w:color w:val="auto"/>
        </w:rPr>
      </w:pPr>
    </w:p>
    <w:p>
      <w:pPr>
        <w:ind w:right="40"/>
        <w:spacing w:after="0" w:line="228" w:lineRule="auto"/>
        <w:rPr>
          <w:sz w:val="20"/>
          <w:szCs w:val="20"/>
          <w:color w:val="auto"/>
        </w:rPr>
      </w:pPr>
      <w:r>
        <w:rPr>
          <w:rFonts w:ascii="Arial" w:cs="Arial" w:eastAsia="Arial" w:hAnsi="Arial"/>
          <w:sz w:val="16"/>
          <w:szCs w:val="16"/>
          <w:color w:val="auto"/>
        </w:rPr>
        <w:t>Dr. Bruce Given is the Company's Chief Medical Scientist and the brother of Dr. Douglass Given, the Company's former Director and Chairman of the Board, who stepped down effective as of December 31, 2024. Dr. Bruce Given earned base salary and bonus of $582.400 during fiscal year 2024. His current base salary is $605,696. In January 2025, Dr. Bruce Given was awarded 100,000 RSUs, and this award vests in four annual tranches from the grant date. The grant date fair value of this award is $1,979,000.</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6"/>
          <w:szCs w:val="16"/>
          <w:color w:val="auto"/>
        </w:rPr>
        <w:t>Vincent Anzalone is the Company’s Vice President, Investor Relations and the brother of Christopher Anzalone, the Company’s Chief Executive Officer. Vincent Anzalone earned base salary and bonus of $382,955 during fiscal year 2024. His current base salary is $340,240. In January 2025, Vincent Anzalone was awarded 25,000 RSUs, and this award vests in four annual tranches from the grant date. The grant date fair value of this award is $494,750.</w:t>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The Company will mail, without charge to any stockholder upon written request, a copy of the Company’s Annual Report on Form 10-K for the year ended September 30, 2024 including the financial statements, schedules and a list of exhibits. </w:t>
      </w:r>
      <w:r>
        <w:rPr>
          <w:rFonts w:ascii="Arial" w:cs="Arial" w:eastAsia="Arial" w:hAnsi="Arial"/>
          <w:sz w:val="16"/>
          <w:szCs w:val="16"/>
          <w:color w:val="auto"/>
        </w:rPr>
        <w:t>Requests should be sent to Arrowhead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Pharmaceuticals, Inc., 177 E. Colorado Blvd., Suite 700, Pasadena, CA 91105, Attn: Corporate Secretary, Phone (626) 304-3400.</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Stockholders Sharing the Same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may satisfy SEC rules regarding delivery of proxy statements including the proxy statement, annual report and Notice, by delivering a single Notice and, if applicable, a single set of proxy materials to an address shared by two or more of our stockholders. This delivery method can result in meaningful cost savings for us. To take advantage of this opportunity, we may deliver only one Notice, and if applicable, a single set of proxy materials to multiple stockholders who share an address, unless contrary instructions are received prior to the mailing date. Similarly, if you share an address with another stockholder and have received multiple copies of our Notice and/or other proxy materials, you may write or call us at the address and phone number below to request delivery of a single copy of these materials in the future. We undertake to deliver promptly upon written or oral request a separate copy of the Notice and/or other proxy materials to a stockholder at a shared address to which a single copy of these documents was delivered. If you hold stock as a record stockholder and prefer to receive separate copies of a Notice, and if applicable, other proxy materials either now or in the future, please contact us at the address provided below. If your stock is held through a brokerage firm or bank and you prefer to receive separate copies of a Notice and, if applicable, other proxy materials either now or in the future, please contact your brokerage firm or bank.</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Arrowhead Pharmaceuticals, Inc.</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177 E. Colorado Blvd., Suite 700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Pasadena CA 91105</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Attn: Corporate Secretary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Phone (626) 304-3400</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Delinquent Section 16(a) Reports</w:t>
      </w:r>
    </w:p>
    <w:p>
      <w:pPr>
        <w:spacing w:after="0" w:line="7" w:lineRule="exact"/>
        <w:rPr>
          <w:sz w:val="20"/>
          <w:szCs w:val="20"/>
          <w:color w:val="auto"/>
        </w:rPr>
      </w:pPr>
    </w:p>
    <w:p>
      <w:pPr>
        <w:ind w:right="40"/>
        <w:spacing w:after="0" w:line="223" w:lineRule="auto"/>
        <w:rPr>
          <w:sz w:val="20"/>
          <w:szCs w:val="20"/>
          <w:color w:val="auto"/>
        </w:rPr>
      </w:pPr>
      <w:r>
        <w:rPr>
          <w:rFonts w:ascii="Arial" w:cs="Arial" w:eastAsia="Arial" w:hAnsi="Arial"/>
          <w:sz w:val="16"/>
          <w:szCs w:val="16"/>
          <w:color w:val="auto"/>
        </w:rPr>
        <w:t>Section 16(a) of the Exchange Act requires our directors, executive officers, and greater-than-10% stockholders to file forms with the SEC to report their ownership of Company shares and any changes in ownership. We have reviewed all forms filed electronically with the SEC. Based on that review and on written information given to us by our executive officers and directors, we believe that all of our directors and executive officers filed the required reports on a timely basis under Section 16(a) during fiscal 2024, except for the inadvertent late filing of one Form 5 reporting one transaction for Dr.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644525</wp:posOffset>
            </wp:positionV>
            <wp:extent cx="986155" cy="2057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8"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0071CE"/>
        </w:rPr>
        <w:t>2025 PROXY STATEMENT</w:t>
      </w:r>
      <w:r>
        <w:rPr>
          <w:sz w:val="20"/>
          <w:szCs w:val="20"/>
          <w:color w:val="auto"/>
        </w:rPr>
        <w:tab/>
      </w:r>
      <w:r>
        <w:rPr>
          <w:rFonts w:ascii="Arial" w:cs="Arial" w:eastAsia="Arial" w:hAnsi="Arial"/>
          <w:sz w:val="14"/>
          <w:szCs w:val="14"/>
          <w:b w:val="1"/>
          <w:bCs w:val="1"/>
          <w:i w:val="1"/>
          <w:iCs w:val="1"/>
          <w:color w:val="3FAE2A"/>
        </w:rPr>
        <w:t>Certain Relationships and Related Transactions, and Director Independence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4C4C4C"/>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knows of no other matters to be submitted at the Annual Meeting. If any other matters properly come before the meeting, it is the intention of the persons named in the proxy card to vote on such matters in accordance with their best judgment.</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ORDER OF THE BOARD OF DIRECTORS</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Patrick O’Brien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Patrick O’Brien,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Secretary</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Pasadena, California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January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577850</wp:posOffset>
            </wp:positionV>
            <wp:extent cx="986155" cy="2057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8615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1020"/>
        <w:spacing w:after="0"/>
        <w:rPr>
          <w:sz w:val="20"/>
          <w:szCs w:val="20"/>
          <w:color w:val="auto"/>
        </w:rPr>
      </w:pPr>
      <w:r>
        <w:rPr>
          <w:rFonts w:ascii="Arial" w:cs="Arial" w:eastAsia="Arial" w:hAnsi="Arial"/>
          <w:sz w:val="18"/>
          <w:szCs w:val="18"/>
          <w:b w:val="1"/>
          <w:bCs w:val="1"/>
          <w:color w:val="0071CE"/>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2"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8561070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713105</wp:posOffset>
            </wp:positionV>
            <wp:extent cx="5349240" cy="69176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0" w:num="1">
            <w:col w:w="10139"/>
          </w:cols>
          <w:pgMar w:left="320" w:top="212"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867410</wp:posOffset>
            </wp:positionV>
            <wp:extent cx="5349240" cy="69176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sectPr>
      <w:pgSz w:w="11900" w:h="16838" w:orient="portrait"/>
      <w:cols w:equalWidth="0" w:num="1">
        <w:col w:w="10139"/>
      </w:cols>
      <w:pgMar w:left="320" w:top="2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1."/>
      <w:numFmt w:val="decimal"/>
      <w:start w:val="4"/>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1)"/>
      <w:numFmt w:val="decimal"/>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
      <w:numFmt w:val="bullet"/>
      <w:start w:val="1"/>
    </w:lvl>
  </w:abstractNum>
  <w:abstractNum w:abstractNumId="51">
    <w:nsid w:val="3F6AB60F"/>
    <w:multiLevelType w:val="hybridMultilevel"/>
    <w:lvl w:ilvl="0">
      <w:lvlJc w:val="left"/>
      <w:lvlText w:val="•"/>
      <w:numFmt w:val="bullet"/>
      <w:start w:val="1"/>
    </w:lvl>
  </w:abstractNum>
  <w:abstractNum w:abstractNumId="52">
    <w:nsid w:val="61574095"/>
    <w:multiLevelType w:val="hybridMultilevel"/>
    <w:lvl w:ilvl="0">
      <w:lvlJc w:val="left"/>
      <w:lvlText w:val="•"/>
      <w:numFmt w:val="bullet"/>
      <w:start w:val="1"/>
    </w:lvl>
  </w:abstractNum>
  <w:abstractNum w:abstractNumId="53">
    <w:nsid w:val="7E0C57B1"/>
    <w:multiLevelType w:val="hybridMultilevel"/>
    <w:lvl w:ilvl="0">
      <w:lvlJc w:val="left"/>
      <w:lvlText w:val="(%1)"/>
      <w:numFmt w:val="decimal"/>
      <w:start w:val="1"/>
    </w:lvl>
  </w:abstractNum>
  <w:abstractNum w:abstractNumId="54">
    <w:nsid w:val="77AE35EB"/>
    <w:multiLevelType w:val="hybridMultilevel"/>
    <w:lvl w:ilvl="0">
      <w:lvlJc w:val="left"/>
      <w:lvlText w:val="%1"/>
      <w:numFmt w:val="decimal"/>
      <w:start w:val="1"/>
    </w:lvl>
    <w:lvl w:ilvl="1">
      <w:lvlJc w:val="left"/>
      <w:lvlText w:val="(%2)"/>
      <w:numFmt w:val="decimal"/>
      <w:start w:val="1"/>
    </w:lvl>
  </w:abstractNum>
  <w:abstractNum w:abstractNumId="55">
    <w:nsid w:val="579BE4F1"/>
    <w:multiLevelType w:val="hybridMultilevel"/>
    <w:lvl w:ilvl="0">
      <w:lvlJc w:val="left"/>
      <w:lvlText w:val="(%1)"/>
      <w:numFmt w:val="decimal"/>
      <w:start w:val="2"/>
    </w:lvl>
    <w:lvl w:ilvl="1">
      <w:lvlJc w:val="left"/>
      <w:lvlText w:val="%2"/>
      <w:numFmt w:val="decimal"/>
      <w:start w:val="1"/>
    </w:lvl>
  </w:abstractNum>
  <w:abstractNum w:abstractNumId="56">
    <w:nsid w:val="310C50B3"/>
    <w:multiLevelType w:val="hybridMultilevel"/>
    <w:lvl w:ilvl="0">
      <w:lvlJc w:val="left"/>
      <w:lvlText w:val="(%1)"/>
      <w:numFmt w:val="decimal"/>
      <w:start w:val="1"/>
    </w:lvl>
  </w:abstractNum>
  <w:abstractNum w:abstractNumId="57">
    <w:nsid w:val="5FF87E05"/>
    <w:multiLevelType w:val="hybridMultilevel"/>
    <w:lvl w:ilvl="0">
      <w:lvlJc w:val="left"/>
      <w:lvlText w:val="(%1)"/>
      <w:numFmt w:val="decimal"/>
      <w:start w:val="4"/>
    </w:lvl>
  </w:abstractNum>
  <w:abstractNum w:abstractNumId="58">
    <w:nsid w:val="2F305DEF"/>
    <w:multiLevelType w:val="hybridMultilevel"/>
    <w:lvl w:ilvl="0">
      <w:lvlJc w:val="left"/>
      <w:lvlText w:val="(%1)"/>
      <w:numFmt w:val="decimal"/>
      <w:start w:val="1"/>
    </w:lvl>
  </w:abstractNum>
  <w:abstractNum w:abstractNumId="59">
    <w:nsid w:val="25A70BF7"/>
    <w:multiLevelType w:val="hybridMultilevel"/>
    <w:lvl w:ilvl="0">
      <w:lvlJc w:val="left"/>
      <w:lvlText w:val="(%1)"/>
      <w:numFmt w:val="decimal"/>
      <w:start w:val="1"/>
    </w:lvl>
  </w:abstractNum>
  <w:abstractNum w:abstractNumId="60">
    <w:nsid w:val="1DBABF00"/>
    <w:multiLevelType w:val="hybridMultilevel"/>
    <w:lvl w:ilvl="0">
      <w:lvlJc w:val="left"/>
      <w:lvlText w:val="(%1)"/>
      <w:numFmt w:val="decimal"/>
      <w:start w:val="1"/>
    </w:lvl>
  </w:abstractNum>
  <w:abstractNum w:abstractNumId="61">
    <w:nsid w:val="4AD084E9"/>
    <w:multiLevelType w:val="hybridMultilevel"/>
    <w:lvl w:ilvl="0">
      <w:lvlJc w:val="left"/>
      <w:lvlText w:val="(%1)"/>
      <w:numFmt w:val="decimal"/>
      <w:start w:val="1"/>
    </w:lvl>
  </w:abstractNum>
  <w:abstractNum w:abstractNumId="62">
    <w:nsid w:val="1F48EAA1"/>
    <w:multiLevelType w:val="hybridMultilevel"/>
    <w:lvl w:ilvl="0">
      <w:lvlJc w:val="left"/>
      <w:lvlText w:val="(%1)"/>
      <w:numFmt w:val="decimal"/>
      <w:start w:val="1"/>
    </w:lvl>
  </w:abstractNum>
  <w:abstractNum w:abstractNumId="63">
    <w:nsid w:val="1381823A"/>
    <w:multiLevelType w:val="hybridMultilevel"/>
    <w:lvl w:ilvl="0">
      <w:lvlJc w:val="left"/>
      <w:lvlText w:val="(%1)"/>
      <w:numFmt w:val="decimal"/>
      <w:start w:val="3"/>
    </w:lvl>
  </w:abstractNum>
  <w:abstractNum w:abstractNumId="64">
    <w:nsid w:val="5DB70AE5"/>
    <w:multiLevelType w:val="hybridMultilevel"/>
    <w:lvl w:ilvl="0">
      <w:lvlJc w:val="left"/>
      <w:lvlText w:val="•"/>
      <w:numFmt w:val="bullet"/>
      <w:start w:val="1"/>
    </w:lvl>
  </w:abstractNum>
  <w:abstractNum w:abstractNumId="65">
    <w:nsid w:val="100F8FCA"/>
    <w:multiLevelType w:val="hybridMultilevel"/>
    <w:lvl w:ilvl="0">
      <w:lvlJc w:val="left"/>
      <w:lvlText w:val="(%1)"/>
      <w:numFmt w:val="decimal"/>
      <w:start w:val="1"/>
    </w:lvl>
  </w:abstractNum>
  <w:abstractNum w:abstractNumId="66">
    <w:nsid w:val="6590700B"/>
    <w:multiLevelType w:val="hybridMultilevel"/>
    <w:lvl w:ilvl="0">
      <w:lvlJc w:val="left"/>
      <w:lvlText w:val="(%1)"/>
      <w:numFmt w:val="lowerRoman"/>
      <w:start w:val="4"/>
    </w:lvl>
  </w:abstractNum>
  <w:abstractNum w:abstractNumId="67">
    <w:nsid w:val="15014ACB"/>
    <w:multiLevelType w:val="hybridMultilevel"/>
    <w:lvl w:ilvl="0">
      <w:lvlJc w:val="left"/>
      <w:lvlText w:val="*"/>
      <w:numFmt w:val="bullet"/>
      <w:start w:val="1"/>
    </w:lvl>
  </w:abstractNum>
  <w:abstractNum w:abstractNumId="68">
    <w:nsid w:val="5F5E7FD0"/>
    <w:multiLevelType w:val="hybridMultilevel"/>
    <w:lvl w:ilvl="0">
      <w:lvlJc w:val="left"/>
      <w:lvlText w:val="(%1)"/>
      <w:numFmt w:val="decimal"/>
      <w:start w:val="1"/>
    </w:lvl>
  </w:abstractNum>
  <w:abstractNum w:abstractNumId="69">
    <w:nsid w:val="98A3148"/>
    <w:multiLevelType w:val="hybridMultilevel"/>
    <w:lvl w:ilvl="0">
      <w:lvlJc w:val="left"/>
      <w:lvlText w:val="(%1)"/>
      <w:numFmt w:val="decimal"/>
      <w:start w:val="4"/>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2025-01-29T05:09:06Z</dcterms:created>
  <dcterms:modified xsi:type="dcterms:W3CDTF">2025-01-29T05:09:06Z</dcterms:modified>
</cp:coreProperties>
</file>