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643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6643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7" w:lineRule="exact"/>
        <w:rPr>
          <w:sz w:val="24"/>
          <w:szCs w:val="24"/>
          <w:color w:val="auto"/>
        </w:rPr>
      </w:pPr>
    </w:p>
    <w:p>
      <w:pPr>
        <w:ind w:left="460" w:right="1080" w:hanging="434"/>
        <w:spacing w:after="0" w:line="269" w:lineRule="auto"/>
        <w:tabs>
          <w:tab w:leader="none" w:pos="4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75" w:lineRule="exact"/>
        <w:rPr>
          <w:sz w:val="24"/>
          <w:szCs w:val="24"/>
          <w:color w:val="auto"/>
        </w:rPr>
      </w:pPr>
    </w:p>
    <w:p>
      <w:pPr>
        <w:ind w:left="460" w:right="1060" w:hanging="434"/>
        <w:spacing w:after="0" w:line="269"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60"/>
          </w:cols>
          <w:pgMar w:left="320" w:top="949" w:right="419" w:bottom="1440" w:gutter="0" w:footer="0" w:header="0"/>
        </w:sectPr>
      </w:pPr>
    </w:p>
    <w:p>
      <w:pPr>
        <w:spacing w:after="0" w:line="171"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17" w:lineRule="exact"/>
        <w:rPr>
          <w:sz w:val="24"/>
          <w:szCs w:val="24"/>
          <w:color w:val="auto"/>
        </w:rPr>
      </w:pPr>
    </w:p>
    <w:p>
      <w:pPr>
        <w:sectPr>
          <w:pgSz w:w="11900" w:h="16838" w:orient="portrait"/>
          <w:cols w:equalWidth="0" w:num="3">
            <w:col w:w="6240" w:space="440"/>
            <w:col w:w="160" w:space="440"/>
            <w:col w:w="3880"/>
          </w:cols>
          <w:pgMar w:left="320" w:top="949" w:right="4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Commission file number 001-38042</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_____________________________________</w:t>
      </w:r>
    </w:p>
    <w:p>
      <w:pPr>
        <w:sectPr>
          <w:pgSz w:w="11900" w:h="16838" w:orient="portrait"/>
          <w:cols w:equalWidth="0" w:num="1">
            <w:col w:w="11160"/>
          </w:cols>
          <w:pgMar w:left="320" w:top="949" w:right="419" w:bottom="1440" w:gutter="0" w:footer="0" w:header="0"/>
          <w:type w:val="continuous"/>
        </w:sectPr>
      </w:pP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ARROWHEAD PHARMACEUTICALS, INC.</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160"/>
          </w:cols>
          <w:pgMar w:left="320" w:top="949" w:right="419" w:bottom="1440" w:gutter="0" w:footer="0" w:header="0"/>
          <w:type w:val="continuous"/>
        </w:sectPr>
      </w:pPr>
    </w:p>
    <w:p>
      <w:pPr>
        <w:spacing w:after="0" w:line="153"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68" w:lineRule="exact"/>
        <w:rPr>
          <w:sz w:val="24"/>
          <w:szCs w:val="24"/>
          <w:color w:val="auto"/>
        </w:rPr>
      </w:pPr>
    </w:p>
    <w:p>
      <w:pPr>
        <w:sectPr>
          <w:pgSz w:w="11900" w:h="16838" w:orient="portrait"/>
          <w:cols w:equalWidth="0" w:num="2">
            <w:col w:w="7100" w:space="720"/>
            <w:col w:w="3340"/>
          </w:cols>
          <w:pgMar w:left="320" w:top="949" w:right="419" w:bottom="1440" w:gutter="0" w:footer="0" w:header="0"/>
          <w:type w:val="continuous"/>
        </w:sectPr>
      </w:pPr>
    </w:p>
    <w:p>
      <w:pPr>
        <w:ind w:left="11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00"/>
          </w:cols>
          <w:pgMar w:left="320" w:top="949" w:right="419" w:bottom="1440" w:gutter="0" w:footer="0" w:header="0"/>
          <w:type w:val="continuous"/>
        </w:sectPr>
      </w:pP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177 E. Colorado Blvd, Suite 700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and telephone number of principal executive offices)</w:t>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 N/A</w:t>
      </w:r>
    </w:p>
    <w:p>
      <w:pPr>
        <w:spacing w:after="0" w:line="2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w w:val="97"/>
              </w:rPr>
              <w:t>Securities registered pursuant to Section 12(b) of the Exchange Act:</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24"/>
        </w:trPr>
        <w:tc>
          <w:tcPr>
            <w:tcW w:w="400" w:type="dxa"/>
            <w:vAlign w:val="bottom"/>
          </w:tcPr>
          <w:p>
            <w:pPr>
              <w:spacing w:after="0"/>
              <w:rPr>
                <w:sz w:val="24"/>
                <w:szCs w:val="24"/>
                <w:color w:val="auto"/>
              </w:rPr>
            </w:pPr>
          </w:p>
        </w:tc>
        <w:tc>
          <w:tcPr>
            <w:tcW w:w="4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4"/>
        </w:trPr>
        <w:tc>
          <w:tcPr>
            <w:tcW w:w="400" w:type="dxa"/>
            <w:vAlign w:val="bottom"/>
          </w:tcPr>
          <w:p>
            <w:pPr>
              <w:spacing w:after="0"/>
              <w:rPr>
                <w:sz w:val="16"/>
                <w:szCs w:val="16"/>
                <w:color w:val="auto"/>
              </w:rPr>
            </w:pPr>
          </w:p>
        </w:tc>
        <w:tc>
          <w:tcPr>
            <w:tcW w:w="4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ARWR</w:t>
            </w: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200"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76"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1380"/>
              <w:spacing w:after="0"/>
              <w:rPr>
                <w:sz w:val="20"/>
                <w:szCs w:val="20"/>
                <w:color w:val="auto"/>
              </w:rPr>
            </w:pPr>
            <w:r>
              <w:rPr>
                <w:rFonts w:ascii="Arial" w:cs="Arial" w:eastAsia="Arial" w:hAnsi="Arial"/>
                <w:sz w:val="18"/>
                <w:szCs w:val="18"/>
                <w:color w:val="auto"/>
              </w:rPr>
              <w:t>x</w:t>
            </w:r>
          </w:p>
        </w:tc>
        <w:tc>
          <w:tcPr>
            <w:tcW w:w="362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1460" w:type="dxa"/>
            <w:vAlign w:val="bottom"/>
          </w:tcPr>
          <w:p>
            <w:pPr>
              <w:ind w:left="1360"/>
              <w:spacing w:after="0"/>
              <w:rPr>
                <w:sz w:val="20"/>
                <w:szCs w:val="20"/>
                <w:color w:val="auto"/>
              </w:rPr>
            </w:pPr>
            <w:r>
              <w:rPr>
                <w:rFonts w:ascii="Arial" w:cs="Arial" w:eastAsia="Arial" w:hAnsi="Arial"/>
                <w:sz w:val="18"/>
                <w:szCs w:val="18"/>
                <w:color w:val="auto"/>
                <w:w w:val="79"/>
              </w:rPr>
              <w:t>o</w:t>
            </w:r>
          </w:p>
        </w:tc>
      </w:tr>
      <w:tr>
        <w:trPr>
          <w:trHeight w:val="310"/>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1380"/>
              <w:spacing w:after="0"/>
              <w:rPr>
                <w:sz w:val="20"/>
                <w:szCs w:val="20"/>
                <w:color w:val="auto"/>
              </w:rPr>
            </w:pPr>
            <w:r>
              <w:rPr>
                <w:rFonts w:ascii="Arial" w:cs="Arial" w:eastAsia="Arial" w:hAnsi="Arial"/>
                <w:sz w:val="18"/>
                <w:szCs w:val="18"/>
                <w:color w:val="auto"/>
              </w:rPr>
              <w:t>o</w:t>
            </w:r>
          </w:p>
        </w:tc>
        <w:tc>
          <w:tcPr>
            <w:tcW w:w="362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1460" w:type="dxa"/>
            <w:vAlign w:val="bottom"/>
          </w:tcPr>
          <w:p>
            <w:pPr>
              <w:ind w:left="1360"/>
              <w:spacing w:after="0"/>
              <w:rPr>
                <w:sz w:val="20"/>
                <w:szCs w:val="20"/>
                <w:color w:val="auto"/>
              </w:rPr>
            </w:pPr>
            <w:r>
              <w:rPr>
                <w:rFonts w:ascii="Arial" w:cs="Arial" w:eastAsia="Arial" w:hAnsi="Arial"/>
                <w:sz w:val="18"/>
                <w:szCs w:val="18"/>
                <w:color w:val="auto"/>
                <w:w w:val="79"/>
              </w:rPr>
              <w:t>o</w:t>
            </w:r>
          </w:p>
        </w:tc>
      </w:tr>
      <w:tr>
        <w:trPr>
          <w:trHeight w:val="311"/>
        </w:trPr>
        <w:tc>
          <w:tcPr>
            <w:tcW w:w="3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640" w:type="dxa"/>
            <w:vAlign w:val="bottom"/>
          </w:tcPr>
          <w:p>
            <w:pPr>
              <w:ind w:left="1380"/>
              <w:spacing w:after="0"/>
              <w:rPr>
                <w:sz w:val="20"/>
                <w:szCs w:val="20"/>
                <w:color w:val="auto"/>
              </w:rPr>
            </w:pPr>
            <w:r>
              <w:rPr>
                <w:rFonts w:ascii="Arial" w:cs="Arial" w:eastAsia="Arial" w:hAnsi="Arial"/>
                <w:sz w:val="18"/>
                <w:szCs w:val="18"/>
                <w:color w:val="auto"/>
              </w:rPr>
              <w:t>o</w:t>
            </w:r>
          </w:p>
        </w:tc>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ind w:right="212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of the registrant’s common stock outstanding as of July 28, 2022 was 105,848,963.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6643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6643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ectPr>
          <w:pgSz w:w="11900" w:h="16838" w:orient="portrait"/>
          <w:cols w:equalWidth="0" w:num="1">
            <w:col w:w="11160"/>
          </w:cols>
          <w:pgMar w:left="320" w:top="949"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020" w:type="dxa"/>
            <w:vAlign w:val="bottom"/>
            <w:gridSpan w:val="2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20" w:type="dxa"/>
            <w:vAlign w:val="bottom"/>
            <w:gridSpan w:val="20"/>
            <w:vMerge w:val="continue"/>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28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ITEM 1. FINANCIAL STATEMENTS</w:t>
              </w:r>
            </w:hyperlink>
          </w:p>
        </w:tc>
        <w:tc>
          <w:tcPr>
            <w:tcW w:w="420" w:type="dxa"/>
            <w:vAlign w:val="bottom"/>
            <w:tcBorders>
              <w:top w:val="single" w:sz="8" w:color="0000FF"/>
            </w:tcBorders>
            <w:gridSpan w:val="3"/>
          </w:tcPr>
          <w:p>
            <w:pPr>
              <w:spacing w:after="0"/>
              <w:rPr>
                <w:sz w:val="24"/>
                <w:szCs w:val="24"/>
                <w:color w:val="auto"/>
              </w:rPr>
            </w:pPr>
          </w:p>
        </w:tc>
        <w:tc>
          <w:tcPr>
            <w:tcW w:w="6780" w:type="dxa"/>
            <w:vAlign w:val="bottom"/>
            <w:gridSpan w:val="11"/>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(Unaudited)</w:t>
              </w:r>
            </w:hyperlink>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and Comprehensive Income (Loss) (Unaudited)</w:t>
              </w:r>
            </w:hyperlink>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Borders>
              <w:top w:val="single" w:sz="8" w:color="0000FF"/>
            </w:tcBorders>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 and Noncontrolling Interest</w:t>
              </w:r>
            </w:hyperlink>
          </w:p>
        </w:tc>
        <w:tc>
          <w:tcPr>
            <w:tcW w:w="3320" w:type="dxa"/>
            <w:vAlign w:val="bottom"/>
            <w:gridSpan w:val="4"/>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Cash Flows</w:t>
              </w:r>
            </w:hyperlink>
          </w:p>
        </w:tc>
        <w:tc>
          <w:tcPr>
            <w:tcW w:w="2700" w:type="dxa"/>
            <w:vAlign w:val="bottom"/>
            <w:tcBorders>
              <w:top w:val="single" w:sz="8" w:color="0000FF"/>
            </w:tcBorders>
            <w:gridSpan w:val="4"/>
          </w:tcPr>
          <w:p>
            <w:pPr>
              <w:spacing w:after="0"/>
              <w:rPr>
                <w:sz w:val="24"/>
                <w:szCs w:val="24"/>
                <w:color w:val="auto"/>
              </w:rPr>
            </w:pPr>
          </w:p>
        </w:tc>
        <w:tc>
          <w:tcPr>
            <w:tcW w:w="4040" w:type="dxa"/>
            <w:vAlign w:val="bottom"/>
            <w:gridSpan w:val="5"/>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Consolidated Financial Statements</w:t>
              </w:r>
            </w:hyperlink>
          </w:p>
        </w:tc>
        <w:tc>
          <w:tcPr>
            <w:tcW w:w="646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58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20">
              <w:r>
                <w:rPr>
                  <w:rFonts w:ascii="Arial" w:cs="Arial" w:eastAsia="Arial" w:hAnsi="Arial"/>
                  <w:sz w:val="18"/>
                  <w:szCs w:val="18"/>
                  <w:color w:val="0000FF"/>
                  <w:w w:val="97"/>
                </w:rPr>
                <w:t>ITEM 2. MANAGEMENT’S DISCUSSION AND ANALYSIS OF FINANCIAL CONDITION AND RESULTS OF OPERATIONS</w:t>
              </w:r>
            </w:hyperlink>
          </w:p>
        </w:tc>
        <w:tc>
          <w:tcPr>
            <w:tcW w:w="44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 QUANTITATIVE AND QUALITATIVE DISCLOSURES ABOUT MARKET RISK</w:t>
              </w:r>
            </w:hyperlink>
          </w:p>
        </w:tc>
        <w:tc>
          <w:tcPr>
            <w:tcW w:w="11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6800" w:type="dxa"/>
            <w:vAlign w:val="bottom"/>
            <w:tcBorders>
              <w:top w:val="single" w:sz="8" w:color="0000FF"/>
            </w:tcBorders>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 CONTROLS AND PROCEDURES</w:t>
              </w:r>
            </w:hyperlink>
          </w:p>
        </w:tc>
        <w:tc>
          <w:tcPr>
            <w:tcW w:w="3220" w:type="dxa"/>
            <w:vAlign w:val="bottom"/>
            <w:gridSpan w:val="2"/>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260" w:type="dxa"/>
            <w:vAlign w:val="bottom"/>
            <w:tcBorders>
              <w:top w:val="single" w:sz="8" w:color="0000FF"/>
            </w:tcBorders>
            <w:gridSpan w:val="1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 OTHER INFORMATION</w:t>
              </w:r>
            </w:hyperlink>
          </w:p>
        </w:tc>
        <w:tc>
          <w:tcPr>
            <w:tcW w:w="6760" w:type="dxa"/>
            <w:vAlign w:val="bottom"/>
            <w:gridSpan w:val="10"/>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25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ITEM 1. LEGAL PROCEEDINGS</w:t>
              </w:r>
            </w:hyperlink>
          </w:p>
        </w:tc>
        <w:tc>
          <w:tcPr>
            <w:tcW w:w="400" w:type="dxa"/>
            <w:vAlign w:val="bottom"/>
            <w:tcBorders>
              <w:top w:val="single" w:sz="8" w:color="0000FF"/>
            </w:tcBorders>
            <w:gridSpan w:val="2"/>
          </w:tcPr>
          <w:p>
            <w:pPr>
              <w:spacing w:after="0"/>
              <w:rPr>
                <w:sz w:val="24"/>
                <w:szCs w:val="24"/>
                <w:color w:val="auto"/>
              </w:rPr>
            </w:pPr>
          </w:p>
        </w:tc>
        <w:tc>
          <w:tcPr>
            <w:tcW w:w="7080" w:type="dxa"/>
            <w:vAlign w:val="bottom"/>
            <w:gridSpan w:val="1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 RISK FACTORS</w:t>
              </w:r>
            </w:hyperlink>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674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ITEM 2. UNREGISTERED SALES OF EQUITY SECURITIES AND USE OF PROCEEDS</w:t>
              </w:r>
            </w:hyperlink>
          </w:p>
        </w:tc>
        <w:tc>
          <w:tcPr>
            <w:tcW w:w="328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 DEFAULTS UPON SENIOR SECURITIES</w:t>
              </w:r>
            </w:hyperlink>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840" w:type="dxa"/>
            <w:vAlign w:val="bottom"/>
            <w:tcBorders>
              <w:top w:val="single" w:sz="8" w:color="0000FF"/>
            </w:tcBorders>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 MINE SAFETY DISCLOSURES</w:t>
              </w:r>
            </w:hyperlink>
          </w:p>
        </w:tc>
        <w:tc>
          <w:tcPr>
            <w:tcW w:w="6180" w:type="dxa"/>
            <w:vAlign w:val="bottom"/>
            <w:gridSpan w:val="6"/>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100" w:type="dxa"/>
            <w:vAlign w:val="bottom"/>
            <w:tcBorders>
              <w:top w:val="single" w:sz="8" w:color="0000FF"/>
            </w:tcBorders>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5. OTHER INFORMATION</w:t>
              </w:r>
            </w:hyperlink>
          </w:p>
        </w:tc>
        <w:tc>
          <w:tcPr>
            <w:tcW w:w="6920" w:type="dxa"/>
            <w:vAlign w:val="bottom"/>
            <w:gridSpan w:val="12"/>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2540" w:type="dxa"/>
            <w:vAlign w:val="bottom"/>
            <w:tcBorders>
              <w:top w:val="single" w:sz="8" w:color="0000FF"/>
            </w:tcBorders>
            <w:gridSpan w:val="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6. EXHIBITS</w:t>
              </w:r>
            </w:hyperlink>
          </w:p>
        </w:tc>
        <w:tc>
          <w:tcPr>
            <w:tcW w:w="7480" w:type="dxa"/>
            <w:vAlign w:val="bottom"/>
            <w:gridSpan w:val="15"/>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480" w:type="dxa"/>
            <w:vAlign w:val="bottom"/>
            <w:tcBorders>
              <w:top w:val="single" w:sz="8" w:color="0000FF"/>
            </w:tcBorders>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SIGNATURE</w:t>
              </w:r>
            </w:hyperlink>
          </w:p>
        </w:tc>
        <w:tc>
          <w:tcPr>
            <w:tcW w:w="8540" w:type="dxa"/>
            <w:vAlign w:val="bottom"/>
            <w:gridSpan w:val="17"/>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7"/>
        </w:trPr>
        <w:tc>
          <w:tcPr>
            <w:tcW w:w="4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 June 30,</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6"/>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184,434</w:t>
            </w:r>
          </w:p>
        </w:tc>
        <w:tc>
          <w:tcPr>
            <w:tcW w:w="0" w:type="dxa"/>
            <w:vAlign w:val="bottom"/>
          </w:tcPr>
          <w:p>
            <w:pPr>
              <w:spacing w:after="0"/>
              <w:rPr>
                <w:sz w:val="1"/>
                <w:szCs w:val="1"/>
                <w:color w:val="auto"/>
              </w:rPr>
            </w:pPr>
          </w:p>
        </w:tc>
      </w:tr>
      <w:tr>
        <w:trPr>
          <w:trHeight w:val="250"/>
        </w:trPr>
        <w:tc>
          <w:tcPr>
            <w:tcW w:w="8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50"/>
        </w:trPr>
        <w:tc>
          <w:tcPr>
            <w:tcW w:w="81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126,728</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Short term investments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432,388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384,597</w:t>
            </w:r>
          </w:p>
        </w:tc>
        <w:tc>
          <w:tcPr>
            <w:tcW w:w="0" w:type="dxa"/>
            <w:vAlign w:val="bottom"/>
          </w:tcPr>
          <w:p>
            <w:pPr>
              <w:spacing w:after="0"/>
              <w:rPr>
                <w:sz w:val="1"/>
                <w:szCs w:val="1"/>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Long term investments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165,920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245,595</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5"/>
        </w:trPr>
        <w:tc>
          <w:tcPr>
            <w:tcW w:w="81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751,782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710,148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b w:val="1"/>
                <w:bCs w:val="1"/>
                <w:color w:val="auto"/>
              </w:rPr>
              <w:t>LIABILITIES, NONCONTROLLING INTEREST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5,894</w:t>
            </w:r>
          </w:p>
        </w:tc>
        <w:tc>
          <w:tcPr>
            <w:tcW w:w="8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0" w:type="dxa"/>
            <w:vAlign w:val="bottom"/>
          </w:tcPr>
          <w:p>
            <w:pPr>
              <w:spacing w:after="0"/>
              <w:rPr>
                <w:sz w:val="1"/>
                <w:szCs w:val="1"/>
                <w:color w:val="auto"/>
              </w:rPr>
            </w:pPr>
          </w:p>
        </w:tc>
      </w:tr>
      <w:tr>
        <w:trPr>
          <w:trHeight w:val="250"/>
        </w:trPr>
        <w:tc>
          <w:tcPr>
            <w:tcW w:w="8140" w:type="dxa"/>
            <w:vAlign w:val="bottom"/>
          </w:tcPr>
          <w:p>
            <w:pPr>
              <w:ind w:left="500"/>
              <w:spacing w:after="0"/>
              <w:rPr>
                <w:sz w:val="20"/>
                <w:szCs w:val="20"/>
                <w:color w:val="auto"/>
              </w:rPr>
            </w:pPr>
            <w:r>
              <w:rPr>
                <w:rFonts w:ascii="Arial" w:cs="Arial" w:eastAsia="Arial" w:hAnsi="Arial"/>
                <w:sz w:val="18"/>
                <w:szCs w:val="18"/>
                <w:color w:val="auto"/>
              </w:rPr>
              <w:t>Accrued payroll and benefits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111,055</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146,536</w:t>
            </w:r>
          </w:p>
        </w:tc>
        <w:tc>
          <w:tcPr>
            <w:tcW w:w="0" w:type="dxa"/>
            <w:vAlign w:val="bottom"/>
          </w:tcPr>
          <w:p>
            <w:pPr>
              <w:spacing w:after="0"/>
              <w:rPr>
                <w:sz w:val="1"/>
                <w:szCs w:val="1"/>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131,495</w:t>
            </w:r>
          </w:p>
        </w:tc>
        <w:tc>
          <w:tcPr>
            <w:tcW w:w="0" w:type="dxa"/>
            <w:vAlign w:val="bottom"/>
          </w:tcPr>
          <w:p>
            <w:pPr>
              <w:spacing w:after="0"/>
              <w:rPr>
                <w:sz w:val="1"/>
                <w:szCs w:val="1"/>
                <w:color w:val="auto"/>
              </w:rPr>
            </w:pPr>
          </w:p>
        </w:tc>
      </w:tr>
      <w:tr>
        <w:trPr>
          <w:trHeight w:val="256"/>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LONG-TERM LIABILITIES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154,790</w:t>
            </w:r>
          </w:p>
        </w:tc>
        <w:tc>
          <w:tcPr>
            <w:tcW w:w="0" w:type="dxa"/>
            <w:vAlign w:val="bottom"/>
          </w:tcPr>
          <w:p>
            <w:pPr>
              <w:spacing w:after="0"/>
              <w:rPr>
                <w:sz w:val="1"/>
                <w:szCs w:val="1"/>
                <w:color w:val="auto"/>
              </w:rPr>
            </w:pPr>
          </w:p>
        </w:tc>
      </w:tr>
      <w:tr>
        <w:trPr>
          <w:trHeight w:val="250"/>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40" w:type="dxa"/>
            <w:vAlign w:val="bottom"/>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Common stock, $0.001 par value; 145,000 shares authorized; 105,795 and 104,327 shares issued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outstanding as of June 30, 2022 and September 30, 2021, respectively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0"/>
        </w:trPr>
        <w:tc>
          <w:tcPr>
            <w:tcW w:w="81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1,189,113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1,053,386</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(735,244)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(644,692)</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ARROWHEAD PHARMACEUTICALS INC. STOCKHOLDERS' EQUITY</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453,927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408,822</w:t>
            </w:r>
          </w:p>
        </w:tc>
        <w:tc>
          <w:tcPr>
            <w:tcW w:w="0" w:type="dxa"/>
            <w:vAlign w:val="bottom"/>
          </w:tcPr>
          <w:p>
            <w:pPr>
              <w:spacing w:after="0"/>
              <w:rPr>
                <w:sz w:val="1"/>
                <w:szCs w:val="1"/>
                <w:color w:val="auto"/>
              </w:rPr>
            </w:pPr>
          </w:p>
        </w:tc>
      </w:tr>
      <w:tr>
        <w:trPr>
          <w:trHeight w:val="244"/>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474,177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408,822</w:t>
            </w:r>
          </w:p>
        </w:tc>
        <w:tc>
          <w:tcPr>
            <w:tcW w:w="0" w:type="dxa"/>
            <w:vAlign w:val="bottom"/>
          </w:tcPr>
          <w:p>
            <w:pPr>
              <w:spacing w:after="0"/>
              <w:rPr>
                <w:sz w:val="1"/>
                <w:szCs w:val="1"/>
                <w:color w:val="auto"/>
              </w:rPr>
            </w:pPr>
          </w:p>
        </w:tc>
      </w:tr>
      <w:tr>
        <w:trPr>
          <w:trHeight w:val="191"/>
        </w:trPr>
        <w:tc>
          <w:tcPr>
            <w:tcW w:w="8140" w:type="dxa"/>
            <w:vAlign w:val="bottom"/>
          </w:tcPr>
          <w:p>
            <w:pPr>
              <w:ind w:left="980"/>
              <w:spacing w:after="0" w:line="191" w:lineRule="exact"/>
              <w:rPr>
                <w:sz w:val="20"/>
                <w:szCs w:val="20"/>
                <w:color w:val="auto"/>
              </w:rPr>
            </w:pPr>
            <w:r>
              <w:rPr>
                <w:rFonts w:ascii="Arial" w:cs="Arial" w:eastAsia="Arial" w:hAnsi="Arial"/>
                <w:sz w:val="18"/>
                <w:szCs w:val="18"/>
                <w:b w:val="1"/>
                <w:bCs w:val="1"/>
                <w:color w:val="auto"/>
              </w:rPr>
              <w:t>TOTAL LIABILITIES, NONCONTROLLING INTEREST AND STOCKHOLDERS’</w:t>
            </w:r>
          </w:p>
        </w:tc>
        <w:tc>
          <w:tcPr>
            <w:tcW w:w="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751,782</w:t>
            </w:r>
          </w:p>
        </w:tc>
        <w:tc>
          <w:tcPr>
            <w:tcW w:w="80" w:type="dxa"/>
            <w:vAlign w:val="bottom"/>
          </w:tcPr>
          <w:p>
            <w:pPr>
              <w:spacing w:after="0"/>
              <w:rPr>
                <w:sz w:val="16"/>
                <w:szCs w:val="16"/>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710,148</w:t>
            </w:r>
          </w:p>
        </w:tc>
        <w:tc>
          <w:tcPr>
            <w:tcW w:w="0" w:type="dxa"/>
            <w:vAlign w:val="bottom"/>
          </w:tcPr>
          <w:p>
            <w:pPr>
              <w:spacing w:after="0"/>
              <w:rPr>
                <w:sz w:val="1"/>
                <w:szCs w:val="1"/>
                <w:color w:val="auto"/>
              </w:rPr>
            </w:pPr>
          </w:p>
        </w:tc>
      </w:tr>
      <w:tr>
        <w:trPr>
          <w:trHeight w:val="226"/>
        </w:trPr>
        <w:tc>
          <w:tcPr>
            <w:tcW w:w="8140" w:type="dxa"/>
            <w:vAlign w:val="bottom"/>
          </w:tcPr>
          <w:p>
            <w:pPr>
              <w:ind w:left="980"/>
              <w:spacing w:after="0"/>
              <w:rPr>
                <w:sz w:val="20"/>
                <w:szCs w:val="20"/>
                <w:color w:val="auto"/>
              </w:rPr>
            </w:pPr>
            <w:r>
              <w:rPr>
                <w:rFonts w:ascii="Arial" w:cs="Arial" w:eastAsia="Arial" w:hAnsi="Arial"/>
                <w:sz w:val="18"/>
                <w:szCs w:val="18"/>
                <w:b w:val="1"/>
                <w:bCs w:val="1"/>
                <w:color w:val="auto"/>
              </w:rPr>
              <w:t>EQUITY</w:t>
            </w: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100"/>
          </w:cols>
          <w:pgMar w:left="320" w:top="445" w:right="479" w:bottom="1440"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7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Nine Months Ended June 30,</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32,412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45,891</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211,656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100,004</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72,180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59,325</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213,930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140,576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33,141</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92,403</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43,581</w:t>
            </w:r>
          </w:p>
        </w:tc>
        <w:tc>
          <w:tcPr>
            <w:tcW w:w="0" w:type="dxa"/>
            <w:vAlign w:val="bottom"/>
          </w:tcPr>
          <w:p>
            <w:pPr>
              <w:spacing w:after="0"/>
              <w:rPr>
                <w:sz w:val="1"/>
                <w:szCs w:val="1"/>
                <w:color w:val="auto"/>
              </w:rPr>
            </w:pPr>
          </w:p>
        </w:tc>
      </w:tr>
      <w:tr>
        <w:trPr>
          <w:trHeight w:val="257"/>
        </w:trPr>
        <w:tc>
          <w:tcPr>
            <w:tcW w:w="50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105,321</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77,759</w:t>
            </w:r>
          </w:p>
        </w:tc>
        <w:tc>
          <w:tcPr>
            <w:tcW w:w="8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306,333</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184,157</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(84,153)</w:t>
            </w: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44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4,125</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6,679</w:t>
            </w:r>
          </w:p>
        </w:tc>
        <w:tc>
          <w:tcPr>
            <w:tcW w:w="0" w:type="dxa"/>
            <w:vAlign w:val="bottom"/>
          </w:tcPr>
          <w:p>
            <w:pPr>
              <w:spacing w:after="0"/>
              <w:rPr>
                <w:sz w:val="1"/>
                <w:szCs w:val="1"/>
                <w:color w:val="auto"/>
              </w:rPr>
            </w:pPr>
          </w:p>
        </w:tc>
      </w:tr>
      <w:tr>
        <w:trPr>
          <w:trHeight w:val="257"/>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(72,046)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(29,924)</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(90,552)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(77,474)</w:t>
            </w:r>
          </w:p>
        </w:tc>
        <w:tc>
          <w:tcPr>
            <w:tcW w:w="0" w:type="dxa"/>
            <w:vAlign w:val="bottom"/>
          </w:tcPr>
          <w:p>
            <w:pPr>
              <w:spacing w:after="0"/>
              <w:rPr>
                <w:sz w:val="1"/>
                <w:szCs w:val="1"/>
                <w:color w:val="auto"/>
              </w:rPr>
            </w:pPr>
          </w:p>
        </w:tc>
      </w:tr>
      <w:tr>
        <w:trPr>
          <w:trHeight w:val="250"/>
        </w:trPr>
        <w:tc>
          <w:tcPr>
            <w:tcW w:w="5060" w:type="dxa"/>
            <w:vAlign w:val="bottom"/>
          </w:tcPr>
          <w:p>
            <w:pPr>
              <w:ind w:left="4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(72,046)</w:t>
            </w:r>
          </w:p>
        </w:tc>
        <w:tc>
          <w:tcPr>
            <w:tcW w:w="100" w:type="dxa"/>
            <w:vAlign w:val="bottom"/>
            <w:tcBorders>
              <w:top w:val="single" w:sz="8" w:color="CFF0FC"/>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(29,924)</w:t>
            </w:r>
          </w:p>
        </w:tc>
        <w:tc>
          <w:tcPr>
            <w:tcW w:w="8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(90,552)</w:t>
            </w:r>
          </w:p>
        </w:tc>
        <w:tc>
          <w:tcPr>
            <w:tcW w:w="100" w:type="dxa"/>
            <w:vAlign w:val="bottom"/>
            <w:tcBorders>
              <w:top w:val="single" w:sz="8" w:color="CFF0FC"/>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(77,474)</w:t>
            </w:r>
          </w:p>
        </w:tc>
        <w:tc>
          <w:tcPr>
            <w:tcW w:w="0" w:type="dxa"/>
            <w:vAlign w:val="bottom"/>
          </w:tcPr>
          <w:p>
            <w:pPr>
              <w:spacing w:after="0"/>
              <w:rPr>
                <w:sz w:val="1"/>
                <w:szCs w:val="1"/>
                <w:color w:val="auto"/>
              </w:rPr>
            </w:pPr>
          </w:p>
        </w:tc>
      </w:tr>
      <w:tr>
        <w:trPr>
          <w:trHeight w:val="256"/>
        </w:trPr>
        <w:tc>
          <w:tcPr>
            <w:tcW w:w="506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103,569</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104,099</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103,569</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(72,079)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(29,964)</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(90,623)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(77,430)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and Noncontrolling Interest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41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Noncontrollling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4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3"/>
              </w:rPr>
              <w:t>Amount ($)</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Totals</w:t>
            </w:r>
          </w:p>
        </w:tc>
      </w:tr>
      <w:tr>
        <w:trPr>
          <w:trHeight w:val="196"/>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104,020</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196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996,645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102</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(551,394)</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445,549</w:t>
            </w:r>
          </w:p>
        </w:tc>
      </w:tr>
      <w:tr>
        <w:trPr>
          <w:trHeight w:val="190"/>
        </w:trPr>
        <w:tc>
          <w:tcPr>
            <w:tcW w:w="418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18,549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18,549</w:t>
            </w:r>
          </w:p>
        </w:tc>
      </w:tr>
      <w:tr>
        <w:trPr>
          <w:trHeight w:val="26"/>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Exercise of stock options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color w:val="auto"/>
              </w:rPr>
              <w:t>2,755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2,756</w:t>
            </w:r>
          </w:p>
        </w:tc>
      </w:tr>
      <w:tr>
        <w:trPr>
          <w:trHeight w:val="190"/>
        </w:trPr>
        <w:tc>
          <w:tcPr>
            <w:tcW w:w="4180" w:type="dxa"/>
            <w:vAlign w:val="bottom"/>
          </w:tcPr>
          <w:p>
            <w:pPr>
              <w:ind w:left="100"/>
              <w:spacing w:after="0"/>
              <w:rPr>
                <w:sz w:val="20"/>
                <w:szCs w:val="20"/>
                <w:color w:val="auto"/>
              </w:rPr>
            </w:pPr>
            <w:r>
              <w:rPr>
                <w:rFonts w:ascii="Arial" w:cs="Arial" w:eastAsia="Arial" w:hAnsi="Arial"/>
                <w:sz w:val="14"/>
                <w:szCs w:val="14"/>
                <w:color w:val="auto"/>
              </w:rPr>
              <w:t>Common stock - restricted stock 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w:t>
            </w:r>
          </w:p>
        </w:tc>
      </w:tr>
      <w:tr>
        <w:trPr>
          <w:trHeight w:val="190"/>
        </w:trPr>
        <w:tc>
          <w:tcPr>
            <w:tcW w:w="4180" w:type="dxa"/>
            <w:vAlign w:val="bottom"/>
          </w:tcPr>
          <w:p>
            <w:pPr>
              <w:ind w:left="100"/>
              <w:spacing w:after="0"/>
              <w:rPr>
                <w:sz w:val="20"/>
                <w:szCs w:val="20"/>
                <w:color w:val="auto"/>
              </w:rPr>
            </w:pPr>
            <w:r>
              <w:rPr>
                <w:rFonts w:ascii="Arial" w:cs="Arial" w:eastAsia="Arial" w:hAnsi="Arial"/>
                <w:sz w:val="14"/>
                <w:szCs w:val="14"/>
                <w:color w:val="auto"/>
              </w:rPr>
              <w:t>Net income (loss) for the three months ended June 30, 2021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(29,924)</w:t>
            </w:r>
          </w:p>
        </w:tc>
      </w:tr>
      <w:tr>
        <w:trPr>
          <w:trHeight w:val="26"/>
        </w:trPr>
        <w:tc>
          <w:tcPr>
            <w:tcW w:w="418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4"/>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104,209</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197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1,017,949</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(581,318)</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436,890</w:t>
            </w: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41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Noncontrollling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4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3"/>
              </w:rPr>
              <w:t>Amount ($)</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Totals</w:t>
            </w:r>
          </w:p>
        </w:tc>
      </w:tr>
      <w:tr>
        <w:trPr>
          <w:trHeight w:val="196"/>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105,702</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198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1,115,373</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(663,198)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452,266</w:t>
            </w:r>
          </w:p>
        </w:tc>
      </w:tr>
      <w:tr>
        <w:trPr>
          <w:trHeight w:val="190"/>
        </w:trPr>
        <w:tc>
          <w:tcPr>
            <w:tcW w:w="418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33,391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33,391</w:t>
            </w:r>
          </w:p>
        </w:tc>
      </w:tr>
      <w:tr>
        <w:trPr>
          <w:trHeight w:val="26"/>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Exercise of stock options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color w:val="auto"/>
              </w:rPr>
              <w:t>599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599</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Common stock - restricted stock 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w:t>
            </w:r>
          </w:p>
        </w:tc>
      </w:tr>
      <w:tr>
        <w:trPr>
          <w:trHeight w:val="210"/>
        </w:trPr>
        <w:tc>
          <w:tcPr>
            <w:tcW w:w="4180" w:type="dxa"/>
            <w:vAlign w:val="bottom"/>
          </w:tcPr>
          <w:p>
            <w:pPr>
              <w:ind w:left="80"/>
              <w:spacing w:after="0"/>
              <w:rPr>
                <w:sz w:val="20"/>
                <w:szCs w:val="20"/>
                <w:color w:val="auto"/>
              </w:rPr>
            </w:pPr>
            <w:r>
              <w:rPr>
                <w:rFonts w:ascii="Arial" w:cs="Arial" w:eastAsia="Arial" w:hAnsi="Arial"/>
                <w:sz w:val="14"/>
                <w:szCs w:val="14"/>
                <w:color w:val="auto"/>
              </w:rPr>
              <w:t>Interest in joint venture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39,750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60,000</w:t>
            </w:r>
          </w:p>
        </w:tc>
      </w:tr>
      <w:tr>
        <w:trPr>
          <w:trHeight w:val="22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income (loss) for the three months ended June 30, 2022</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(72,046)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(72,046)</w:t>
            </w:r>
          </w:p>
        </w:tc>
      </w:tr>
      <w:tr>
        <w:trPr>
          <w:trHeight w:val="184"/>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105,795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1,189,113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(735,244)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474,177</w:t>
            </w:r>
          </w:p>
        </w:tc>
      </w:tr>
      <w:tr>
        <w:trPr>
          <w:trHeight w:val="26"/>
        </w:trPr>
        <w:tc>
          <w:tcPr>
            <w:tcW w:w="4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61"/>
        </w:trPr>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41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Noncontrollling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4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3"/>
              </w:rPr>
              <w:t>Amount ($)</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Totals</w:t>
            </w:r>
          </w:p>
        </w:tc>
      </w:tr>
      <w:tr>
        <w:trPr>
          <w:trHeight w:val="196"/>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102,376</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195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965,410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(503,844)</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461,779</w:t>
            </w:r>
          </w:p>
        </w:tc>
      </w:tr>
      <w:tr>
        <w:trPr>
          <w:trHeight w:val="190"/>
        </w:trPr>
        <w:tc>
          <w:tcPr>
            <w:tcW w:w="418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42,051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42,051</w:t>
            </w:r>
          </w:p>
        </w:tc>
      </w:tr>
      <w:tr>
        <w:trPr>
          <w:trHeight w:val="25"/>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Exercise of stock options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color w:val="auto"/>
              </w:rPr>
              <w:t>10,489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10,490</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Common stock - restricted stock 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Net income (loss) for the nine months ended June 30, 2021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(77,474)</w:t>
            </w:r>
          </w:p>
        </w:tc>
      </w:tr>
      <w:tr>
        <w:trPr>
          <w:trHeight w:val="25"/>
        </w:trPr>
        <w:tc>
          <w:tcPr>
            <w:tcW w:w="4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5"/>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104,209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1,017,949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(581,318)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436,890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88"/>
        </w:trPr>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41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3"/>
                <w:szCs w:val="13"/>
                <w:b w:val="1"/>
                <w:bCs w:val="1"/>
                <w:color w:val="auto"/>
                <w:w w:val="87"/>
              </w:rPr>
              <w:t>Noncontrollling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4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3"/>
              </w:rPr>
              <w:t>Amount ($)</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Interest</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Totals</w:t>
            </w:r>
          </w:p>
        </w:tc>
      </w:tr>
      <w:tr>
        <w:trPr>
          <w:trHeight w:val="196"/>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104,327</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197</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rPr>
              <w:t>1,053,386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(644,692)</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408,822</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91,697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91,697</w:t>
            </w:r>
          </w:p>
        </w:tc>
      </w:tr>
      <w:tr>
        <w:trPr>
          <w:trHeight w:val="25"/>
        </w:trPr>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Exercise of stock options</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4"/>
                <w:szCs w:val="14"/>
                <w:color w:val="auto"/>
              </w:rPr>
              <w:t>4,281</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4,281</w:t>
            </w:r>
          </w:p>
        </w:tc>
      </w:tr>
      <w:tr>
        <w:trPr>
          <w:trHeight w:val="191"/>
        </w:trPr>
        <w:tc>
          <w:tcPr>
            <w:tcW w:w="4180" w:type="dxa"/>
            <w:vAlign w:val="bottom"/>
          </w:tcPr>
          <w:p>
            <w:pPr>
              <w:ind w:left="80"/>
              <w:spacing w:after="0"/>
              <w:rPr>
                <w:sz w:val="20"/>
                <w:szCs w:val="20"/>
                <w:color w:val="auto"/>
              </w:rPr>
            </w:pPr>
            <w:r>
              <w:rPr>
                <w:rFonts w:ascii="Arial" w:cs="Arial" w:eastAsia="Arial" w:hAnsi="Arial"/>
                <w:sz w:val="14"/>
                <w:szCs w:val="14"/>
                <w:color w:val="auto"/>
              </w:rPr>
              <w:t>Common stock - restricted stock units vesting</w:t>
            </w:r>
          </w:p>
        </w:tc>
        <w:tc>
          <w:tcPr>
            <w:tcW w:w="74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4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6"/>
        </w:trPr>
        <w:tc>
          <w:tcPr>
            <w:tcW w:w="4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(71)</w:t>
            </w:r>
          </w:p>
        </w:tc>
      </w:tr>
      <w:tr>
        <w:trPr>
          <w:trHeight w:val="210"/>
        </w:trPr>
        <w:tc>
          <w:tcPr>
            <w:tcW w:w="4180" w:type="dxa"/>
            <w:vAlign w:val="bottom"/>
          </w:tcPr>
          <w:p>
            <w:pPr>
              <w:ind w:left="80"/>
              <w:spacing w:after="0"/>
              <w:rPr>
                <w:sz w:val="20"/>
                <w:szCs w:val="20"/>
                <w:color w:val="auto"/>
              </w:rPr>
            </w:pPr>
            <w:r>
              <w:rPr>
                <w:rFonts w:ascii="Arial" w:cs="Arial" w:eastAsia="Arial" w:hAnsi="Arial"/>
                <w:sz w:val="14"/>
                <w:szCs w:val="14"/>
                <w:color w:val="auto"/>
              </w:rPr>
              <w:t>Interest in joint venture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39,750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60,000</w:t>
            </w:r>
          </w:p>
        </w:tc>
      </w:tr>
      <w:tr>
        <w:trPr>
          <w:trHeight w:val="222"/>
        </w:trPr>
        <w:tc>
          <w:tcPr>
            <w:tcW w:w="4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income (loss) for the nine months ended June 30, 2022</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(90,552)</w:t>
            </w:r>
          </w:p>
        </w:tc>
      </w:tr>
      <w:tr>
        <w:trPr>
          <w:trHeight w:val="184"/>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105,795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1,189,113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(735,244)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474,177</w:t>
            </w:r>
          </w:p>
        </w:tc>
      </w:tr>
      <w:tr>
        <w:trPr>
          <w:trHeight w:val="25"/>
        </w:trPr>
        <w:tc>
          <w:tcPr>
            <w:tcW w:w="4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4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93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 June 30,</w:t>
            </w:r>
          </w:p>
        </w:tc>
      </w:tr>
      <w:tr>
        <w:trPr>
          <w:trHeight w:val="216"/>
        </w:trPr>
        <w:tc>
          <w:tcPr>
            <w:tcW w:w="8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8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(90,552)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(77,474)</w:t>
            </w:r>
          </w:p>
        </w:tc>
      </w:tr>
      <w:tr>
        <w:trPr>
          <w:trHeight w:val="26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91,697</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42,051</w:t>
            </w: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6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marketable securities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Amortization/(accretion) of note premiums/discounts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6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w:t>
            </w: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211,392</w:t>
            </w:r>
          </w:p>
        </w:tc>
      </w:tr>
      <w:tr>
        <w:trPr>
          <w:trHeight w:val="263"/>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13,682</w:t>
            </w:r>
          </w:p>
        </w:tc>
      </w:tr>
      <w:tr>
        <w:trPr>
          <w:trHeight w:val="257"/>
        </w:trPr>
        <w:tc>
          <w:tcPr>
            <w:tcW w:w="8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195,341</w:t>
            </w:r>
          </w:p>
        </w:tc>
      </w:tr>
      <w:tr>
        <w:trPr>
          <w:trHeight w:val="26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(15,368)</w:t>
            </w:r>
          </w:p>
        </w:tc>
      </w:tr>
      <w:tr>
        <w:trPr>
          <w:trHeight w:val="26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(223,391)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(95,195)</w:t>
            </w:r>
          </w:p>
        </w:tc>
      </w:tr>
      <w:tr>
        <w:trPr>
          <w:trHeight w:val="250"/>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 of investments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201,595</w:t>
            </w: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87,130</w:t>
            </w:r>
          </w:p>
        </w:tc>
      </w:tr>
      <w:tr>
        <w:trPr>
          <w:trHeight w:val="25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(23,433)</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w:t>
            </w:r>
          </w:p>
        </w:tc>
      </w:tr>
      <w:tr>
        <w:trPr>
          <w:trHeight w:val="250"/>
        </w:trPr>
        <w:tc>
          <w:tcPr>
            <w:tcW w:w="8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Proceeds from investment in joint venture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r>
      <w:tr>
        <w:trPr>
          <w:trHeight w:val="250"/>
        </w:trPr>
        <w:tc>
          <w:tcPr>
            <w:tcW w:w="8160" w:type="dxa"/>
            <w:vAlign w:val="bottom"/>
          </w:tcPr>
          <w:p>
            <w:pPr>
              <w:ind w:left="260"/>
              <w:spacing w:after="0"/>
              <w:rPr>
                <w:sz w:val="20"/>
                <w:szCs w:val="20"/>
                <w:color w:val="auto"/>
              </w:rPr>
            </w:pPr>
            <w:r>
              <w:rPr>
                <w:rFonts w:ascii="Arial" w:cs="Arial" w:eastAsia="Arial" w:hAnsi="Arial"/>
                <w:sz w:val="18"/>
                <w:szCs w:val="18"/>
                <w:color w:val="auto"/>
              </w:rPr>
              <w:t>NET INCREASE (DECREASE) IN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182,398</w:t>
            </w: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184,434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143,583</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139,439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325,981</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Visirna Therapeutics Inc. ("Visirna"),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Arrowhead’s Common Stock.</w:t>
      </w:r>
    </w:p>
    <w:p>
      <w:pPr>
        <w:spacing w:after="0" w:line="296" w:lineRule="exact"/>
        <w:rPr>
          <w:sz w:val="20"/>
          <w:szCs w:val="20"/>
          <w:color w:val="auto"/>
        </w:rPr>
      </w:pPr>
    </w:p>
    <w:p>
      <w:pPr>
        <w:ind w:right="5340"/>
        <w:spacing w:after="0" w:line="37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spacing w:after="0" w:line="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ARO-ENaC2 for cystic fibrosis, ARO-DUX4 for facioscapulohumeral muscular dystrophy, ARO-COV for the coronavirus that causes COVID-19 and other possible future pulmonary-borne pathogens, ARO-C3 for complement mediated diseases, ARO-RAGE and ARO-MUC5AC for various muco-obstructive or inflammatory pulmonary conditions and ARO-MMP7 for idiopathic pulmonary fibrosis. ARO-HSD for liver disease was out-licensed to Glaxosmithkline Intellectual Property (No. 3) Limited (“GSK”) in November 2021. ARO-XDH is being developed for uncontrolled gout under a collaboration agreement with Horizon Therapeutics Ireland DAC (“Horizon”).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 While the Company believes that initial ARO-HIF2 Phase 1 clinical data provides proof of concept for the ability to deliver siRNA to RCC tumors, the Company has decided not to pursue further clinical development of ARO-HIF2 based on a number of factors including the evolving competitive landscape for HIF2 inhibitors.</w:t>
      </w:r>
    </w:p>
    <w:p>
      <w:pPr>
        <w:spacing w:after="0" w:line="18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first three quarters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300" w:right="20" w:hanging="644"/>
        <w:spacing w:after="0" w:line="277" w:lineRule="auto"/>
        <w:tabs>
          <w:tab w:leader="none" w:pos="128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ind w:left="1300" w:right="100" w:hanging="644"/>
        <w:spacing w:after="0" w:line="263"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300" w:right="60" w:hanging="644"/>
        <w:spacing w:after="0" w:line="248" w:lineRule="auto"/>
        <w:tabs>
          <w:tab w:leader="none" w:pos="1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filed for regulatory clearance to begin a Phase 1/2a study of ARO-C3 and subsequently dosed the first subjects in AROC3-1001, a Phase 1/2 clinical study of ARO-C3, the Company’s </w:t>
      </w:r>
      <w:r>
        <w:rPr>
          <w:rFonts w:ascii="Arial" w:cs="Arial" w:eastAsia="Arial" w:hAnsi="Arial"/>
          <w:sz w:val="18"/>
          <w:szCs w:val="18"/>
          <w:color w:val="676767"/>
        </w:rPr>
        <w:t>i</w:t>
      </w:r>
      <w:r>
        <w:rPr>
          <w:rFonts w:ascii="Arial" w:cs="Arial" w:eastAsia="Arial" w:hAnsi="Arial"/>
          <w:sz w:val="18"/>
          <w:szCs w:val="18"/>
          <w:color w:val="auto"/>
        </w:rPr>
        <w:t>nvestigational RNA interference (RNAi) therapeutic designed to reduce production of complement component 3 (C3) as a potential therapy for various complement mediated diseases;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-516255</wp:posOffset>
            </wp:positionV>
            <wp:extent cx="2540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7" w:name="page8"/>
    <w:bookmarkEnd w:id="7"/>
    <w:p>
      <w:pPr>
        <w:ind w:left="1300" w:hanging="644"/>
        <w:spacing w:after="0" w:line="272" w:lineRule="auto"/>
        <w:tabs>
          <w:tab w:leader="none" w:pos="1297"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completed the purchase of 13 acres of land in the Verona Technology Park in Verona, Wisconsin and held a groundbreaking ceremony on the site. The site is being developed into an approximately 160,000 square foot drug manufacturing facility and an approximately 140,000 square foot laboratory and office facility which will support the Company's process development and analytical activities. The Company also announced that it received awards for up to $16 million in tax increment financing from the city of Verona, and up to $2.5 million in refundable Wisconsin state income tax credits from the Wisconsin Economic Development Corporation (WEDC) as incentives to invest in the local community and create new jobs. Additionally, The Company entered into a lease agreement for a new 144,000 square foot laboratory and office facility in San Diego, California to support discovery activities;</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enrollment in Phase 2b ARCHES-2 study of investigational ARO-ANG3 for patients with mixed dyslipidemia;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ARO-RAGE for treatment of Asthma;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ARO-MUC5AC for treatment of muco-obstructive lung disease;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and dosed the first patients in the Phase 2 GATEWAY clinical study of investigational ARO-ANG3 for the treatment of patients with homozygous familial hypercholersterolemia;</w:t>
      </w:r>
    </w:p>
    <w:p>
      <w:pPr>
        <w:spacing w:after="0" w:line="210" w:lineRule="exact"/>
        <w:rPr>
          <w:rFonts w:ascii="Arial" w:cs="Arial" w:eastAsia="Arial" w:hAnsi="Arial"/>
          <w:sz w:val="18"/>
          <w:szCs w:val="18"/>
          <w:color w:val="auto"/>
        </w:rPr>
      </w:pPr>
    </w:p>
    <w:p>
      <w:pPr>
        <w:ind w:left="1300" w:right="420" w:hanging="644"/>
        <w:spacing w:after="0" w:line="226" w:lineRule="auto"/>
        <w:tabs>
          <w:tab w:leader="none" w:pos="1297" w:val="left"/>
        </w:tabs>
        <w:numPr>
          <w:ilvl w:val="0"/>
          <w:numId w:val="4"/>
        </w:numPr>
        <w:rPr>
          <w:rFonts w:ascii="Arial" w:cs="Arial" w:eastAsia="Arial" w:hAnsi="Arial"/>
          <w:sz w:val="22"/>
          <w:szCs w:val="22"/>
          <w:color w:val="auto"/>
        </w:rPr>
      </w:pPr>
      <w:r>
        <w:rPr>
          <w:rFonts w:ascii="Arial" w:cs="Arial" w:eastAsia="Arial" w:hAnsi="Arial"/>
          <w:sz w:val="18"/>
          <w:szCs w:val="18"/>
          <w:color w:val="auto"/>
        </w:rPr>
        <w:t>entered into definitive agreements to form a joint venture, Visirna Therapeutics, Inc. (“Visirna”) with Vivo Capital (“Vivo”) through which the Company and Vivo intend to expand the reach of innovative medicines in Greater China;</w:t>
      </w:r>
    </w:p>
    <w:p>
      <w:pPr>
        <w:spacing w:after="0" w:line="1" w:lineRule="exact"/>
        <w:rPr>
          <w:rFonts w:ascii="Arial" w:cs="Arial" w:eastAsia="Arial" w:hAnsi="Arial"/>
          <w:sz w:val="22"/>
          <w:szCs w:val="22"/>
          <w:color w:val="auto"/>
        </w:rPr>
      </w:pPr>
    </w:p>
    <w:p>
      <w:pPr>
        <w:ind w:left="1300" w:right="500" w:hanging="644"/>
        <w:spacing w:after="0" w:line="211" w:lineRule="auto"/>
        <w:tabs>
          <w:tab w:leader="none" w:pos="129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hosted a pulmonary research &amp; development (R&amp;D) Day to discuss the Company’s emerging pipeline of pulmonary targeted RNA interference (RNAi) therapeutic candidates that leverage its proprietary Targeted RNAi Molecule (TRIM</w:t>
      </w:r>
      <w:r>
        <w:rPr>
          <w:rFonts w:ascii="Arial" w:cs="Arial" w:eastAsia="Arial" w:hAnsi="Arial"/>
          <w:sz w:val="23"/>
          <w:szCs w:val="23"/>
          <w:color w:val="auto"/>
          <w:vertAlign w:val="superscript"/>
        </w:rPr>
        <w:t>TM</w:t>
      </w:r>
      <w:r>
        <w:rPr>
          <w:rFonts w:ascii="Arial" w:cs="Arial" w:eastAsia="Arial" w:hAnsi="Arial"/>
          <w:sz w:val="18"/>
          <w:szCs w:val="18"/>
          <w:color w:val="auto"/>
        </w:rPr>
        <w:t>) platform, including an announcement of its previously undisclosed candidate designed to reduce expression of matrix metalloproteinase 7 (MMP7) as a potential treatment for idiopathic pulmonary fibrosis (IPF); and</w:t>
      </w:r>
    </w:p>
    <w:p>
      <w:pPr>
        <w:spacing w:after="0" w:line="191" w:lineRule="exact"/>
        <w:rPr>
          <w:rFonts w:ascii="Arial" w:cs="Arial" w:eastAsia="Arial" w:hAnsi="Arial"/>
          <w:sz w:val="18"/>
          <w:szCs w:val="18"/>
          <w:color w:val="auto"/>
        </w:rPr>
      </w:pPr>
    </w:p>
    <w:p>
      <w:pPr>
        <w:ind w:left="1300" w:right="180" w:hanging="644"/>
        <w:spacing w:after="0" w:line="259" w:lineRule="auto"/>
        <w:tabs>
          <w:tab w:leader="none" w:pos="128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Takeda, announced results from a Phase 2 clinical study (AROAAT-2002) of investigational fazirsiran (TAK-999/ARO-AAT) for the treatment of liver disease associated with alpha-1 antitrypsin deficiency (AATD), and was recently published in the New England Journal of Medicine (NEJM) and presented in an oral presentation at The International Liver Congress™ 2022 - The Annual Meeting of the European Association for the Study of the Liver (EASL).</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is actively monitoring the ongoing COVID-19 pandemic. The financial results for the three and nine months ended June 30, 2022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licensing and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as well as with the Company’s plans to increase its internal manufacturing capabilities, and expand its footprint in Verona, Wisconsin and San Diego, California.</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 w:name="page9"/>
    <w:bookmarkEnd w:id="8"/>
    <w:p>
      <w:pPr>
        <w:ind w:right="220" w:firstLine="648"/>
        <w:spacing w:after="0" w:line="257" w:lineRule="auto"/>
        <w:rPr>
          <w:sz w:val="20"/>
          <w:szCs w:val="20"/>
          <w:color w:val="auto"/>
        </w:rPr>
      </w:pPr>
      <w:r>
        <w:rPr>
          <w:rFonts w:ascii="Arial" w:cs="Arial" w:eastAsia="Arial" w:hAnsi="Arial"/>
          <w:sz w:val="18"/>
          <w:szCs w:val="18"/>
          <w:color w:val="auto"/>
        </w:rPr>
        <w:t>At June 30, 2022, the Company had $139.4 million in cash and cash equivalents (including $7.4 million in restricted cash), $277.1 million in short-term investments, $0 in marketable securities and $165.9 million in long-term investments to fund operations. $60 million of our cash balance resulted from the formation of our joint venture, Viserna. During the nine months ended June 30, 2022, the Company’s cash and investments balance decreased by $31.0 million, which was primarily due to cash being used to fund the Company’s operations, partially offset by the $120.0 million upfront payment received from GSK, and $60 million cash infusion to Viserna.</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total, the Company remains eligible for $4.9 billion in developmental, regulatory and sales milestones and various royalties on net sales from its licensing and collaboration agreements. The revenue recognition for these collaboration agreements is discussed further in Note 2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changes to the significant accounting policies disclosed in the Company’s most recent Annual Report on Form 10-K.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recent accounting pronouncements that have significantly impacted this Quarterly Report on Form 10-Q, beyond those disclosed in the Company’s most recent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9" w:lineRule="exact"/>
        <w:rPr>
          <w:sz w:val="20"/>
          <w:szCs w:val="20"/>
          <w:color w:val="auto"/>
        </w:rPr>
      </w:pPr>
    </w:p>
    <w:p>
      <w:pPr>
        <w:ind w:right="60" w:firstLine="734"/>
        <w:spacing w:after="0"/>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(“US GAAP”) for interim financial information. Accordingly, they do not include all of the information and notes required by US GAAP for complete financial statements. In our opinion, the unaudited consolidated financial statements have been prepared on the same basis as audited consolidated financial statements and include all adjustments, consisting of only normal recurring adjustments, necessary for the fair presentation of our financial position, results of operations, comprehensive income and cash flows. The interim results are not necessarily indicative of the results of operations to be expected for the year ending September 30, 2022 or any other period.</w:t>
      </w:r>
    </w:p>
    <w:p>
      <w:pPr>
        <w:spacing w:after="0" w:line="204" w:lineRule="exact"/>
        <w:rPr>
          <w:sz w:val="20"/>
          <w:szCs w:val="20"/>
          <w:color w:val="auto"/>
        </w:rPr>
      </w:pPr>
    </w:p>
    <w:p>
      <w:pPr>
        <w:ind w:right="40" w:firstLine="734"/>
        <w:spacing w:after="0" w:line="225" w:lineRule="auto"/>
        <w:rPr>
          <w:sz w:val="20"/>
          <w:szCs w:val="20"/>
          <w:color w:val="auto"/>
        </w:rPr>
      </w:pPr>
      <w:r>
        <w:rPr>
          <w:rFonts w:ascii="Arial" w:cs="Arial" w:eastAsia="Arial" w:hAnsi="Arial"/>
          <w:sz w:val="18"/>
          <w:szCs w:val="18"/>
          <w:color w:val="auto"/>
        </w:rPr>
        <w:t>The accompanying unaudited consolidated financial statements include the accounts of our wholly owned subsidiaries, as well as the accounts of Visirna, a variable interest entity for which we are the primary beneficiary. All intercompany balances and transactions have been eliminated in consolidation. For consolidated entities where we own or are exposed to less than 100% of the economics, we record net income (loss) attributable to noncontrolling interest in our unaudited consolidated statements of income equal to the percentage of the economic or ownership interest retained in such entities by the respective noncontrolling parties. The accompanying unaudited consolidated financial statements should be read in conjunction with the audited consolidated financial statements and notes thereto included in our Annual Report on Form 10-K for the year ended September 30, 2021, filed with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Under the Second Collaboration and License Agreement (the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prior collaboration and license agreement (the “First Collaboration and License Agreement” or the “ARO-AMG1 Agreement”), Amgen received an option to a worldwide, exclusive license for ARO-AMG1, an RNAi therapy for an undisclosed genetically validated cardiovascular target. Under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ARO-AMG1 Agreement.</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and nine months ended June 30, 2022 and 2021,</w:t>
      </w:r>
    </w:p>
    <w:p>
      <w:pPr>
        <w:spacing w:after="0" w:line="3"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the Company recognized $0 and $0 of revenue associated with its agreement with Amgen, respectively. As of June 30, 2022, there were $0 in contract assets recorded as accounts receivable and $0 contract liabilities recorded as current deferred revenue on the Company’s Consolidated Balance Sheets.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 Collaboration Agreement, Janssen was able to select three new targets against which Arrowhead would develop clinical candidates. These candidates were subject to certain restrictions and do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$73.0 million, and the Company may receive up to $1.6 billion in development and sales milestones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 Agreement and up to low teens under the Janssen Collaboration Agreement. During the three months ended June 30, 2022, Janssen’s option period expired unexercised for two of the three candidates (ARO-JNJ2 and ARO-JNJ3) under the Janssen Collaboration Agreement.</w:t>
      </w:r>
    </w:p>
    <w:p>
      <w:pPr>
        <w:spacing w:after="0" w:line="17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June 30, 2022 and 2021, the Company recognized approximately $0 and $0 of revenue associated with this performance obligation, respectively. During the nine months ended June 30, 2022 and 2021, the Company recognized approximately $0 and $20.2 million of revenue associated with this performance obligation, respectively. As of June 30, 2022, there were $0 in contract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assets recorded as accounts receivable, and $0 of contract liabilities recorded as current deferred revenue on the Company’s Consolidated Balance Sheets.</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During the three months ended June 30, 2022, Janssen’s option period expired unexercised for two of the three candidates (ARO-JNJ2 and ARO-JNJ3) under the Janssen Collaboration Agreement as reported in the second quarter of 2022. During the three months ended June 30, 2022 and 2021, the Company recognized $0.0 million and $0.2 million of revenue associated with these efforts, respectively. During the nine months ended June 30, 2022 and 2021, the Company recognized $0.1 million and $0.5 million of revenue associated with these efforts, respectively. In May 2021, Janssen exercised its option right for ARO-JNJ1, which resulted in a $10.0 million milestone payment to the Company. This $10 million milestone payment was recognized entirely during</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three months ended June 30, 2021. As of June 30, 2022, there were $0 of contract assets recorded as accounts receivable and $0 of contract liabilities recorded as current deferred revenue on the Company’s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June 30, 2022 and 2021 was $25.5 million and $35.7 million, respectively. Revenue for the nine months ended June 30, 2022 and 2021 was $67.1 million and $69.3 million, respectively. As of June 30, 2022, there were $0 in contract assets recorded as accounts receivable, $71.0 million in contract liabilities recorded as deferred revenue and $71.2 million in contract liabilities recorded as deferred revenue, net of the current portion, and $7.8 million in contract liabilities recorded as accrued expenses. The $7.8 million in accrued expenses was primarily driven by co-development and co-commercialization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18, 2021, the Company entered into the Horizon License Agreement with Horizon. Under the Horizon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1" w:name="page12"/>
    <w:bookmarkEnd w:id="11"/>
    <w:p>
      <w:pPr>
        <w:ind w:right="200"/>
        <w:spacing w:after="0" w:line="296" w:lineRule="auto"/>
        <w:rPr>
          <w:sz w:val="20"/>
          <w:szCs w:val="20"/>
          <w:color w:val="auto"/>
        </w:rPr>
      </w:pPr>
      <w:r>
        <w:rPr>
          <w:rFonts w:ascii="Arial" w:cs="Arial" w:eastAsia="Arial" w:hAnsi="Arial"/>
          <w:sz w:val="16"/>
          <w:szCs w:val="16"/>
          <w:color w:val="auto"/>
        </w:rPr>
        <w:t>License Agreement, Horizon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6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 Revenue for Contracts from Customers.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ARO-XDH.</w:t>
      </w:r>
    </w:p>
    <w:p>
      <w:pPr>
        <w:spacing w:after="0" w:line="17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June 30, 2022 and 2021 was $6.7 million and $0, respectively. Revenue for the nine months ended June 30, 2022 and 2021 was $20.0 million and $0, respectively. As of June 30, 2022, there were $0 million in contract assets recorded as accounts receivable, $13.3 million in contract liabilities recorded as deferred revenue.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manufactured ARO-XDH material for Horizon in furtherance of the research plan entered into pursuant to the Horizon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for which the Company has been reimbursed for its costs. During the nine months ended June 30, 2022 and 2021,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$0 with these efforts, respectively. As of June 30, 2022, there were $0.0 million of contract assets recorded as accounts receivable and $0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contract liabilities recorded as current deferred revenue on the Company’s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11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retained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right="120" w:firstLine="648"/>
        <w:spacing w:after="0" w:line="293" w:lineRule="auto"/>
        <w:rPr>
          <w:sz w:val="20"/>
          <w:szCs w:val="20"/>
          <w:color w:val="auto"/>
        </w:rPr>
      </w:pPr>
      <w:r>
        <w:rPr>
          <w:rFonts w:ascii="Arial" w:cs="Arial" w:eastAsia="Arial" w:hAnsi="Arial"/>
          <w:sz w:val="16"/>
          <w:szCs w:val="16"/>
          <w:color w:val="auto"/>
        </w:rPr>
        <w:t>The Company determined the initial transaction price totaled $120.0 million, including the upfront payment. The $120.0 million upfront payment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will be fully recognized as of the three and nine months ended June 30, 2022. Revenue for the nine months ended June 30, 2022 and 2021 was $120.0 million and $0, respectively. As of June 30, 2022, there were $0 in contract assets recorded as accounts receivable, $0 in contract liabilities recorded as deferred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and License Agreement with Visirna Therapeutics, Inc.</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6"/>
          <w:szCs w:val="16"/>
          <w:color w:val="auto"/>
        </w:rPr>
        <w:t>On April 25, 2022, the Company entered into a License Agreement (the “Visirna License Agreement”) with Visirna Therapeutics, Inc. (“Visirna”), pursuant to which Visirna received an exclusive license to develop, manufacture and commercialize four of Arrowhead’s RNAi-based investigational</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cardiobolic medicines in Greater China (including the People’s Republic of China, Hong Kong, Macau and Taiwan). Pursuant to a Share Purchase Agreement entered into simultaneously with the Visirna License Agreement (the “Visirna SPA”), the Company acquired a majority stake in Visirna (after</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accounting for shares reserved for Visirna’s employee stock ownership plan) as partial consideration for the Visirna License Agreement. Under the Visirna SPA, entities affiliated with Vivo Capital (“Vivo”) also acquired a minority stake in Visirna in exchange for $60 million in upfront capital to support the</w:t>
      </w:r>
    </w:p>
    <w:p>
      <w:pPr>
        <w:spacing w:after="0" w:line="1"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operations of Visirna. As further consideration under the Visirna License Agreement, the Company is also eligible to receive potential royalties on commercial sales.</w:t>
      </w:r>
    </w:p>
    <w:p>
      <w:pPr>
        <w:spacing w:after="0" w:line="198"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Company has determined that Visirna is a variable interest entity upon its formation and as of June 30, 2022, and it has been determined that Arrowhead is the primary beneficiary; accordingly, Arrowhead consolidates the financial statements of Visirna.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30, 2021</w:t>
            </w:r>
          </w:p>
        </w:tc>
      </w:tr>
      <w:tr>
        <w:trPr>
          <w:trHeight w:val="25"/>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84"/>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4"/>
          </w:tcPr>
          <w:p>
            <w:pPr>
              <w:jc w:val="right"/>
              <w:ind w:right="121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software, office equipment and furniture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Research equipment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27,500</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41,524</w:t>
            </w: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Total gross fixed assets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71,539</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(22,864)</w:t>
            </w:r>
          </w:p>
        </w:tc>
      </w:tr>
      <w:tr>
        <w:trPr>
          <w:trHeight w:val="244"/>
        </w:trPr>
        <w:tc>
          <w:tcPr>
            <w:tcW w:w="77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48,675</w:t>
            </w:r>
          </w:p>
        </w:tc>
      </w:tr>
      <w:tr>
        <w:trPr>
          <w:trHeight w:val="27"/>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Depreciation and amortization expense for property and equipment for the three months ended June 30, 2022 and 2021 was $2.2 million and $1.6 million, respectively. Depreciation and amortization expense for property and equipment for the nine months ended June 30, 2022 and 2021 was $6.5 million and $4.5 million, respectively. Construction in Progress relates to the Company’s Verona and San Diego research facilities. Land relates to the Company’s Verona, Wisconsin research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ind w:right="60" w:firstLine="648"/>
        <w:spacing w:after="0" w:line="236" w:lineRule="auto"/>
        <w:rPr>
          <w:sz w:val="20"/>
          <w:szCs w:val="20"/>
          <w:color w:val="auto"/>
        </w:rPr>
      </w:pPr>
      <w:r>
        <w:rPr>
          <w:rFonts w:ascii="Arial" w:cs="Arial" w:eastAsia="Arial" w:hAnsi="Arial"/>
          <w:sz w:val="17"/>
          <w:szCs w:val="17"/>
          <w:color w:val="auto"/>
        </w:rPr>
        <w:t>Investments at June 30, 2022 primarily consisted of commercial paper and corporate bonds that have maturities of less than 36 months and a certificate of deposit. Cash and cash equivalents consist of cash on hand and commercial paper purchased with 90-days or less remaining to maturity. The Company’s corporate bonds consist of both short-term and long-term bonds and are classified as “held-to-maturity” on the Company’s Consolidated Balance Sheets. The Company’s certificate of deposit matures in less than 12 months and is classified as “held-to-maturity” on the Company’s Consolidated Balance Sheet,’. The Company’s marketable equity securities consisted of mutual funds that primarily invest in U.S. government bonds, U.S. government agency bonds, corporate bonds and other asset-backed debt securities. Dividends from these funds were automatically re-invested. In April 2022, all marketable securities were sold for $122.3 million. The Company may also invest excess cash balances in money market accounts, and these securities would be classified as cash and cash equivalents on the Company’s Consolidated Balance Sheet. The Company accounts for its “held-to-maturity” investments in accordance with FASB ASC 320, Investments – Debt and Equity Securities and its marketable equity securities in accordance with ASC 321, Investments – Equity Securities. We did not record any impairment charges related to our marketable debt securities during the three and nine months ended June 30, 2022.</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the Company’s short-term and long-term investments and marketable securities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by measurement category: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As of June 30,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50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as Cash Equivalents</w:t>
            </w: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Commercial notes (due within ninety days)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25,325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25,336</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as Held to Maturity</w:t>
            </w: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Commercial notes (due within one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227,057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225,490</w:t>
            </w:r>
          </w:p>
        </w:tc>
      </w:tr>
      <w:tr>
        <w:trPr>
          <w:trHeight w:val="27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notes (due within one through three years)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165,920</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159,540</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Certificate of deposit (due within one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as Marketable Securities</w:t>
            </w: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468,302</w:t>
            </w:r>
          </w:p>
        </w:tc>
        <w:tc>
          <w:tcPr>
            <w:tcW w:w="8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460,366</w:t>
            </w:r>
          </w:p>
        </w:tc>
      </w:tr>
      <w:tr>
        <w:trPr>
          <w:trHeight w:val="461"/>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As of September 30, 2021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50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as Held to Maturity</w:t>
            </w: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Commercial notes (due within one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57,430</w:t>
            </w:r>
          </w:p>
        </w:tc>
      </w:tr>
      <w:tr>
        <w:trPr>
          <w:trHeight w:val="27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notes (due within one through three years)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195,595</w:t>
            </w: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196,643</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Certificate of deposit (due within one through two years)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Classified as Marketable Securities</w:t>
            </w: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127,481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126,728</w:t>
            </w:r>
          </w:p>
        </w:tc>
      </w:tr>
      <w:tr>
        <w:trPr>
          <w:trHeight w:val="257"/>
        </w:trPr>
        <w:tc>
          <w:tcPr>
            <w:tcW w:w="50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429,703</w:t>
            </w:r>
          </w:p>
        </w:tc>
        <w:tc>
          <w:tcPr>
            <w:tcW w:w="8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430,801</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$1.1 million. The patents associated with the Novartis RNAi asset acquisition are being amortized over the estimated life remaining at the time of acquisition, which was 14 years, and the accumulated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4" w:name="page15"/>
    <w:bookmarkEnd w:id="14"/>
    <w:p>
      <w:pPr>
        <w:ind w:right="300"/>
        <w:spacing w:after="0" w:line="308" w:lineRule="auto"/>
        <w:rPr>
          <w:sz w:val="20"/>
          <w:szCs w:val="20"/>
          <w:color w:val="auto"/>
        </w:rPr>
      </w:pPr>
      <w:r>
        <w:rPr>
          <w:rFonts w:ascii="Arial" w:cs="Arial" w:eastAsia="Arial" w:hAnsi="Arial"/>
          <w:sz w:val="16"/>
          <w:szCs w:val="16"/>
          <w:color w:val="auto"/>
        </w:rPr>
        <w:t>amortization of the assets is $11.4 million. Amortization expense for the three months ended June 30, 2022 and 2021 was $0.4 million and $0.4 million, respectively. Amortization expense for the nine months ended June 30, 2022 and 2021 was $1.3 million and $1.3 million, respectively. Amortization</w:t>
      </w:r>
    </w:p>
    <w:p>
      <w:pPr>
        <w:ind w:right="300"/>
        <w:spacing w:after="0" w:line="277" w:lineRule="auto"/>
        <w:rPr>
          <w:sz w:val="20"/>
          <w:szCs w:val="20"/>
          <w:color w:val="auto"/>
        </w:rPr>
      </w:pPr>
      <w:r>
        <w:rPr>
          <w:rFonts w:ascii="Arial" w:cs="Arial" w:eastAsia="Arial" w:hAnsi="Arial"/>
          <w:sz w:val="18"/>
          <w:szCs w:val="18"/>
          <w:color w:val="auto"/>
        </w:rPr>
        <w:t>expense is expected to be $0.4 million for the remainder of fiscal 2022, $1.7 million in 2023, $1.7 million in 2024, $1.7 million in 2025, $1.7 million in 2026 and $5.2 million thereafter.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Intangible</w:t>
            </w:r>
          </w:p>
        </w:tc>
      </w:tr>
      <w:tr>
        <w:trPr>
          <w:trHeight w:val="162"/>
        </w:trPr>
        <w:tc>
          <w:tcPr>
            <w:tcW w:w="9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82"/>
              </w:rPr>
              <w:t>Assets</w:t>
            </w:r>
          </w:p>
        </w:tc>
      </w:tr>
      <w:tr>
        <w:trPr>
          <w:trHeight w:val="162"/>
        </w:trPr>
        <w:tc>
          <w:tcPr>
            <w:tcW w:w="9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Subject to</w:t>
            </w:r>
          </w:p>
        </w:tc>
      </w:tr>
      <w:tr>
        <w:trPr>
          <w:trHeight w:val="186"/>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r>
      <w:tr>
        <w:trPr>
          <w:trHeight w:val="26"/>
        </w:trPr>
        <w:tc>
          <w:tcPr>
            <w:tcW w:w="9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12,387</w:t>
            </w:r>
          </w:p>
        </w:tc>
      </w:tr>
      <w:tr>
        <w:trPr>
          <w:trHeight w:val="27"/>
        </w:trPr>
        <w:tc>
          <w:tcPr>
            <w:tcW w:w="9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At June 30, 2022, the Company had a total of 150,000,000 shares of capital stock authorized for issuance, consisting of 145,000,000 shares of Common Stock, par value $0.001 per share, and 5,000,000 shares of Preferred Stock, par value $0.001 per share.</w:t>
      </w:r>
    </w:p>
    <w:p>
      <w:pPr>
        <w:spacing w:after="0" w:line="146"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At June 30, 2022, 105,795,456 shares of Common Stock were outstanding. At June 30, 2022, 13,942,716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 under Rule 5635(c)(4) of the Nasdaq Listing Rules.</w:t>
      </w:r>
    </w:p>
    <w:p>
      <w:pPr>
        <w:spacing w:after="0" w:line="1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June 30, 2022, no shares have been sold under the ATM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June 30,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Wisconsin, which is planned to be the site of an approximately 160,000 square foot drug manufacturing facility and an approximately 140,000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and nine months ended June 30, 2022 and 2021, the Company did not reach any milestones. Under certain agreements, the Company may be required to make mid to high single-digit percentage royalty payments based on a percentage of sales of the relevant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June 30, 2022. On October 23, 2020, the Company entered into a lease expansion to add an additional approximately 24,000 square feet of office space at the same location</w:t>
      </w:r>
    </w:p>
    <w:p>
      <w:pPr>
        <w:spacing w:after="0" w:line="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its corporate headquarters. Lease payments for the expansion began in July 2021 and the lease for the expansion expires in April 2027. The lease payments for the expansion are expected to total $6.9 million. The Company has paid approximately $4.0 million of leasehold improvements, net of tenant improvement allowances, for the lease expansion.</w:t>
      </w:r>
    </w:p>
    <w:p>
      <w:pPr>
        <w:spacing w:after="0" w:line="184" w:lineRule="exact"/>
        <w:rPr>
          <w:sz w:val="20"/>
          <w:szCs w:val="20"/>
          <w:color w:val="auto"/>
        </w:rPr>
      </w:pPr>
    </w:p>
    <w:p>
      <w:pPr>
        <w:jc w:val="both"/>
        <w:ind w:right="60" w:firstLine="648"/>
        <w:spacing w:after="0" w:line="299"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square feet and to extend the lease expiration date to September 30, 2031. Lease payments are estimated to</w:t>
      </w:r>
    </w:p>
    <w:p>
      <w:pPr>
        <w:spacing w:after="0" w:line="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total approximately $26.2 million for the term. The Company incurred approximately $11.0 million of leasehold improvements for the additional 40,000 square feet, net of tenant improvement allowances. The lease contains two options to renew for two terms of five years. The exercise of these options were not determined to be reasonably certain and thus was not included in lease liabilities on the Company’s Consolidated Balance Sheet at June 30, 2022.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16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In March 2020, the Company entered into a sublease agreement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November 19, 2021, the Company entered into a new lease for a San Diego, California research facility. The 15-year lease is for approximately 144,000 square feet of office and research and development laboratory space to be constructed in San Diego, California. This lease will replace the Company’s current research facility sublease for property located in San Diego, California. The increased capacity of this new facility compared to the Company’s current research facility in San Diego will accommodate increased personnel for the Company’s expanding pipeline of current and future drug candidates. The estimated rent commencement date for the lease is in March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Company has the option to extend the lease for up to one additional ten-year term, with certain annual increases in base rent. .</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Operating lease cost during the three months ended June 30, 2022 and 2021 was $3.4 million and $1.6 million, respectively. Operating lease cost during the nine months ended June 30, 2022 and 2021 was $6.0 million and $3.6 million, respectively. Variable lease costs for the three months ended June 30, 2022 and 2021 was $0.2 million and $0.1 million, respectively. Variable lease costs for the nine months ended June 30, 2022 and 2021 was $0.5 million and $0.6 million, respectively. There was no short-term lease cost during the three and nine months ended June 30, 2022 and 2021.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payments of operating lease liabilities on an undiscounted basis as of June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6"/>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(remainder of fiscal year)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63"/>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63"/>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12,313</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114,109</w:t>
            </w:r>
          </w:p>
        </w:tc>
        <w:tc>
          <w:tcPr>
            <w:tcW w:w="0" w:type="dxa"/>
            <w:vAlign w:val="bottom"/>
          </w:tcPr>
          <w:p>
            <w:pPr>
              <w:spacing w:after="0"/>
              <w:rPr>
                <w:sz w:val="1"/>
                <w:szCs w:val="1"/>
                <w:color w:val="auto"/>
              </w:rPr>
            </w:pPr>
          </w:p>
        </w:tc>
      </w:tr>
      <w:tr>
        <w:trPr>
          <w:trHeight w:val="275"/>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153,427</w:t>
            </w:r>
          </w:p>
        </w:tc>
        <w:tc>
          <w:tcPr>
            <w:tcW w:w="0" w:type="dxa"/>
            <w:vAlign w:val="bottom"/>
          </w:tcPr>
          <w:p>
            <w:pPr>
              <w:spacing w:after="0"/>
              <w:rPr>
                <w:sz w:val="1"/>
                <w:szCs w:val="1"/>
                <w:color w:val="auto"/>
              </w:rPr>
            </w:pPr>
          </w:p>
        </w:tc>
      </w:tr>
      <w:tr>
        <w:trPr>
          <w:trHeight w:val="20"/>
        </w:trPr>
        <w:tc>
          <w:tcPr>
            <w:tcW w:w="97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(72,313)</w:t>
            </w:r>
          </w:p>
        </w:tc>
        <w:tc>
          <w:tcPr>
            <w:tcW w:w="0" w:type="dxa"/>
            <w:vAlign w:val="bottom"/>
          </w:tcPr>
          <w:p>
            <w:pPr>
              <w:spacing w:after="0"/>
              <w:rPr>
                <w:sz w:val="1"/>
                <w:szCs w:val="1"/>
                <w:color w:val="auto"/>
              </w:rPr>
            </w:pPr>
          </w:p>
        </w:tc>
      </w:tr>
      <w:tr>
        <w:trPr>
          <w:trHeight w:val="21"/>
        </w:trPr>
        <w:tc>
          <w:tcPr>
            <w:tcW w:w="97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 (includes current portion)</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81,114</w:t>
            </w:r>
          </w:p>
        </w:tc>
        <w:tc>
          <w:tcPr>
            <w:tcW w:w="0" w:type="dxa"/>
            <w:vAlign w:val="bottom"/>
          </w:tcPr>
          <w:p>
            <w:pPr>
              <w:spacing w:after="0"/>
              <w:rPr>
                <w:sz w:val="1"/>
                <w:szCs w:val="1"/>
                <w:color w:val="auto"/>
              </w:rPr>
            </w:pP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Statements of Cash Flows for the nine months ended June 30, 2022 and 2021 was $3.4 million and $2.2 million, respectively. The weighted-average remaining lease term and weighted-average discount rate for all leases as of June 30, 2022 was 7.3 years and 8.5%,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Arrowhead has three plans that provide for equity-based compensation. Under the 2004 Equity Incentive Plan and the 2013 Incentive Plan, as of June 30, 2022, 216,607 and 4,114,999 shares, respectively, of Arrowhead’s Common Stock are reserved for the grant of stock options, stock appreciation rights, and restricted stock unit awards to employees, consultants and others. No further grants may be made under the 2004 Equity Incentive Plan. As of June 30, 2022, there were options granted and outstanding to purchase 216,607 and 1,806,987 shares of Common Stock under the 2004 Equity Incentive Plan and the 2013 Incentive Plan, respectively, and there were 2,308,012 restricted stock units granted and outstanding under the 2013 Incentive Plan. As of June 30, 2022, there were 816,248 shares reserved for options and 682,500 shares reserved for restricted stock units issued as inducement grants to new employees outside of equity compensation plans. As of June 30, 2022, there were 3,000 shares of Common Stock reserved for options and 1,507,267 shares of Common Stock reserved for restricted stock units granted and outstanding under the 2021 Incentive Plan. As of June 30, 2022, the total number of shares available under the 2021 Incentive Plan was 6,627,845 shares, which includes 119,612 shares that were forfeited under the 2013 Incentive Plan.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4"/>
                <w:szCs w:val="14"/>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4"/>
                <w:szCs w:val="14"/>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502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2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6"/>
                <w:szCs w:val="16"/>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Value</w:t>
            </w:r>
          </w:p>
        </w:tc>
      </w:tr>
      <w:tr>
        <w:trPr>
          <w:trHeight w:val="26"/>
        </w:trPr>
        <w:tc>
          <w:tcPr>
            <w:tcW w:w="50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3,456,239</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(106,801)</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0"/>
        </w:trPr>
        <w:tc>
          <w:tcPr>
            <w:tcW w:w="5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(506,596)</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FF0FC"/>
            </w:tcBorders>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r>
      <w:tr>
        <w:trPr>
          <w:trHeight w:val="25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2,842,842</w:t>
            </w:r>
          </w:p>
        </w:tc>
        <w:tc>
          <w:tcPr>
            <w:tcW w:w="8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9"/>
              </w:rPr>
              <w:t>5.1 years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55,434,252</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Exercisable at June 30,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2,370,089</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580" w:type="dxa"/>
            <w:vAlign w:val="bottom"/>
            <w:gridSpan w:val="2"/>
          </w:tcPr>
          <w:p>
            <w:pPr>
              <w:ind w:left="820"/>
              <w:spacing w:after="0"/>
              <w:rPr>
                <w:sz w:val="20"/>
                <w:szCs w:val="20"/>
                <w:color w:val="auto"/>
              </w:rPr>
            </w:pPr>
            <w:r>
              <w:rPr>
                <w:rFonts w:ascii="Arial" w:cs="Arial" w:eastAsia="Arial" w:hAnsi="Arial"/>
                <w:sz w:val="18"/>
                <w:szCs w:val="18"/>
                <w:color w:val="auto"/>
                <w:w w:val="99"/>
              </w:rPr>
              <w:t>4.6 years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52,941,990</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June 30, 2022 and 2021 was $2.6 million and $3.2 million, respectively. Stock-based compensation expense related to stock options for the nine months ended June 30, 2022 and 2021 was $8.3 million and $9.6 million,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grant date fair value of the options granted by the Company for the three months ended June 30, 2022 and 2021 was $0 and $0.9 million, respectively. The grant date fair value of the options granted by the Company for the nine months ended June 30, 2022 and 2021 was $0 and $9.0 million, respectively.</w:t>
      </w:r>
    </w:p>
    <w:p>
      <w:pPr>
        <w:spacing w:after="0" w:line="18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The intrinsic value of the options exercised during the three months ended June 30, 2022 and 2021 was $1.6 million and $10.2 million, respectively. The intrinsic value of the options exercised during the nine months ended June 30, 2022 and 2021 was $24.9 million and $63.0 million, respectively.</w:t>
      </w:r>
    </w:p>
    <w:p>
      <w:pPr>
        <w:spacing w:after="0" w:line="18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As of June 30, 2022, the pre-tax compensation expense for all outstanding unvested stock options in the amount of $14.9 million will be recognized in the Company’s results of operations over a weighted average period of 1.7 years.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27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32385</wp:posOffset>
            </wp:positionV>
            <wp:extent cx="1945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5"/>
        </w:trPr>
        <w:tc>
          <w:tcPr>
            <w:tcW w:w="81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0.4% - 1.1%</w:t>
            </w:r>
          </w:p>
        </w:tc>
      </w:tr>
      <w:tr>
        <w:trPr>
          <w:trHeight w:val="27"/>
        </w:trPr>
        <w:tc>
          <w:tcPr>
            <w:tcW w:w="9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- 90.4%</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9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0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r>
      <w:tr>
        <w:trPr>
          <w:trHeight w:val="27"/>
        </w:trPr>
        <w:tc>
          <w:tcPr>
            <w:tcW w:w="8180" w:type="dxa"/>
            <w:vAlign w:val="bottom"/>
            <w:shd w:val="clear" w:color="auto" w:fill="CFF0FC"/>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Restricted stock units (“RSUs”), including time-based, market condition-based, and performance condition-based awards, have been granted under the Company’s 2013 Incentive Plan, 2021 Incentive Plan, and as inducements grants granted outside of the Company’s equity-based compensation plans under Rule 5635(c)(4) of the Nasdaq Listing Rules.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b w:val="1"/>
                <w:bCs w:val="1"/>
                <w:color w:val="auto"/>
              </w:rPr>
              <w:t>Grant</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Date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RSUs</w:t>
            </w:r>
          </w:p>
        </w:tc>
        <w:tc>
          <w:tcPr>
            <w:tcW w:w="260" w:type="dxa"/>
            <w:vAlign w:val="bottom"/>
          </w:tcPr>
          <w:p>
            <w:pPr>
              <w:spacing w:after="0"/>
              <w:rPr>
                <w:sz w:val="16"/>
                <w:szCs w:val="16"/>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81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September 30, 2021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3,831,850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1,691,367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56.73</w:t>
            </w:r>
          </w:p>
        </w:tc>
      </w:tr>
      <w:tr>
        <w:trPr>
          <w:trHeight w:val="26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(962,188)</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w:t>
            </w:r>
          </w:p>
        </w:tc>
      </w:tr>
      <w:tr>
        <w:trPr>
          <w:trHeight w:val="250"/>
        </w:trPr>
        <w:tc>
          <w:tcPr>
            <w:tcW w:w="81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(95,625)</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r>
      <w:tr>
        <w:trPr>
          <w:trHeight w:val="275"/>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June 30, 2022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4,465,404</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61.97</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During the three months ended June 30, 2022 and 2021, the Company recorded $33.7 million and $15.4 million of expense related to RSUs, respectively. During the nine months ended June 30, 2022 and 2021, the Company recorded $83.4 million and $32.5 million of expense related to RSUs, respectively. Such expense is included in stock-based compensation expense in the Company’s Consolidated Statements of Operations and Comprehensive Income (Loss). For RSUs, the expense creates a timing difference, resulting in a deferred tax asset, which is fully reserved by a valuation allowance.</w:t>
      </w:r>
    </w:p>
    <w:p>
      <w:pPr>
        <w:spacing w:after="0" w:line="15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three months ended June 30, 2022 and 2021 was $42.5 million and $3.1 million, respectively. The grant date fair value of the RSUs granted by the Company for the nine months ended June 30, 2022 and 2021 was $95.2 million and $112.1 million, respectively.</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As of June 30, 2022, the pre-tax compensation expense for all unvested RSUs in the amount of $190.3 million will be recognized in the Company’s results of operations over a weighted average period of 2.7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9" w:name="page20"/>
    <w:bookmarkEnd w:id="19"/>
    <w:p>
      <w:pPr>
        <w:ind w:right="60" w:firstLine="648"/>
        <w:spacing w:after="0" w:line="277" w:lineRule="auto"/>
        <w:rPr>
          <w:sz w:val="20"/>
          <w:szCs w:val="20"/>
          <w:color w:val="auto"/>
        </w:rPr>
      </w:pPr>
      <w:r>
        <w:rPr>
          <w:rFonts w:ascii="Arial" w:cs="Arial" w:eastAsia="Arial" w:hAnsi="Arial"/>
          <w:sz w:val="18"/>
          <w:szCs w:val="18"/>
          <w:color w:val="auto"/>
        </w:rPr>
        <w:t>The following table summarizes fair value measurements at June 30, 2022 and September 30, 2021 for assets and liabilities measured at fair value on a 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June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3"/>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2"/>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Cash and cash equivalents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Commercial Notes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25,336</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25,336</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Marketable Securities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Held to Maturity</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225,490</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225,490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159,540</w:t>
            </w:r>
          </w:p>
        </w:tc>
        <w:tc>
          <w:tcPr>
            <w:tcW w:w="116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159,540</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Certificate of deposits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Contingent Consideration</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5040" w:type="dxa"/>
            <w:vAlign w:val="bottom"/>
          </w:tcPr>
          <w:p>
            <w:pPr>
              <w:ind w:left="660"/>
              <w:spacing w:after="0"/>
              <w:rPr>
                <w:sz w:val="20"/>
                <w:szCs w:val="20"/>
                <w:color w:val="auto"/>
              </w:rPr>
            </w:pPr>
            <w:r>
              <w:rPr>
                <w:rFonts w:ascii="Arial" w:cs="Arial" w:eastAsia="Arial" w:hAnsi="Arial"/>
                <w:sz w:val="18"/>
                <w:szCs w:val="18"/>
                <w:color w:val="auto"/>
              </w:rPr>
              <w:t>September 30, 2021:</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3"/>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3"/>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2"/>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Marketable Securities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126,728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126,728</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Held to Maturity</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57,430</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57,430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196,643</w:t>
            </w:r>
          </w:p>
        </w:tc>
        <w:tc>
          <w:tcPr>
            <w:tcW w:w="116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196,643</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Classified as Contingent Consideration</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SUBSEQUENT EVENTS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and uncertainties described in other documents we file from time to time with the Securities and Exchange Commission (“SEC”), including this Quarterly Report on Form 10-Q for the quarter ended June 30, 2022.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Visirna Therapeutics Inc. ("Visirna"), and Arrowhead Australia Pty Ltd (“Arrowhead Australia”), (4) the term “Common Stock” refers to Arrowhead’s Common Stock, par value $0.001 per share, (5) the term “Preferred Stock” refers to Arrowhead’s Preferred Stock, par value $0.001 per share, and (6) the term “Stockholder(s)” refers to the holders of Arrowhead’s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ARO-ENaC2 for cystic fibrosis, ARO-DUX4 for facioscapulohumeral muscular dystrophy, ARO-COV for the coronavirus that causes COVID-19 and other possible future pulmonary-borne pathogens, ARO-C3 for complement mediated diseases, ARO-RAGE and ARO-MUC5AC for various muco-obstructive or inflammatory pulmonary conditions and ARO-MMP7 for idiopathic pulmonary fibrosis. ARO-HSD for liver disease was out-licensed to Glaxosmithkline Intellectual Property (No. 3) Limited (“GSK”) in November 2021. ARO-XDH is being developed for uncontrolled gout under a collaboration agreement with Horizon Therapeutics Ireland DAC (“Horizon”). JNJ-75220795 (ARO-JNJ1) is being developed by Janssen as a potential treatment for patients with non-alcoholic steatohepatitis (NASH).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 While the Company believes that initial ARO-HIF2 Phase 1 clinical data provides proof of concept for the ability to deliver siRNA to RCC tumors, the Company has decided not to pursue further clinical development of ARO-HIF2 based on a number of factors including the evolving competitive landscape for HIF2 inhibitors.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ind w:right="260" w:firstLine="648"/>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three quarters of fiscal 2022, the Company continued to develop and advance its pipeline and partnered candidates and expanded its facilities to support the Company’s growing pipeline. Several key recent developments include:</w:t>
      </w:r>
    </w:p>
    <w:p>
      <w:pPr>
        <w:spacing w:after="0" w:line="170" w:lineRule="exact"/>
        <w:rPr>
          <w:sz w:val="20"/>
          <w:szCs w:val="20"/>
          <w:color w:val="auto"/>
        </w:rPr>
      </w:pPr>
    </w:p>
    <w:p>
      <w:pPr>
        <w:ind w:left="1300" w:right="60" w:hanging="644"/>
        <w:spacing w:after="0" w:line="277" w:lineRule="auto"/>
        <w:tabs>
          <w:tab w:leader="none" w:pos="1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dosed the first patients in its PALISADE study, a phase 3 clinical study to evaluate the safety and efficacy of ARO-APOC3 in adults with familial chylomicronemia syndrome (FCS);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an exclusive license agreement with GSK for ARO-HSD;</w:t>
      </w:r>
    </w:p>
    <w:p>
      <w:pPr>
        <w:spacing w:after="0" w:line="225" w:lineRule="exact"/>
        <w:rPr>
          <w:rFonts w:ascii="Arial" w:cs="Arial" w:eastAsia="Arial" w:hAnsi="Arial"/>
          <w:sz w:val="18"/>
          <w:szCs w:val="18"/>
          <w:color w:val="auto"/>
        </w:rPr>
      </w:pPr>
    </w:p>
    <w:p>
      <w:pPr>
        <w:ind w:left="1300" w:right="140" w:hanging="644"/>
        <w:spacing w:after="0" w:line="263" w:lineRule="auto"/>
        <w:tabs>
          <w:tab w:leader="none" w:pos="1294"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183" w:lineRule="exact"/>
        <w:rPr>
          <w:rFonts w:ascii="Arial" w:cs="Arial" w:eastAsia="Arial" w:hAnsi="Arial"/>
          <w:sz w:val="18"/>
          <w:szCs w:val="18"/>
          <w:color w:val="auto"/>
        </w:rPr>
      </w:pPr>
    </w:p>
    <w:p>
      <w:pPr>
        <w:ind w:left="1300" w:right="100" w:hanging="644"/>
        <w:spacing w:after="0" w:line="248" w:lineRule="auto"/>
        <w:tabs>
          <w:tab w:leader="none" w:pos="129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filed for regulatory clearance to begin a Phase 1/2a study of ARO-C3 and subsequently dosed the first subjects in AROC3-1001, a Phase 1/2 clinical study of ARO-C3, the Company’s </w:t>
      </w:r>
      <w:r>
        <w:rPr>
          <w:rFonts w:ascii="Arial" w:cs="Arial" w:eastAsia="Arial" w:hAnsi="Arial"/>
          <w:sz w:val="18"/>
          <w:szCs w:val="18"/>
          <w:color w:val="676767"/>
        </w:rPr>
        <w:t>i</w:t>
      </w:r>
      <w:r>
        <w:rPr>
          <w:rFonts w:ascii="Arial" w:cs="Arial" w:eastAsia="Arial" w:hAnsi="Arial"/>
          <w:sz w:val="18"/>
          <w:szCs w:val="18"/>
          <w:color w:val="auto"/>
        </w:rPr>
        <w:t>nvestigational RNA interference (RNAi) therapeutic designed to reduce production of complement component 3 (C3) as a potential therapy for various complement mediated diseases;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additional interim clinical data from AROHSD1001, AROAAT2002, and AROAPOC31001;</w:t>
      </w:r>
    </w:p>
    <w:p>
      <w:pPr>
        <w:spacing w:after="0" w:line="225" w:lineRule="exact"/>
        <w:rPr>
          <w:rFonts w:ascii="Arial" w:cs="Arial" w:eastAsia="Arial" w:hAnsi="Arial"/>
          <w:sz w:val="18"/>
          <w:szCs w:val="18"/>
          <w:color w:val="auto"/>
        </w:rPr>
      </w:pPr>
    </w:p>
    <w:p>
      <w:pPr>
        <w:ind w:left="1300" w:hanging="644"/>
        <w:spacing w:after="0" w:line="272" w:lineRule="auto"/>
        <w:tabs>
          <w:tab w:leader="none" w:pos="1297"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completed the purchase of 13 acres of land in the Verona Technology Park in Verona, Wisconsin and held a groundbreaking ceremony on the site. The site is being developed into an approximately 160,000 square foot drug manufacturing facility and an approximately 140,000 square foot laboratory and office facility which will support the Company's process development and analytical activities. The Company also announced that it received awards for up to $16 million in tax increment financing from the city of Verona, and up to $2.5 million in refundable Wisconsin state income tax credits from the Wisconsin Economic Development Corporation (WEDC) as incentives to invest in the local community and create new jobs. Additionally, The Company entered into a lease agreement for a new 144,000 square foot laboratory and office facility in San Diego, California to support discovery activities;</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enrollment in Phase 2b ARCHES-2 study of investigational ARO-ANG3 for patients with mixed dyslipidemia;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ARO-RAGE for treatment of Asthma;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for regulatory clearance to initiate Phase 1/2a study of ARO-MUC5AC for treatment of muco-obstructive lung disease;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and dosed the first patients in the Phase 2 GATEWAY clinical study of investigational ARO-ANG3 for the treatment of patients with homozygous familial hypercholersterolemia;</w:t>
      </w:r>
    </w:p>
    <w:p>
      <w:pPr>
        <w:spacing w:after="0" w:line="210" w:lineRule="exact"/>
        <w:rPr>
          <w:rFonts w:ascii="Arial" w:cs="Arial" w:eastAsia="Arial" w:hAnsi="Arial"/>
          <w:sz w:val="18"/>
          <w:szCs w:val="18"/>
          <w:color w:val="auto"/>
        </w:rPr>
      </w:pPr>
    </w:p>
    <w:p>
      <w:pPr>
        <w:ind w:left="1300" w:right="420" w:hanging="644"/>
        <w:spacing w:after="0" w:line="226" w:lineRule="auto"/>
        <w:tabs>
          <w:tab w:leader="none" w:pos="1297" w:val="left"/>
        </w:tabs>
        <w:numPr>
          <w:ilvl w:val="0"/>
          <w:numId w:val="5"/>
        </w:numPr>
        <w:rPr>
          <w:rFonts w:ascii="Arial" w:cs="Arial" w:eastAsia="Arial" w:hAnsi="Arial"/>
          <w:sz w:val="22"/>
          <w:szCs w:val="22"/>
          <w:color w:val="auto"/>
        </w:rPr>
      </w:pPr>
      <w:r>
        <w:rPr>
          <w:rFonts w:ascii="Arial" w:cs="Arial" w:eastAsia="Arial" w:hAnsi="Arial"/>
          <w:sz w:val="18"/>
          <w:szCs w:val="18"/>
          <w:color w:val="auto"/>
        </w:rPr>
        <w:t>entered into definitive agreements to form a joint venture, Visirna Therapeutics, Inc. (“Visirna”) with Vivo Capital (“Vivo”) through which the Company and Vivo intend to expand the reach of innovative medicines in Greater China;</w:t>
      </w:r>
    </w:p>
    <w:p>
      <w:pPr>
        <w:spacing w:after="0" w:line="1" w:lineRule="exact"/>
        <w:rPr>
          <w:rFonts w:ascii="Arial" w:cs="Arial" w:eastAsia="Arial" w:hAnsi="Arial"/>
          <w:sz w:val="22"/>
          <w:szCs w:val="22"/>
          <w:color w:val="auto"/>
        </w:rPr>
      </w:pPr>
    </w:p>
    <w:p>
      <w:pPr>
        <w:ind w:left="1300" w:right="500" w:hanging="644"/>
        <w:spacing w:after="0" w:line="211" w:lineRule="auto"/>
        <w:tabs>
          <w:tab w:leader="none" w:pos="1293"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hosted a pulmonary research &amp; development (R&amp;D) Day to discuss the Company’s emerging pipeline of pulmonary targeted RNA interference (RNAi) therapeutic candidates that leverage its proprietary Targeted RNAi Molecule (TRIM</w:t>
      </w:r>
      <w:r>
        <w:rPr>
          <w:rFonts w:ascii="Arial" w:cs="Arial" w:eastAsia="Arial" w:hAnsi="Arial"/>
          <w:sz w:val="23"/>
          <w:szCs w:val="23"/>
          <w:color w:val="auto"/>
          <w:vertAlign w:val="superscript"/>
        </w:rPr>
        <w:t>TM</w:t>
      </w:r>
      <w:r>
        <w:rPr>
          <w:rFonts w:ascii="Arial" w:cs="Arial" w:eastAsia="Arial" w:hAnsi="Arial"/>
          <w:sz w:val="18"/>
          <w:szCs w:val="18"/>
          <w:color w:val="auto"/>
        </w:rPr>
        <w:t>) platform, including an announcement of its previously undisclosed candidate designed to reduce expression of matrix metalloproteinase 7 (MMP7) as a potential treatment for idiopathic pulmonary fibrosis (IPF); and</w:t>
      </w:r>
    </w:p>
    <w:p>
      <w:pPr>
        <w:spacing w:after="0" w:line="191" w:lineRule="exact"/>
        <w:rPr>
          <w:rFonts w:ascii="Arial" w:cs="Arial" w:eastAsia="Arial" w:hAnsi="Arial"/>
          <w:sz w:val="18"/>
          <w:szCs w:val="18"/>
          <w:color w:val="auto"/>
        </w:rPr>
      </w:pPr>
    </w:p>
    <w:p>
      <w:pPr>
        <w:ind w:left="1300" w:right="180" w:hanging="644"/>
        <w:spacing w:after="0" w:line="311" w:lineRule="auto"/>
        <w:tabs>
          <w:tab w:leader="none" w:pos="128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conjunction with Takeda, announced results from a Phase 2 clinical study (AROAAT-2002) of investigational fazirsiran (TAK-999/ARO-AAT) for the treatment of liver disease associated with alpha-1 antitrypsin deficiency (AATD), and was recently published in the New England Journal of Medicine (NEJM) and presented in an oral presentation at The International Liver Congress™ 2022 -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-4361815</wp:posOffset>
            </wp:positionV>
            <wp:extent cx="2540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ind w:left="1300"/>
        <w:spacing w:after="0"/>
        <w:rPr>
          <w:sz w:val="20"/>
          <w:szCs w:val="20"/>
          <w:color w:val="auto"/>
        </w:rPr>
      </w:pPr>
      <w:r>
        <w:rPr>
          <w:rFonts w:ascii="Arial" w:cs="Arial" w:eastAsia="Arial" w:hAnsi="Arial"/>
          <w:sz w:val="18"/>
          <w:szCs w:val="18"/>
          <w:color w:val="auto"/>
        </w:rPr>
        <w:t>The Annual Meeting of the European Association for the Study of the Liver (EASL).</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is actively monitoring the ongoing COVID-19 pandemic. The financial results for the three and nine months ended June 30, 2022 were not significantly impacted by COVID-19. Operationally, the Company has experienced delays in its earlier stage programs due to a shortage in non-human primates, which are critical to the Company’s preclinical programs. Additionally, the Company has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Net losses were $72.0 million for the three months ended June 30, 2022 as compared to net losses of $29.9 million for the three months ended June 30, 2021. Net losses were $90.6 million for the nine months ended June 30, 2022 as compared to net losses of $77.5 million for the nine months ended June 30, 2021. Net losses per share-diluted were $0.68 for the three months ended June 30, 2022 as compared to net losses per share-diluted of $0.29 for the three months ended June 30, 2022. Net losses per share-diluted were $0.86 for the nine months ended June 30, 2022 as compared to net losses per share-diluted of $0.75 for the nine months ended June 30, 2021. The increase in net losses for the three months ended June 30, 2022 was due to an increase in research and development and general and administrative expenses as the Company’s pipeline of candidates has expanded and progressed through clinical trial phases, partially offset by an increase in revenue from the Company’s license and collaboration agreements, primarily from the Takeda License Agreement (as defined below) and the Horizon License Agreement (as defined below).</w:t>
      </w:r>
    </w:p>
    <w:p>
      <w:pPr>
        <w:spacing w:after="0" w:line="178" w:lineRule="exact"/>
        <w:rPr>
          <w:sz w:val="20"/>
          <w:szCs w:val="20"/>
          <w:color w:val="auto"/>
        </w:rPr>
      </w:pPr>
    </w:p>
    <w:p>
      <w:pPr>
        <w:ind w:right="300" w:firstLine="648"/>
        <w:spacing w:after="0" w:line="290" w:lineRule="auto"/>
        <w:rPr>
          <w:sz w:val="20"/>
          <w:szCs w:val="20"/>
          <w:color w:val="auto"/>
        </w:rPr>
      </w:pPr>
      <w:r>
        <w:rPr>
          <w:rFonts w:ascii="Arial" w:cs="Arial" w:eastAsia="Arial" w:hAnsi="Arial"/>
          <w:sz w:val="16"/>
          <w:szCs w:val="16"/>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four milestone payments totaling $70.0 million. Under the terms of the Company’s agreements with Amgen, the Company has received $35.0 million in upfront payments, $21.5 million in the form of an equity investment by Amgen in the Company’s Common Stock and $30.0 million in milestone payments. The Takeda License Agreement resulted in a $300.0 million upfront payment, and the Horizon License Agreement resulted in a $40.0 million upfront payment. Finally, the</w:t>
      </w:r>
    </w:p>
    <w:p>
      <w:pPr>
        <w:spacing w:after="0" w:line="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GSK License Agreement resulted in an upfront payment of $120.0 million, which was received in January 2022. The Company had $139.4 million of cash and cash equivalents, $277.1 million in short-term investments, $165.9 million of long term investments and $751.8 million of total assets as of June 30, 2022, as compared to $184.4 million of cash and cash equivalents, $126.7 million of marketable securities, $56.6 million in short-term investments, $245.6 million of long term investments and $710.1 million of total assets as of September 30, 2021. Based upon the Company’s current cash and investment resources and operating plan, the Company expects to have sufficient liquidity to fund operations for at least the next twelve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changes to the significant accounting policies disclosed in the Company’s most recent Annual Report on Form 10-K.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216"/>
        </w:trPr>
        <w:tc>
          <w:tcPr>
            <w:tcW w:w="40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5"/>
        </w:trPr>
        <w:tc>
          <w:tcPr>
            <w:tcW w:w="40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187"/>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w w:val="90"/>
              </w:rPr>
              <w:t>(in thousands, except per share</w:t>
            </w:r>
          </w:p>
        </w:tc>
      </w:tr>
      <w:tr>
        <w:trPr>
          <w:trHeight w:val="186"/>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center"/>
              <w:ind w:left="639"/>
              <w:spacing w:after="0"/>
              <w:rPr>
                <w:sz w:val="20"/>
                <w:szCs w:val="20"/>
                <w:color w:val="auto"/>
              </w:rPr>
            </w:pPr>
            <w:r>
              <w:rPr>
                <w:rFonts w:ascii="Arial" w:cs="Arial" w:eastAsia="Arial" w:hAnsi="Arial"/>
                <w:sz w:val="14"/>
                <w:szCs w:val="14"/>
                <w:b w:val="1"/>
                <w:bCs w:val="1"/>
                <w:color w:val="auto"/>
                <w:w w:val="91"/>
              </w:rPr>
              <w:t>amounts)</w:t>
            </w:r>
          </w:p>
        </w:tc>
        <w:tc>
          <w:tcPr>
            <w:tcW w:w="1060" w:type="dxa"/>
            <w:vAlign w:val="bottom"/>
          </w:tcPr>
          <w:p>
            <w:pPr>
              <w:spacing w:after="0"/>
              <w:rPr>
                <w:sz w:val="16"/>
                <w:szCs w:val="16"/>
                <w:color w:val="auto"/>
              </w:rPr>
            </w:pPr>
          </w:p>
        </w:tc>
      </w:tr>
      <w:tr>
        <w:trPr>
          <w:trHeight w:val="25"/>
        </w:trPr>
        <w:tc>
          <w:tcPr>
            <w:tcW w:w="40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32,412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45,891</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4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(72,909)</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(31,868)</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income (loss) per share-diluted</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918"/>
        </w:trPr>
        <w:tc>
          <w:tcPr>
            <w:tcW w:w="4040" w:type="dxa"/>
            <w:vAlign w:val="bottom"/>
          </w:tcPr>
          <w:p>
            <w:pPr>
              <w:spacing w:after="0"/>
              <w:rPr>
                <w:sz w:val="24"/>
                <w:szCs w:val="24"/>
                <w:color w:val="auto"/>
              </w:rPr>
            </w:pPr>
          </w:p>
        </w:tc>
        <w:tc>
          <w:tcPr>
            <w:tcW w:w="4140" w:type="dxa"/>
            <w:vAlign w:val="bottom"/>
          </w:tcPr>
          <w:p>
            <w:pPr>
              <w:jc w:val="right"/>
              <w:ind w:right="237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w w:val="90"/>
              </w:rPr>
              <w:t>(in thousands, except per share</w:t>
            </w: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center"/>
              <w:ind w:left="639"/>
              <w:spacing w:after="0"/>
              <w:rPr>
                <w:sz w:val="20"/>
                <w:szCs w:val="20"/>
                <w:color w:val="auto"/>
              </w:rPr>
            </w:pPr>
            <w:r>
              <w:rPr>
                <w:rFonts w:ascii="Arial" w:cs="Arial" w:eastAsia="Arial" w:hAnsi="Arial"/>
                <w:sz w:val="14"/>
                <w:szCs w:val="14"/>
                <w:b w:val="1"/>
                <w:bCs w:val="1"/>
                <w:color w:val="auto"/>
                <w:w w:val="91"/>
              </w:rPr>
              <w:t>amounts)</w:t>
            </w:r>
          </w:p>
        </w:tc>
        <w:tc>
          <w:tcPr>
            <w:tcW w:w="106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211,656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(94,677)</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(84,153)</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income (loss) per share-diluted</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(0.86)</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3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increase in revenue for the nine months ended June 30, 2022 compared to the nine months ended June 30, 2021 was driven by the revenue recognized from the GSK, Takeda and Horizon License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Total revenue for the three months ended June 30, 2022 and 2021 was $32.4 million and $45.9 million, respectively. Total revenue for the nine months ended June 30, 2022 and 2021 was $211.7 million and $100.0 million, respectively. Revenue for the nine months ended June 30, 2022 is primarily related to the recognition of the $120.0 million of revenue associated with the upfront payment received from GSK under the GSK License Agreement in the second quarter of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the Second Collaboration and License Agreement (the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prior collaboration and license agreement (the “First Collaboration and License Agreement” or the “ARO-AMG1 Agreement”), Amgen received an option to a worldwide, exclusive license for ARO-AMG1, an RNAi therapy for an undisclosed genetically validated cardiovascular target. Under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and nine months ended June 30, 2022 and 2021,</w:t>
      </w:r>
    </w:p>
    <w:p>
      <w:pPr>
        <w:spacing w:after="0" w:line="3"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Company recognized $0 and $0 of revenue associated with its agreement with Amgen, respectively. As of June 30, 2022, there were $0 in contract assets recorded as accounts receivable and $0 contract liabilities recorded as current deferred revenue on the Company’s Consolidated Balance Sheets.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October 3, 2018, the Company entered into a License Agreement (the “Janssen License Agreement”) and a Research Collaboration and Option Agreement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Under the Janssen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auto"/>
        </w:rPr>
        <w:t>Collaboration Agreement, Janssen was able to select three new targets against which Arrowhead would develop clinical candidates. These candidates were subject to certain restrictions and do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$73.0 million, and the Company may receive up to $1.6 billion in development and sales milestones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 Agreement and up to low teens under the Janssen Collaboration Agreement. During the three months ended June 30, 2022, Janssen’s option period expired unexercised for two of the three candidates (ARO-JNJ2 and ARO-JNJ3) under the Janssen Collaboration Agreement.</w:t>
      </w:r>
    </w:p>
    <w:p>
      <w:pPr>
        <w:spacing w:after="0" w:line="16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During the three months ended June 30, 2022 and 2021, the Company recognized approximately $0 and $0 of revenue associated with this performance obligation, respectively. During the nine months ended June 30, 2022 and 2021, the Company recognized approximately $0 and $20.2 million of revenue associated with this performance obligation, respectively. As of June 30, 2022, there were $0 in contract assets recorded as accounts receivable, and $0 of contract liabilities recorded as current deferred revenue on the Company’s Consolidated Balance Sheets.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During the three months ended June 30, 2022, Janssen’s option period expired unexercised for two of the three candidates (ARO-JNJ2 and ARO-JNJ3) under the Janssen Collaboration Agreement as reported in the second quarter of 2022. During the three months ended June 30, 2022 and 2021, the Company recognized $0.0 million and $0.2 million of revenue associated with these efforts, respectively. During the nine months ended June 30, 2022 and 2021, the Company recognized $0.1 million and $0.5 million of revenue associated with these efforts, respectively. In May 2021, Janssen exercised its option right for ARO-JNJ1, which resulted in a $10.0 million milestone payment to the Company. This $10 million milestone payment was recognized entirely during</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three months ended June 30, 2021. As of June 30, 2022, there were $0 of contract assets recorded as accounts receivable and $0 of contract liabilities recorded as current deferred revenue on the Company’s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October 7, 2020, the Company entered into an Exclusive License and Co-funding agreement (the “Takeda License Agreement”) with Takeda. Under the Takeda License Agreement, Takeda and the Company will co-develop the Company’s ARO-AAT program, the Company’s second-generation subcutaneously administered RNAi therapeutic</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t>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three months ended June 30, 2022 and 2021 was $25.5 million and $35.7 million, respectively. Revenue for the nine months ended June 30, 2022 and 2021 was $67.1 million and $69.3 million, respectively. As of June 30, 2022, there were $0 in contract assets recorded as accounts receivable, $71.0 million in contract liabilities recorded as deferred revenue and $71.2 million in contract liabilities recorded as deferred revenue, net of the current portion, and $7.8 million in contract liabilities recorded as accrued expenses. The $7.8 million in accrued expenses was primarily driven by co-development and co-commercialization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 Revenue for Contracts from Customers.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ARO-XDH.</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three months ended June 30, 2022 and 2021 was $6.7 million and $0, respectively. Revenue for the nine months ended June 30, 2022 and 2021 was $20.0 million and $0, respectively. As of June 30, 2022, there were $0 million in contract assets recorded as accounts receivable, $13.3 million in contract liabilities recorded as deferred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manufactured ARO-XDH material for Horizon in furtherance of the research plan entered into pursuant to the Horizon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for which the Company has been reimbursed for its costs. During the nine months ended June 30, 2022 and 2021,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$0 with these efforts, respectively. As of June 30, 2022, there were $0.0 million of contract assets recorded as accounts receivable and $0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contract liabilities recorded as current deferred revenue on the Company’s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w:t>
      </w:r>
    </w:p>
    <w:p>
      <w:pPr>
        <w:spacing w:after="0" w:line="11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On November 22, 2021, the Company entered into an Exclusive License Agreement (the “GSK License Agreement”) with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retained rights to develop and commercialize. Beyond the Company’s Phase 1/2 study of (ARO-HSD), which the Company is responsible for completing, GSK is wholly responsible for clinical development and commercialization of ARO-HSD in its territory. Under the terms of the agreement, the Company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 million at first commercial sale, and up to $590 million in sales-related milestone payments. The Company is further eligible to receive tiered royalties on net product sales in a range of mid-teens to twenty percent.</w:t>
      </w:r>
    </w:p>
    <w:p>
      <w:pPr>
        <w:spacing w:after="0" w:line="1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has evaluated the GSK License Agreement in accordance with FASB Topics 808 – Collaborative Arrangements and 606 - Revenue for Contracts from Customers. 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these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16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determined the initial transaction price totaled $120.0 million, including the upfront payment. The $120.0 million upfront payment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will be fully recognized as of the three and nine months ended June 30, 2022. Revenue for the nine months ended June 30, 2022 and 2021 was $120.0 million and $0, respectively. As of June 30, 2022, there were $0 in contract assets recorded as accounts receivable, $0 in contract liabilities recorded as deferred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and License Agreement with Visirna Therapeutics, Inc.</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6"/>
          <w:szCs w:val="16"/>
          <w:color w:val="auto"/>
        </w:rPr>
        <w:t>On April 25, 2022, the Company entered into a License Agreement (the “Visirna License Agreement”) with Visirna Therapeutics, Inc. (“Visirna”), pursuant to which Visirna received an exclusive license to develop, manufacture and commercialize four of Arrowhead’s RNAi-based investigational</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cardiobolic medicines in Greater China (including the People’s Republic of China, Hong Kong, Macau and Taiwan). Pursuant to a Share Purchase Agreement entered into simultaneously with the Visirna License Agreement (the “Visirna SPA”), the Company acquired a majority stake in Visirna (after</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accounting for shares reserved for Visirna’s employee stock ownership plan) as partial consideration for the Visirna License Agreement. Under the Visirna SPA, entities affiliated with Vivo Capital (“Vivo”) also acquired a minority stake in Visirna in exchange for $60 million in upfront capital to support the</w:t>
      </w:r>
    </w:p>
    <w:p>
      <w:pPr>
        <w:spacing w:after="0" w:line="1"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operations of Visirna. As further consideration under the Visirna License Agreement, the Company is also eligible to receive potential royalties on commercial sales.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ind w:right="140" w:firstLine="648"/>
        <w:spacing w:after="0" w:line="246" w:lineRule="auto"/>
        <w:rPr>
          <w:sz w:val="20"/>
          <w:szCs w:val="20"/>
          <w:color w:val="auto"/>
        </w:rPr>
      </w:pPr>
      <w:r>
        <w:rPr>
          <w:rFonts w:ascii="Arial" w:cs="Arial" w:eastAsia="Arial" w:hAnsi="Arial"/>
          <w:sz w:val="18"/>
          <w:szCs w:val="18"/>
          <w:color w:val="auto"/>
        </w:rPr>
        <w:t>The Company has determined that Visirna is a variable interest entity upon its formation and as of June 30, 2022, and it has been determined that Arrowhead is the primary beneficiary; accordingly, Arrowhead consolidates the financial statements of Visirna.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nine months ended June 30, 2022 and 2021 are shown in the tables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consist of depreciation on lab equipment and leasehold improvements at our research facilities. We do not separately track R&amp;D expenses by individual research and development projects, including by individual drug candidates. The Company operates in a cross-functional manner across projects and does not separately allocate facilities-related costs, candidate costs, discovery costs, compensation expenses, depreciation and amortization expenses, and other expenses for research and development activities. The following table provides details of research and development expenses for the periods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1160" w:type="dxa"/>
            <w:vAlign w:val="bottom"/>
          </w:tcPr>
          <w:p>
            <w:pPr>
              <w:jc w:val="center"/>
              <w:ind w:left="13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vMerge w:val="restart"/>
          </w:tcPr>
          <w:p>
            <w:pPr>
              <w:jc w:val="right"/>
              <w:ind w:right="412"/>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0"/>
              </w:rPr>
              <w:t>Expense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Category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2"/>
              </w:rPr>
              <w:t>Category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Facilities related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Candidate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31,732</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R&amp;D discovery costs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Total research and development expense,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61,883</w:t>
            </w:r>
          </w:p>
        </w:tc>
        <w:tc>
          <w:tcPr>
            <w:tcW w:w="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51,374</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8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10,509</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non-cash expense</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8,098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w w:val="96"/>
              </w:rPr>
              <w:t>Total research and development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72,181</w:t>
            </w: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59,325</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12,856</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22 %</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1160" w:type="dxa"/>
            <w:vAlign w:val="bottom"/>
          </w:tcPr>
          <w:p>
            <w:pPr>
              <w:jc w:val="center"/>
              <w:ind w:left="13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3"/>
            <w:vMerge w:val="restart"/>
          </w:tcPr>
          <w:p>
            <w:pPr>
              <w:jc w:val="right"/>
              <w:ind w:right="412"/>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0"/>
              </w:rPr>
              <w:t>Expense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Category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w w:val="95"/>
              </w:rPr>
              <w:t>Category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20" w:type="dxa"/>
            <w:vAlign w:val="bottom"/>
          </w:tcPr>
          <w:p>
            <w:pPr>
              <w:ind w:left="20"/>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7,644</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Candidate costs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101,789</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R&amp;D discovery costs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40,347</w:t>
            </w: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20,052</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Total research and development expense,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183,421</w:t>
            </w:r>
          </w:p>
        </w:tc>
        <w:tc>
          <w:tcPr>
            <w:tcW w:w="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117,278</w:t>
            </w:r>
          </w:p>
        </w:tc>
        <w:tc>
          <w:tcPr>
            <w:tcW w:w="1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83 %</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66,143</w:t>
            </w: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42"/>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non-cash expense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23,958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8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20" w:type="dxa"/>
            <w:vAlign w:val="bottom"/>
          </w:tcPr>
          <w:p>
            <w:pPr>
              <w:ind w:left="20"/>
              <w:spacing w:after="0"/>
              <w:rPr>
                <w:sz w:val="20"/>
                <w:szCs w:val="20"/>
                <w:color w:val="auto"/>
              </w:rPr>
            </w:pPr>
            <w:r>
              <w:rPr>
                <w:rFonts w:ascii="Arial" w:cs="Arial" w:eastAsia="Arial" w:hAnsi="Arial"/>
                <w:sz w:val="18"/>
                <w:szCs w:val="18"/>
                <w:color w:val="auto"/>
                <w:w w:val="96"/>
              </w:rPr>
              <w:t>Total research and development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213,930</w:t>
            </w: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140,576</w:t>
            </w:r>
          </w:p>
        </w:tc>
        <w:tc>
          <w:tcPr>
            <w:tcW w:w="10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73,354</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Salaries expense increased by $2,725,000 from $8,518,000 during the three months ended June 30, 2021 to $11,243,000 during the current period. Salaries expense increased by $8,266,000 from $25,375,000 during the nine months ended June 30, 2021 to $33,641,000 during the current period. This increase is primarily due to an increase in R&amp;D headcount that has occurred as the Company has expanded its pipeline of candidates. We anticipate this expense to continue to increase as we continue to expand our pipeline of candidates and increase headcount to support our discovery efforts to identify new drug candidates, in addition to inflationary pressures in the labor market.</w:t>
      </w:r>
    </w:p>
    <w:p>
      <w:pPr>
        <w:spacing w:after="0" w:line="17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Facilities expense increased by $2,521,000 from $1,306,000 during the three months ended June 30, 2021 to $3,827,000 during the current period. Facilities expense increased by $3,188,000 from $4,456,000 during the nine months ended June 30, 2021 to $7,644,000 during the current period. This category includes rental costs for our research and development facilities in Madison, Wisconsin and San Diego, California. We expect this expense to continue to increase as we continue to build out our manufacturing capabilities to support our discovery efforts to identify new drug candidates. The increase in facilities expense is due to the recognition of rent expense from the San Diego research facility.</w:t>
      </w:r>
    </w:p>
    <w:p>
      <w:pPr>
        <w:spacing w:after="0" w:line="17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Candidate costs increased by $264,000 from $31,468,000 during the three months ended June 30, 2021 to $31,732,000 during the current period. Candidate costs increased by $34,637,000 from $67,152,000 during the nine months ended June 30, 2021 to $101,789,000 during the current period. This increase is primarily due to the progression of our pipeline of candidates into and through clinical trials, which results in higher outsourced clinical trial, toxicity study and manufacturing costs. For example, our cardiometabolic candidates, ARO-ANG3 and ARO-APOC3, have advanced into phase 2 and phase 3 clinical trials. We anticipate these expenses to continue to increase as our pipeline of candidates grows and progresses to later phase clinical trials, in addition to unforeseen inflationary pressure on goods and services.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R&amp;D discovery costs increased by $4,999,000 from $10,082,000 during the three months ended June 30, 2021 to $15,081,000 in the current period. R&amp;D discovery costs increased by $20,052,000 from $20,295,000 during the nine months ended June 30, 2021 to $40,347,000 in the current period. This increase is primarily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compensation expense, a non-cash expense, increased by $1,568,000 from $6,530,000 during the three months ended June 30, 2021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$8,098,000 during the current period. Stock compensation expense, a non-cash expense, increased by $5,537,000 from $18,421,000 during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2021 to $23,958,000 during the current period. Stock compensation expense is based upon the valuation of stock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granted to employees, directors and certain consultants. Many variables affect the amount expensed, including the Company’s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grant, as well as other assumptions. The increase in the expense in the current period is primarily due to the increased headcount discussed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We generally expect future stock compensation expense to continue to increase as our headcount continues to increase to support our 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pipeline.</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Depreciation and amortization expense, a non-cash expense, increased by $779,000 from $1,421,000 during the three months ended June 30, 2021 to $2,200,000 during the current period. Depreciation and amortization expense, a non-cash expense, increased by $1,674,000 from $4,877,000 during the nine months ended June 30, 2021 to $6,551,000 during the current period. The majority of depreciation and amortization expense relates to depreciation on lab equipment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p>
      <w:pPr>
        <w:jc w:val="both"/>
        <w:ind w:right="240"/>
        <w:spacing w:after="0" w:line="263" w:lineRule="auto"/>
        <w:rPr>
          <w:sz w:val="20"/>
          <w:szCs w:val="20"/>
          <w:color w:val="auto"/>
        </w:rPr>
      </w:pPr>
      <w:r>
        <w:rPr>
          <w:rFonts w:ascii="Arial" w:cs="Arial" w:eastAsia="Arial" w:hAnsi="Arial"/>
          <w:sz w:val="18"/>
          <w:szCs w:val="18"/>
          <w:color w:val="auto"/>
        </w:rPr>
        <w:t>leasehold improvements at our Madison and San Diego research facilities. The increase in depreciation and amortization expense is due to an increase in laboratory equipment and leasehold improvements. We expect this amount to increase in the future as we continue to purchase additional lab equipment and increase our footprint expansions to support our growing pipeline.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1160" w:type="dxa"/>
            <w:vAlign w:val="bottom"/>
          </w:tcPr>
          <w:p>
            <w:pPr>
              <w:jc w:val="center"/>
              <w:ind w:left="13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vMerge w:val="restart"/>
          </w:tcPr>
          <w:p>
            <w:pPr>
              <w:jc w:val="right"/>
              <w:ind w:right="412"/>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0"/>
              </w:rPr>
              <w:t>Expense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Category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2"/>
              </w:rPr>
              <w:t>Category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G&amp;A</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general &amp; administrative expense,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7,446</w:t>
            </w:r>
          </w:p>
        </w:tc>
        <w:tc>
          <w:tcPr>
            <w:tcW w:w="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5,837</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31 %</w:t>
            </w:r>
          </w:p>
        </w:tc>
        <w:tc>
          <w:tcPr>
            <w:tcW w:w="8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r>
        <w:trPr>
          <w:trHeight w:val="24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non-cash expense</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25,292</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33,141</w:t>
            </w: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18,434</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14,707</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517"/>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1160" w:type="dxa"/>
            <w:vAlign w:val="bottom"/>
          </w:tcPr>
          <w:p>
            <w:pPr>
              <w:jc w:val="center"/>
              <w:ind w:left="135"/>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140" w:type="dxa"/>
            <w:vAlign w:val="bottom"/>
          </w:tcPr>
          <w:p>
            <w:pPr>
              <w:jc w:val="center"/>
              <w:ind w:left="115"/>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3"/>
            <w:vMerge w:val="restart"/>
          </w:tcPr>
          <w:p>
            <w:pPr>
              <w:jc w:val="right"/>
              <w:ind w:right="412"/>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0"/>
              </w:rPr>
              <w:t>Expense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6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Category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40" w:type="dxa"/>
            <w:vAlign w:val="bottom"/>
          </w:tcPr>
          <w:p>
            <w:pPr>
              <w:jc w:val="center"/>
              <w:ind w:left="135"/>
              <w:spacing w:after="0"/>
              <w:rPr>
                <w:sz w:val="20"/>
                <w:szCs w:val="20"/>
                <w:color w:val="auto"/>
              </w:rPr>
            </w:pPr>
            <w:r>
              <w:rPr>
                <w:rFonts w:ascii="Arial" w:cs="Arial" w:eastAsia="Arial" w:hAnsi="Arial"/>
                <w:sz w:val="14"/>
                <w:szCs w:val="14"/>
                <w:b w:val="1"/>
                <w:bCs w:val="1"/>
                <w:color w:val="auto"/>
                <w:w w:val="92"/>
              </w:rPr>
              <w:t>Category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4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6,083</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4"/>
                <w:szCs w:val="24"/>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G&amp;A</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2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Total general &amp; administrative expense,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23,454</w:t>
            </w:r>
          </w:p>
        </w:tc>
        <w:tc>
          <w:tcPr>
            <w:tcW w:w="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19,063</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c>
          <w:tcPr>
            <w:tcW w:w="8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4,391</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42"/>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excluding non-cash expense</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67,739</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3240" w:type="dxa"/>
            <w:vAlign w:val="bottom"/>
          </w:tcPr>
          <w:p>
            <w:pPr>
              <w:ind w:left="20"/>
              <w:spacing w:after="0"/>
              <w:rPr>
                <w:sz w:val="20"/>
                <w:szCs w:val="20"/>
                <w:color w:val="auto"/>
              </w:rPr>
            </w:pPr>
            <w:r>
              <w:rPr>
                <w:rFonts w:ascii="Arial" w:cs="Arial" w:eastAsia="Arial" w:hAnsi="Arial"/>
                <w:sz w:val="18"/>
                <w:szCs w:val="18"/>
                <w:color w:val="auto"/>
              </w:rPr>
              <w:t>Total general &amp; administrative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92,403</w:t>
            </w: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43,581</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48,822</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Salaries expense increased by $605,000 from $2,570,000 during the three months ended June 30, 2021 to $3,175,000 during the current period. Salaries expense increased by $1,954,000 from $8,411,000 during the nine months ended June 30, 2021 to $10,365,000 during the current period. This increase is primarily due to an increase in G&amp;A headcount that has occurred as the Company has grown. We expect salaries expense to continue to increase as our headcount continues to increase to support our expanding clinical pipeline, in addition to inflationary pressures in the labor market.</w:t>
      </w:r>
    </w:p>
    <w:p>
      <w:pPr>
        <w:spacing w:after="0" w:line="15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increased by 1,197,000 from $379,000 during the three months ended June 30, 2021 to $1,576,000 during the current period. Professional/outside services expense increased by $1,884,000 from $4,199,000 during the nine months ended June 30, 2021 to $6,083,000 during the current period. We expect future professional/outside services expense to increase as we continue to increase discovery efforts. The increase in professional/outside services expense is due to intellectual property and general legal fees.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ind w:right="280" w:firstLine="648"/>
        <w:spacing w:after="0" w:line="257" w:lineRule="auto"/>
        <w:rPr>
          <w:sz w:val="20"/>
          <w:szCs w:val="20"/>
          <w:color w:val="auto"/>
        </w:rPr>
      </w:pPr>
      <w:r>
        <w:rPr>
          <w:rFonts w:ascii="Arial" w:cs="Arial" w:eastAsia="Arial" w:hAnsi="Arial"/>
          <w:sz w:val="18"/>
          <w:szCs w:val="18"/>
          <w:color w:val="auto"/>
        </w:rPr>
        <w:t>Facilities-related expense increased by $93,000 from $610,000 during the three months ended June 30, 2021 to $703,000 during the current period. Facilities-related expense decreased by $42,000 from $2,127,000 during the nine months ended June 30, 2021 to $2,085,000 during the current period. This category primarily includes rental costs for our corporate headquarters in Pasadena, California. The increase in facilities related expenses is due to an increase in building maintenance and repair costs. We expect future facilities related expenses to increase as we continue to increase our headcount and footprint to support our discovery efforts.</w:t>
      </w:r>
    </w:p>
    <w:p>
      <w:pPr>
        <w:spacing w:after="0" w:line="18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Other G&amp;A expense decreased by $286,000 from $2,278,000 during the three months ended June 30, 2021 to $1,992,000 during the current period. Other G&amp;A expense increased by $595,000 from $4,326,000 during the nine months ended June 30, 2021 to $4,921,000 during the current period. This category consists primarily of travel, communication and technology, office expenses, and franchise and property tax expenses. The decrease during the three months ended June 30, 2022 and 2021 is due to a decrease in consulting expenses from the prior year. The increase during the nine months ended June 30, 2022 and 2021 is due to software and software implementation costs..</w:t>
      </w:r>
    </w:p>
    <w:p>
      <w:pPr>
        <w:spacing w:after="0" w:line="17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Stock compensation expense, a non-cash expense, increased by $13,272,000 from $12,020,000 during the three months ended June 30, 2021 to $25,292,000 during the current period. Stock compensation expense, a non-cash expense, increased by $44,108,000 from $23,631,000 during the nine months ended June 30, 2021 to $67,739,000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current period is due to a performance award that was achieved earlier than anticipated, as well as a modification of certain performance awards to include market conditions. The fair value of market condition-based awards is expensed ratably over the service period and is not adjusted for actual achievement. We generally expect future stock compensation expense to continue to increase as our headcount continues to increase to support our clinical pipeline.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Depreciation and amortization expense, a noncash expense, decreased by $174,000 from $577,000 during the three months ended June 30, 2021 to $403,000 during the current period. Depreciation and amortization expense, a noncash expense, increased by $323,000 from $887,000 during the nine months ended June 30, 2021 to $1,210,000 during the current period. The decrease in depreciation expense in the current quarter is due to reclassification of certain depreciation from general and administrative to research and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Other income decreased by $1,080,000 from $1,944,000 during the three months ended June 30, 2021 to $863,000 during the current period. Other income decreased by $2,554,000 from $6,679,000 during the nine months ended June 30, 2021 compared to $4,125,000 during the current period. Other income is primarily related to interest income and realized and unrealized gain/loss on our marketable securities. The decrease in other income is due to lower yields on more recently purchased bonds and increase in realized loss on the sale of marketable securities offset by a property tax credit the company received during the current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Arrowhead has historically financed its operations through the sale of its equity securities and revenue from its collaboration agreements.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plans to expand its facilities with its purchase of land in Verona, Wisconsin, and its entry into a new lease in San Diego, California. Each of these expansions is designed to increase the Company’s internal manufacturing and discovery capabilities, and each will require significant capital investment.</w:t>
      </w:r>
    </w:p>
    <w:p>
      <w:pPr>
        <w:spacing w:after="0" w:line="16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June 30, 2022, the Company's cash and cash equivalents totalled approximately $139.4 million as compared to $184.4 million at September 30, 2021. Cash invested in short-term fixed income securities and marketable securities was $277.1 million at June 30, 2022, compared to $183.4 million at September 30, 2021. Cash invested in long-term fixed income securities was $165.9 million at June 30, 2022, compared to $245.6 million at September 30, 2021. The Company also entered into an Open Market Sale Agreement (the “ATM Agreement”) in August 2020, pursuant to which the Company may, from time to time, sell up to $250,000,000 in shares of the Company’s Common Stock through Jefferies LLC. As of June 30, 2022, no shares have been sold under the ATM Agreement. The Company believes its current financial resources are sufficient to fund its operations through at least the next twelve months.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A summary of cash flows for the nine months ended June 30, 2022 and 2021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480" w:type="dxa"/>
            <w:vAlign w:val="bottom"/>
          </w:tcPr>
          <w:p>
            <w:pPr>
              <w:jc w:val="right"/>
              <w:ind w:right="3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2022</w:t>
            </w:r>
          </w:p>
        </w:tc>
        <w:tc>
          <w:tcPr>
            <w:tcW w:w="148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2021</w:t>
            </w:r>
          </w:p>
        </w:tc>
      </w:t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1015"/>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480" w:type="dxa"/>
            <w:vAlign w:val="bottom"/>
          </w:tcPr>
          <w:p>
            <w:pPr>
              <w:jc w:val="right"/>
              <w:spacing w:after="0"/>
              <w:rPr>
                <w:sz w:val="20"/>
                <w:szCs w:val="20"/>
                <w:color w:val="auto"/>
              </w:rPr>
            </w:pPr>
            <w:r>
              <w:rPr>
                <w:rFonts w:ascii="Arial" w:cs="Arial" w:eastAsia="Arial" w:hAnsi="Arial"/>
                <w:sz w:val="18"/>
                <w:szCs w:val="18"/>
                <w:color w:val="auto"/>
              </w:rPr>
              <w:t>(67,464)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195,341</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10,490</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During the nine months ended June 30, 2022, cash flow used by operating activities was $67.5 million, which was primarily due to the receipt of the $120.0 million upfront payment from GSK, offset by the ongoing expenses related to the Company’s research and development programs and general and administrative expenses. Cash used in investing activities was $41.9 million, which was primarily related to the purchase of property and equipment of $20.1 million and net sales of investments of $21.8 million. Cash provided by financing activities of $64.3 million was primarily related to the formation of our joint venture, Viserna, as well as cash received from stock option exercises.</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nine months ended June 30, 2021, cash flow provided by operating activities was $195.3 million, which was primarily due to the $300 million payment received under the Takeda License Agreement, partially offset by ongoing expenses of the Company’s research and development programs and general and administrative expenses. Cash used in investing activities was $23.4 million, which was primarily related to the purchase of property and equipment of $15.4 million, partially offset by the net sales of investments of $8.1 million. Cash provided by financing activities of $10.5 million was related to cash received from stock option exercises.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December 20, 2021, the Company completed a purchase of 13 acres of land in the Verona Technology Park in Verona, Wisconsin, which is planned to be the site of an approximately 160,000 square foot drug manufacturing facility and an approximately 140,000 square foot laboratory and office facility to support process development and analytical activities. Arrowhead intends to invest between $200 million and $250 million into the buildout of the facilities. As part of this acquisition, the Company also entered into a development agreement with the City of Verona to construct certain infrastructure improvements within the TIF district, and will be reimbursed by the City of Verona by future tax increment revenue generated from the developed property. The total amount of funding that City of Verona will pay as reimbursements under the TIF program for these improvements is not guaranteed and will depend on future tax revenues generated from the developed property.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Material Cash Requirements</w:t>
      </w:r>
    </w:p>
    <w:p>
      <w:pPr>
        <w:spacing w:after="0" w:line="11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 summary of our capital resources and material cash requirements is presented in Item 7 of our Annual Report on Form 10-K for our fiscal year ended September 30, 2021. Other than as described above, there were no material changes to our capital resources and material cash requirements during the three months ended June 30, 2022.</w:t>
      </w: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2021.</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ind w:right="180"/>
        <w:spacing w:after="0" w:line="263" w:lineRule="auto"/>
        <w:rPr>
          <w:sz w:val="20"/>
          <w:szCs w:val="20"/>
          <w:color w:val="auto"/>
        </w:rPr>
      </w:pPr>
      <w:r>
        <w:rPr>
          <w:rFonts w:ascii="Arial" w:cs="Arial" w:eastAsia="Arial" w:hAnsi="Arial"/>
          <w:sz w:val="18"/>
          <w:szCs w:val="18"/>
          <w:color w:val="auto"/>
        </w:rPr>
        <w:t>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Rules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There have been no material developments in the legal proceedings that we disclosed in Part I, Item 3 of our Annual Report on Form 10-K for the year ended September 30, 2021.</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3"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2021 as updated by our Quarterly Report on Form 10-Q for the period ended March 31, 2022. Please carefully consider the information set forth in this Quarterly Report on Form 10-Q and the risk factors discussed in Part I, “Item 1A. Risk Factors” in our Annual Report on Form 10-K for the year ended September 30, 2021 and in Part II, “Item 1A. Risk Factors” in our Quarterly Report on Form 10-Q for the period ended March 31, 2022, which could materially affect our business, financial condition or future results. The risks described in our Annual Report on Form 10-K and our Quarterly Report on Form 10-Q,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3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Document Description</w:t>
            </w: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44"/>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FF"/>
                <w:w w:val="93"/>
              </w:rPr>
            </w:pPr>
            <w:hyperlink w:anchor="page37">
              <w:r>
                <w:rPr>
                  <w:rFonts w:ascii="Arial" w:cs="Arial" w:eastAsia="Arial" w:hAnsi="Arial"/>
                  <w:sz w:val="18"/>
                  <w:szCs w:val="18"/>
                  <w:color w:val="0000FF"/>
                  <w:w w:val="93"/>
                </w:rPr>
                <w:t>Certification of Chief Executive Officer pursuant to Rule 13a-14(a) of the Securities Exchange Act of 1934, as Adopted Pursuant to</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Section 302 of the Sarbanes-Oxley Act of 2002</w:t>
              </w:r>
            </w:hyperlink>
          </w:p>
        </w:tc>
        <w:tc>
          <w:tcPr>
            <w:tcW w:w="28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 of Chief Financial Officer pursuant to Rule 13a-14(a) of the Securities Exchange Act of 1934, as Adopted Pursuant to</w:t>
              </w:r>
            </w:hyperlink>
          </w:p>
        </w:tc>
        <w:tc>
          <w:tcPr>
            <w:tcW w:w="32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8"/>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Certification of Chief Executive Officer pursuant to 18 U.S.C. Section 1350, as Adopted Pursuant to Section 906 of the Sarbanes-</w:t>
              </w:r>
            </w:hyperlink>
          </w:p>
        </w:tc>
        <w:tc>
          <w:tcPr>
            <w:tcW w:w="4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39">
              <w:r>
                <w:rPr>
                  <w:rFonts w:ascii="Arial" w:cs="Arial" w:eastAsia="Arial" w:hAnsi="Arial"/>
                  <w:sz w:val="18"/>
                  <w:szCs w:val="18"/>
                  <w:color w:val="0000FF"/>
                  <w:w w:val="92"/>
                </w:rPr>
                <w:t>Oxley Act of 2002</w:t>
              </w:r>
            </w:hyperlink>
          </w:p>
        </w:tc>
        <w:tc>
          <w:tcPr>
            <w:tcW w:w="8420" w:type="dxa"/>
            <w:vAlign w:val="bottom"/>
            <w:gridSpan w:val="6"/>
          </w:tcPr>
          <w:p>
            <w:pPr>
              <w:spacing w:after="0"/>
              <w:rPr>
                <w:sz w:val="17"/>
                <w:szCs w:val="17"/>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Financial Officer pursuant to 18 U.S.C. Section 1350, as Adopted Pursuant to Section 906 of the Sarbanes-Oxley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Act of 2002</w:t>
              </w:r>
            </w:hyperlink>
          </w:p>
        </w:tc>
        <w:tc>
          <w:tcPr>
            <w:tcW w:w="8860" w:type="dxa"/>
            <w:vAlign w:val="bottom"/>
            <w:tcBorders>
              <w:top w:val="single" w:sz="8" w:color="0000FF"/>
            </w:tcBorders>
            <w:gridSpan w:val="6"/>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The cover page from this Quarterly Report on Form 10-Q, formatted in Inline XBRL (included as Exhibit 101)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jc w:val="center"/>
        <w:ind w:right="-37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ARROWHEAD PHARMACEUTICALS, INC.</w:t>
      </w:r>
    </w:p>
    <w:p>
      <w:pPr>
        <w:spacing w:after="0" w:line="320"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8"/>
          <w:szCs w:val="18"/>
          <w:color w:val="auto"/>
        </w:rPr>
        <w:t>By:</w:t>
        <w:tab/>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60"/>
          </w:cols>
          <w:pgMar w:left="320" w:top="1255" w:right="7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117"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17" w:lineRule="exact"/>
        <w:rPr>
          <w:rFonts w:ascii="Arial" w:cs="Arial" w:eastAsia="Arial" w:hAnsi="Arial"/>
          <w:sz w:val="18"/>
          <w:szCs w:val="18"/>
          <w:color w:val="auto"/>
        </w:rPr>
      </w:pPr>
    </w:p>
    <w:p>
      <w:pPr>
        <w:ind w:right="80" w:firstLine="980"/>
        <w:spacing w:after="0" w:line="263"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320" w:firstLine="980"/>
        <w:spacing w:after="0" w:line="308"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40" w:firstLine="980"/>
        <w:spacing w:after="0" w:line="291"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660" w:right="180" w:firstLine="968"/>
        <w:spacing w:after="0" w:line="286" w:lineRule="auto"/>
        <w:tabs>
          <w:tab w:leader="none" w:pos="1953"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0" w:firstLine="968"/>
        <w:spacing w:after="0" w:line="263" w:lineRule="auto"/>
        <w:tabs>
          <w:tab w:leader="none" w:pos="1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140" w:firstLine="968"/>
        <w:spacing w:after="0" w:line="342" w:lineRule="auto"/>
        <w:tabs>
          <w:tab w:leader="none" w:pos="1953"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600" w:firstLine="968"/>
        <w:spacing w:after="0" w:line="263" w:lineRule="auto"/>
        <w:tabs>
          <w:tab w:leader="none" w:pos="1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60" w:firstLine="980"/>
        <w:spacing w:after="0" w:line="342"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660" w:right="80" w:firstLine="968"/>
        <w:spacing w:after="0" w:line="308" w:lineRule="auto"/>
        <w:tabs>
          <w:tab w:leader="none" w:pos="1953"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100" w:firstLine="968"/>
        <w:spacing w:after="0" w:line="277" w:lineRule="auto"/>
        <w:tabs>
          <w:tab w:leader="none" w:pos="1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117"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17" w:lineRule="exact"/>
        <w:rPr>
          <w:rFonts w:ascii="Arial" w:cs="Arial" w:eastAsia="Arial" w:hAnsi="Arial"/>
          <w:sz w:val="18"/>
          <w:szCs w:val="18"/>
          <w:color w:val="auto"/>
        </w:rPr>
      </w:pPr>
    </w:p>
    <w:p>
      <w:pPr>
        <w:ind w:right="80" w:firstLine="980"/>
        <w:spacing w:after="0" w:line="263"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320" w:firstLine="980"/>
        <w:spacing w:after="0" w:line="308"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40" w:firstLine="980"/>
        <w:spacing w:after="0" w:line="291" w:lineRule="auto"/>
        <w:tabs>
          <w:tab w:leader="none" w:pos="1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660" w:right="180" w:firstLine="968"/>
        <w:spacing w:after="0" w:line="286" w:lineRule="auto"/>
        <w:tabs>
          <w:tab w:leader="none" w:pos="1953"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0" w:firstLine="968"/>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140" w:firstLine="968"/>
        <w:spacing w:after="0" w:line="342" w:lineRule="auto"/>
        <w:tabs>
          <w:tab w:leader="none" w:pos="1953"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600" w:firstLine="968"/>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60" w:firstLine="980"/>
        <w:spacing w:after="0" w:line="342" w:lineRule="auto"/>
        <w:tabs>
          <w:tab w:leader="none" w:pos="1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660" w:right="80" w:firstLine="968"/>
        <w:spacing w:after="0" w:line="308" w:lineRule="auto"/>
        <w:tabs>
          <w:tab w:leader="none" w:pos="1953"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100" w:firstLine="968"/>
        <w:spacing w:after="0" w:line="277"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103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2022,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spacing w:after="0" w:line="29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Roman"/>
      <w:start w:val="6"/>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2022-08-04T15:41:36Z</dcterms:created>
  <dcterms:modified xsi:type="dcterms:W3CDTF">2022-08-04T15:41:36Z</dcterms:modified>
</cp:coreProperties>
</file>