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161290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UNDER SECTION 13 OR 15(d) OF THE SECURITIES EXCHANGE ACT OF 1934</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89"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UNDER SECTION 13 OR 15(d) OF THE SECURITIES EXCHANGE ACT OF 1934</w:t>
      </w:r>
    </w:p>
    <w:p>
      <w:pPr>
        <w:spacing w:after="0" w:line="20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001-38042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ARROWHEAD PHARMACEUTICALS,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142240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35"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46-0408024</w:t>
      </w:r>
    </w:p>
    <w:p>
      <w:pPr>
        <w:spacing w:after="0" w:line="50" w:lineRule="exact"/>
        <w:rPr>
          <w:sz w:val="24"/>
          <w:szCs w:val="24"/>
          <w:color w:val="auto"/>
        </w:rPr>
      </w:pPr>
    </w:p>
    <w:p>
      <w:pPr>
        <w:sectPr>
          <w:pgSz w:w="11900" w:h="16838" w:orient="portrait"/>
          <w:cols w:equalWidth="0" w:num="2">
            <w:col w:w="7460" w:space="720"/>
            <w:col w:w="3180"/>
          </w:cols>
          <w:pgMar w:left="240" w:top="368" w:right="299" w:bottom="1440" w:gutter="0" w:footer="0" w:header="0"/>
          <w:type w:val="continuous"/>
        </w:sectPr>
      </w:pPr>
    </w:p>
    <w:p>
      <w:pPr>
        <w:ind w:left="21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2">
            <w:col w:w="6800" w:space="720"/>
            <w:col w:w="3840"/>
          </w:cols>
          <w:pgMar w:left="240" w:top="368" w:right="299" w:bottom="1440" w:gutter="0" w:footer="0" w:header="0"/>
          <w:type w:val="continuous"/>
        </w:sectPr>
      </w:pPr>
    </w:p>
    <w:p>
      <w:pPr>
        <w:spacing w:after="0" w:line="2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225 S. Lake Avenue, Suite 1050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Pasadena, California 91101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(626) 304-3400</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(Address and telephone number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147955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p>
      <w:pPr>
        <w:spacing w:after="0" w:line="200" w:lineRule="exact"/>
        <w:rPr>
          <w:sz w:val="24"/>
          <w:szCs w:val="24"/>
          <w:color w:val="auto"/>
        </w:rPr>
      </w:pPr>
    </w:p>
    <w:p>
      <w:pPr>
        <w:spacing w:after="0" w:line="222"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Large accelerated</w:t>
            </w:r>
          </w:p>
        </w:tc>
        <w:tc>
          <w:tcPr>
            <w:tcW w:w="4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86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494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20" w:type="dxa"/>
            <w:vAlign w:val="bottom"/>
          </w:tcPr>
          <w:p>
            <w:pPr>
              <w:ind w:left="86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86"/>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87"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4"/>
          <w:szCs w:val="24"/>
          <w:color w:val="auto"/>
        </w:rPr>
      </w:pPr>
    </w:p>
    <w:p>
      <w:pPr>
        <w:ind w:right="1840"/>
        <w:spacing w:after="0" w:line="32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the registrant’s common stock outstanding as of May 7, 2018 was 87,577,188.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682625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3160" w:type="dxa"/>
            <w:vAlign w:val="bottom"/>
            <w:gridSpan w:val="9"/>
            <w:vMerge w:val="restart"/>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 — FINANCIAL INFORMATION</w:t>
              </w:r>
            </w:hyperlink>
          </w:p>
        </w:tc>
        <w:tc>
          <w:tcPr>
            <w:tcW w:w="7620" w:type="dxa"/>
            <w:vAlign w:val="bottom"/>
            <w:gridSpan w:val="9"/>
            <w:vMerge w:val="restart"/>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47"/>
        </w:trPr>
        <w:tc>
          <w:tcPr>
            <w:tcW w:w="3160" w:type="dxa"/>
            <w:vAlign w:val="bottom"/>
            <w:tcBorders>
              <w:bottom w:val="single" w:sz="8" w:color="0000EE"/>
            </w:tcBorders>
            <w:gridSpan w:val="9"/>
            <w:vMerge w:val="continue"/>
          </w:tcPr>
          <w:p>
            <w:pPr>
              <w:spacing w:after="0"/>
              <w:rPr>
                <w:sz w:val="12"/>
                <w:szCs w:val="12"/>
                <w:color w:val="auto"/>
              </w:rPr>
            </w:pPr>
          </w:p>
        </w:tc>
        <w:tc>
          <w:tcPr>
            <w:tcW w:w="7620" w:type="dxa"/>
            <w:vAlign w:val="bottom"/>
            <w:gridSpan w:val="9"/>
            <w:vMerge w:val="continue"/>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3520" w:type="dxa"/>
            <w:vAlign w:val="bottom"/>
            <w:tcBorders>
              <w:bottom w:val="single" w:sz="8" w:color="0000EE"/>
            </w:tcBorders>
            <w:gridSpan w:val="11"/>
          </w:tcPr>
          <w:p>
            <w:pPr>
              <w:spacing w:after="0"/>
              <w:rPr>
                <w:rFonts w:ascii="Arial" w:cs="Arial" w:eastAsia="Arial" w:hAnsi="Arial"/>
                <w:sz w:val="17"/>
                <w:szCs w:val="17"/>
                <w:color w:val="0000EE"/>
                <w:w w:val="96"/>
              </w:rPr>
            </w:pPr>
            <w:hyperlink w:anchor="page3">
              <w:r>
                <w:rPr>
                  <w:rFonts w:ascii="Arial" w:cs="Arial" w:eastAsia="Arial" w:hAnsi="Arial"/>
                  <w:sz w:val="17"/>
                  <w:szCs w:val="17"/>
                  <w:color w:val="0000EE"/>
                  <w:w w:val="96"/>
                </w:rPr>
                <w:t>ITEM 1. FINANCIAL STATEMENTS (unaudited)</w:t>
              </w:r>
            </w:hyperlink>
          </w:p>
        </w:tc>
        <w:tc>
          <w:tcPr>
            <w:tcW w:w="7260" w:type="dxa"/>
            <w:vAlign w:val="bottom"/>
            <w:gridSpan w:val="7"/>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6"/>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Consolidated Balance Sheets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6"/>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Consolidated Statements of Operations and Comprehensive Loss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40" w:type="dxa"/>
            <w:vAlign w:val="bottom"/>
            <w:tcBorders>
              <w:top w:val="single" w:sz="8" w:color="0000EE"/>
            </w:tcBorders>
            <w:gridSpan w:val="12"/>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Consolidated Statement of Stockholders’ Equity</w:t>
              </w:r>
            </w:hyperlink>
          </w:p>
        </w:tc>
        <w:tc>
          <w:tcPr>
            <w:tcW w:w="5900" w:type="dxa"/>
            <w:vAlign w:val="bottom"/>
            <w:gridSpan w:val="4"/>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tcBorders>
              <w:top w:val="single" w:sz="8" w:color="0000EE"/>
            </w:tcBorders>
            <w:gridSpan w:val="11"/>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Consolidated Statements of Cash Flows</w:t>
              </w:r>
            </w:hyperlink>
          </w:p>
        </w:tc>
        <w:tc>
          <w:tcPr>
            <w:tcW w:w="7040" w:type="dxa"/>
            <w:vAlign w:val="bottom"/>
            <w:gridSpan w:val="5"/>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0" w:type="dxa"/>
            <w:vAlign w:val="bottom"/>
            <w:tcBorders>
              <w:bottom w:val="single" w:sz="8" w:color="0000EE"/>
            </w:tcBorders>
            <w:gridSpan w:val="8"/>
          </w:tcPr>
          <w:p>
            <w:pPr>
              <w:spacing w:after="0"/>
              <w:rPr>
                <w:rFonts w:ascii="Arial" w:cs="Arial" w:eastAsia="Arial" w:hAnsi="Arial"/>
                <w:sz w:val="17"/>
                <w:szCs w:val="17"/>
                <w:color w:val="0000EE"/>
                <w:w w:val="90"/>
              </w:rPr>
            </w:pPr>
            <w:hyperlink w:anchor="page7">
              <w:r>
                <w:rPr>
                  <w:rFonts w:ascii="Arial" w:cs="Arial" w:eastAsia="Arial" w:hAnsi="Arial"/>
                  <w:sz w:val="17"/>
                  <w:szCs w:val="17"/>
                  <w:color w:val="0000EE"/>
                  <w:w w:val="90"/>
                </w:rPr>
                <w:t>Notes to Consolidated Financial Statements</w:t>
              </w:r>
            </w:hyperlink>
          </w:p>
        </w:tc>
        <w:tc>
          <w:tcPr>
            <w:tcW w:w="7340" w:type="dxa"/>
            <w:vAlign w:val="bottom"/>
            <w:gridSpan w:val="8"/>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9100" w:type="dxa"/>
            <w:vAlign w:val="bottom"/>
            <w:tcBorders>
              <w:bottom w:val="single" w:sz="8" w:color="0000EE"/>
            </w:tcBorders>
            <w:gridSpan w:val="16"/>
          </w:tcPr>
          <w:p>
            <w:pPr>
              <w:spacing w:after="0"/>
              <w:rPr>
                <w:rFonts w:ascii="Arial" w:cs="Arial" w:eastAsia="Arial" w:hAnsi="Arial"/>
                <w:sz w:val="17"/>
                <w:szCs w:val="17"/>
                <w:color w:val="0000EE"/>
                <w:w w:val="97"/>
              </w:rPr>
            </w:pPr>
            <w:hyperlink w:anchor="page20">
              <w:r>
                <w:rPr>
                  <w:rFonts w:ascii="Arial" w:cs="Arial" w:eastAsia="Arial" w:hAnsi="Arial"/>
                  <w:sz w:val="17"/>
                  <w:szCs w:val="17"/>
                  <w:color w:val="0000EE"/>
                  <w:w w:val="97"/>
                </w:rPr>
                <w:t>ITEM 2. MANAGEMENT’S DISCUSSION AND ANALYSIS OF FINANCIAL CONDITION AND RESULTS OF OPERATIONS</w:t>
              </w:r>
            </w:hyperlink>
          </w:p>
        </w:tc>
        <w:tc>
          <w:tcPr>
            <w:tcW w:w="16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304"/>
        </w:trPr>
        <w:tc>
          <w:tcPr>
            <w:tcW w:w="6480" w:type="dxa"/>
            <w:vAlign w:val="bottom"/>
            <w:tcBorders>
              <w:bottom w:val="single" w:sz="8" w:color="0000EE"/>
            </w:tcBorders>
            <w:gridSpan w:val="16"/>
          </w:tcPr>
          <w:p>
            <w:pPr>
              <w:spacing w:after="0"/>
              <w:rPr>
                <w:rFonts w:ascii="Arial" w:cs="Arial" w:eastAsia="Arial" w:hAnsi="Arial"/>
                <w:sz w:val="17"/>
                <w:szCs w:val="17"/>
                <w:color w:val="0000EE"/>
                <w:w w:val="98"/>
              </w:rPr>
            </w:pPr>
            <w:hyperlink w:anchor="page29">
              <w:r>
                <w:rPr>
                  <w:rFonts w:ascii="Arial" w:cs="Arial" w:eastAsia="Arial" w:hAnsi="Arial"/>
                  <w:sz w:val="17"/>
                  <w:szCs w:val="17"/>
                  <w:color w:val="0000EE"/>
                  <w:w w:val="98"/>
                </w:rPr>
                <w:t>ITEM 3. QUANTITATIVE AND QUALITATIVE DISCLOSURES ABOUT MARKET RISK</w:t>
              </w:r>
            </w:hyperlink>
          </w:p>
        </w:tc>
        <w:tc>
          <w:tcPr>
            <w:tcW w:w="4300" w:type="dxa"/>
            <w:vAlign w:val="bottom"/>
            <w:gridSpan w:val="2"/>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04"/>
        </w:trPr>
        <w:tc>
          <w:tcPr>
            <w:tcW w:w="10780" w:type="dxa"/>
            <w:vAlign w:val="bottom"/>
            <w:gridSpan w:val="18"/>
          </w:tcPr>
          <w:p>
            <w:pPr>
              <w:spacing w:after="0"/>
              <w:rPr>
                <w:rFonts w:ascii="Arial" w:cs="Arial" w:eastAsia="Arial" w:hAnsi="Arial"/>
                <w:sz w:val="17"/>
                <w:szCs w:val="17"/>
                <w:color w:val="0000EE"/>
              </w:rPr>
            </w:pPr>
            <w:hyperlink w:anchor="page29">
              <w:r>
                <w:rPr>
                  <w:rFonts w:ascii="Arial" w:cs="Arial" w:eastAsia="Arial" w:hAnsi="Arial"/>
                  <w:sz w:val="17"/>
                  <w:szCs w:val="17"/>
                  <w:color w:val="0000EE"/>
                </w:rPr>
                <w:t>ITEM 4. CONTROLS AND PROCEDURES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04"/>
        </w:trPr>
        <w:tc>
          <w:tcPr>
            <w:tcW w:w="3160" w:type="dxa"/>
            <w:vAlign w:val="bottom"/>
            <w:tcBorders>
              <w:top w:val="single" w:sz="8" w:color="0000EE"/>
            </w:tcBorders>
            <w:gridSpan w:val="9"/>
          </w:tcPr>
          <w:p>
            <w:pPr>
              <w:spacing w:after="0"/>
              <w:rPr>
                <w:rFonts w:ascii="Arial" w:cs="Arial" w:eastAsia="Arial" w:hAnsi="Arial"/>
                <w:sz w:val="17"/>
                <w:szCs w:val="17"/>
                <w:b w:val="1"/>
                <w:bCs w:val="1"/>
                <w:color w:val="0000EE"/>
              </w:rPr>
            </w:pPr>
            <w:hyperlink w:anchor="page30">
              <w:r>
                <w:rPr>
                  <w:rFonts w:ascii="Arial" w:cs="Arial" w:eastAsia="Arial" w:hAnsi="Arial"/>
                  <w:sz w:val="17"/>
                  <w:szCs w:val="17"/>
                  <w:b w:val="1"/>
                  <w:bCs w:val="1"/>
                  <w:color w:val="0000EE"/>
                </w:rPr>
                <w:t>PART II — OTHER INFORMATION</w:t>
              </w:r>
            </w:hyperlink>
          </w:p>
        </w:tc>
        <w:tc>
          <w:tcPr>
            <w:tcW w:w="7620" w:type="dxa"/>
            <w:vAlign w:val="bottom"/>
            <w:gridSpan w:val="9"/>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42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6"/>
              </w:rPr>
            </w:pPr>
            <w:hyperlink w:anchor="page30">
              <w:r>
                <w:rPr>
                  <w:rFonts w:ascii="Arial" w:cs="Arial" w:eastAsia="Arial" w:hAnsi="Arial"/>
                  <w:sz w:val="17"/>
                  <w:szCs w:val="17"/>
                  <w:color w:val="0000EE"/>
                  <w:w w:val="96"/>
                </w:rPr>
                <w:t>ITEM 1. LEGAL PROCEEDINGS</w:t>
              </w:r>
            </w:hyperlink>
          </w:p>
        </w:tc>
        <w:tc>
          <w:tcPr>
            <w:tcW w:w="380" w:type="dxa"/>
            <w:vAlign w:val="bottom"/>
            <w:tcBorders>
              <w:top w:val="single" w:sz="8" w:color="0000EE"/>
            </w:tcBorders>
          </w:tcPr>
          <w:p>
            <w:pPr>
              <w:spacing w:after="0"/>
              <w:rPr>
                <w:sz w:val="24"/>
                <w:szCs w:val="24"/>
                <w:color w:val="auto"/>
              </w:rPr>
            </w:pPr>
          </w:p>
        </w:tc>
        <w:tc>
          <w:tcPr>
            <w:tcW w:w="7980" w:type="dxa"/>
            <w:vAlign w:val="bottom"/>
            <w:gridSpan w:val="11"/>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10780" w:type="dxa"/>
            <w:vAlign w:val="bottom"/>
            <w:gridSpan w:val="18"/>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1A. RISK FACTORS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18"/>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2. UNREGISTERED SALES OF EQUITY SECURITIES AND USE OF PROCEEDS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6400" w:type="dxa"/>
            <w:vAlign w:val="bottom"/>
            <w:tcBorders>
              <w:top w:val="single" w:sz="8" w:color="0000EE"/>
            </w:tcBorders>
            <w:gridSpan w:val="15"/>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3. DEFAULTS UPON SENIOR SECURITIES</w:t>
              </w:r>
            </w:hyperlink>
          </w:p>
        </w:tc>
        <w:tc>
          <w:tcPr>
            <w:tcW w:w="4380" w:type="dxa"/>
            <w:vAlign w:val="bottom"/>
            <w:gridSpan w:val="3"/>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296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96"/>
              </w:rPr>
            </w:pPr>
            <w:hyperlink w:anchor="page30">
              <w:r>
                <w:rPr>
                  <w:rFonts w:ascii="Arial" w:cs="Arial" w:eastAsia="Arial" w:hAnsi="Arial"/>
                  <w:sz w:val="17"/>
                  <w:szCs w:val="17"/>
                  <w:color w:val="0000EE"/>
                  <w:w w:val="96"/>
                </w:rPr>
                <w:t>ITEM 4. MINE SAFETY DISCLOSURES</w:t>
              </w:r>
            </w:hyperlink>
          </w:p>
        </w:tc>
        <w:tc>
          <w:tcPr>
            <w:tcW w:w="700" w:type="dxa"/>
            <w:vAlign w:val="bottom"/>
            <w:tcBorders>
              <w:top w:val="single" w:sz="8" w:color="0000EE"/>
            </w:tcBorders>
            <w:gridSpan w:val="4"/>
          </w:tcPr>
          <w:p>
            <w:pPr>
              <w:spacing w:after="0"/>
              <w:rPr>
                <w:sz w:val="24"/>
                <w:szCs w:val="24"/>
                <w:color w:val="auto"/>
              </w:rPr>
            </w:pPr>
          </w:p>
        </w:tc>
        <w:tc>
          <w:tcPr>
            <w:tcW w:w="7120" w:type="dxa"/>
            <w:vAlign w:val="bottom"/>
            <w:gridSpan w:val="6"/>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10780" w:type="dxa"/>
            <w:vAlign w:val="bottom"/>
            <w:gridSpan w:val="18"/>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5. OTHER INFORMATION</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142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98"/>
              </w:rPr>
            </w:pPr>
            <w:hyperlink w:anchor="page31">
              <w:r>
                <w:rPr>
                  <w:rFonts w:ascii="Arial" w:cs="Arial" w:eastAsia="Arial" w:hAnsi="Arial"/>
                  <w:sz w:val="17"/>
                  <w:szCs w:val="17"/>
                  <w:color w:val="0000EE"/>
                  <w:w w:val="98"/>
                </w:rPr>
                <w:t>ITEM 6. EXHIBITS</w:t>
              </w:r>
            </w:hyperlink>
          </w:p>
        </w:tc>
        <w:tc>
          <w:tcPr>
            <w:tcW w:w="1000" w:type="dxa"/>
            <w:vAlign w:val="bottom"/>
            <w:tcBorders>
              <w:top w:val="single" w:sz="8" w:color="0000EE"/>
            </w:tcBorders>
            <w:gridSpan w:val="2"/>
          </w:tcPr>
          <w:p>
            <w:pPr>
              <w:spacing w:after="0"/>
              <w:rPr>
                <w:sz w:val="24"/>
                <w:szCs w:val="24"/>
                <w:color w:val="auto"/>
              </w:rPr>
            </w:pPr>
          </w:p>
        </w:tc>
        <w:tc>
          <w:tcPr>
            <w:tcW w:w="8360" w:type="dxa"/>
            <w:vAlign w:val="bottom"/>
            <w:gridSpan w:val="12"/>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04"/>
        </w:trPr>
        <w:tc>
          <w:tcPr>
            <w:tcW w:w="10780" w:type="dxa"/>
            <w:vAlign w:val="bottom"/>
            <w:gridSpan w:val="18"/>
          </w:tcPr>
          <w:p>
            <w:pPr>
              <w:spacing w:after="0"/>
              <w:rPr>
                <w:rFonts w:ascii="Arial" w:cs="Arial" w:eastAsia="Arial" w:hAnsi="Arial"/>
                <w:sz w:val="17"/>
                <w:szCs w:val="17"/>
                <w:color w:val="0000EE"/>
              </w:rPr>
            </w:pPr>
            <w:hyperlink w:anchor="page32">
              <w:r>
                <w:rPr>
                  <w:rFonts w:ascii="Arial" w:cs="Arial" w:eastAsia="Arial" w:hAnsi="Arial"/>
                  <w:sz w:val="17"/>
                  <w:szCs w:val="17"/>
                  <w:color w:val="0000EE"/>
                </w:rPr>
                <w:t>SIGNATURE</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1216"/>
        </w:trPr>
        <w:tc>
          <w:tcPr>
            <w:tcW w:w="4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8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7120" w:type="dxa"/>
            <w:vAlign w:val="bottom"/>
          </w:tcPr>
          <w:p>
            <w:pPr>
              <w:jc w:val="center"/>
              <w:ind w:left="2822"/>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20" w:type="dxa"/>
            <w:vAlign w:val="bottom"/>
          </w:tcPr>
          <w:p>
            <w:pPr>
              <w:ind w:left="46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00" w:type="dxa"/>
            <w:vAlign w:val="bottom"/>
          </w:tcPr>
          <w:p>
            <w:pPr>
              <w:spacing w:after="0"/>
              <w:rPr>
                <w:sz w:val="24"/>
                <w:szCs w:val="24"/>
                <w:color w:val="auto"/>
              </w:rPr>
            </w:pPr>
          </w:p>
        </w:tc>
        <w:tc>
          <w:tcPr>
            <w:tcW w:w="7120" w:type="dxa"/>
            <w:vAlign w:val="bottom"/>
          </w:tcPr>
          <w:p>
            <w:pPr>
              <w:jc w:val="center"/>
              <w:ind w:left="2822"/>
              <w:spacing w:after="0"/>
              <w:rPr>
                <w:sz w:val="20"/>
                <w:szCs w:val="20"/>
                <w:color w:val="auto"/>
              </w:rPr>
            </w:pPr>
            <w:r>
              <w:rPr>
                <w:rFonts w:ascii="Arial" w:cs="Arial" w:eastAsia="Arial" w:hAnsi="Arial"/>
                <w:sz w:val="18"/>
                <w:szCs w:val="18"/>
                <w:b w:val="1"/>
                <w:bCs w:val="1"/>
                <w:color w:val="auto"/>
                <w:w w:val="91"/>
              </w:rPr>
              <w:t>Arrowhead Pharmaceuticals, Inc.</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00" w:type="dxa"/>
            <w:vAlign w:val="bottom"/>
          </w:tcPr>
          <w:p>
            <w:pPr>
              <w:spacing w:after="0"/>
              <w:rPr>
                <w:sz w:val="20"/>
                <w:szCs w:val="20"/>
                <w:color w:val="auto"/>
              </w:rPr>
            </w:pPr>
          </w:p>
        </w:tc>
        <w:tc>
          <w:tcPr>
            <w:tcW w:w="7120" w:type="dxa"/>
            <w:vAlign w:val="bottom"/>
          </w:tcPr>
          <w:p>
            <w:pPr>
              <w:jc w:val="center"/>
              <w:ind w:left="2842"/>
              <w:spacing w:after="0"/>
              <w:rPr>
                <w:sz w:val="20"/>
                <w:szCs w:val="20"/>
                <w:color w:val="auto"/>
              </w:rPr>
            </w:pPr>
            <w:r>
              <w:rPr>
                <w:rFonts w:ascii="Arial" w:cs="Arial" w:eastAsia="Arial" w:hAnsi="Arial"/>
                <w:sz w:val="18"/>
                <w:szCs w:val="18"/>
                <w:b w:val="1"/>
                <w:bCs w:val="1"/>
                <w:color w:val="auto"/>
                <w:w w:val="87"/>
              </w:rPr>
              <w:t>Consolidated Balance Sheets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7"/>
        </w:trPr>
        <w:tc>
          <w:tcPr>
            <w:tcW w:w="7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8"/>
        </w:trPr>
        <w:tc>
          <w:tcPr>
            <w:tcW w:w="700" w:type="dxa"/>
            <w:vAlign w:val="bottom"/>
          </w:tcPr>
          <w:p>
            <w:pPr>
              <w:spacing w:after="0"/>
              <w:rPr>
                <w:sz w:val="16"/>
                <w:szCs w:val="16"/>
                <w:color w:val="auto"/>
              </w:rPr>
            </w:pPr>
          </w:p>
        </w:tc>
        <w:tc>
          <w:tcPr>
            <w:tcW w:w="7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2018</w:t>
            </w:r>
          </w:p>
        </w:tc>
        <w:tc>
          <w:tcPr>
            <w:tcW w:w="14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September 30, 2017</w:t>
            </w:r>
          </w:p>
        </w:tc>
      </w:tr>
      <w:tr>
        <w:trPr>
          <w:trHeight w:val="156"/>
        </w:trPr>
        <w:tc>
          <w:tcPr>
            <w:tcW w:w="700" w:type="dxa"/>
            <w:vAlign w:val="bottom"/>
            <w:tcBorders>
              <w:top w:val="single" w:sz="8" w:color="CFF0FC"/>
            </w:tcBorders>
            <w:shd w:val="clear" w:color="auto" w:fill="CFF0FC"/>
          </w:tcPr>
          <w:p>
            <w:pPr>
              <w:spacing w:after="0"/>
              <w:rPr>
                <w:sz w:val="13"/>
                <w:szCs w:val="13"/>
                <w:color w:val="auto"/>
              </w:rPr>
            </w:pPr>
          </w:p>
        </w:tc>
        <w:tc>
          <w:tcPr>
            <w:tcW w:w="7120" w:type="dxa"/>
            <w:vAlign w:val="bottom"/>
            <w:tcBorders>
              <w:top w:val="single" w:sz="8" w:color="CFF0FC"/>
            </w:tcBorders>
            <w:shd w:val="clear" w:color="auto" w:fill="CFF0FC"/>
          </w:tcPr>
          <w:p>
            <w:pPr>
              <w:ind w:left="2940"/>
              <w:spacing w:after="0" w:line="155" w:lineRule="exact"/>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FF0FC"/>
          </w:tcPr>
          <w:p>
            <w:pPr>
              <w:spacing w:after="0"/>
              <w:rPr>
                <w:sz w:val="13"/>
                <w:szCs w:val="13"/>
                <w:color w:val="auto"/>
              </w:rPr>
            </w:pPr>
          </w:p>
        </w:tc>
        <w:tc>
          <w:tcPr>
            <w:tcW w:w="140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69,805,117</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24,838,567</w:t>
            </w:r>
          </w:p>
        </w:tc>
        <w:tc>
          <w:tcPr>
            <w:tcW w:w="100" w:type="dxa"/>
            <w:vAlign w:val="bottom"/>
            <w:shd w:val="clear" w:color="auto" w:fill="CFF0FC"/>
          </w:tcPr>
          <w:p>
            <w:pPr>
              <w:spacing w:after="0"/>
              <w:rPr>
                <w:sz w:val="14"/>
                <w:szCs w:val="14"/>
                <w:color w:val="auto"/>
              </w:rPr>
            </w:pPr>
          </w:p>
        </w:tc>
      </w:tr>
      <w:tr>
        <w:trPr>
          <w:trHeight w:val="162"/>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Accounts receivable</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16,288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67,797</w:t>
            </w:r>
          </w:p>
        </w:tc>
        <w:tc>
          <w:tcPr>
            <w:tcW w:w="100" w:type="dxa"/>
            <w:vAlign w:val="bottom"/>
          </w:tcPr>
          <w:p>
            <w:pPr>
              <w:spacing w:after="0"/>
              <w:rPr>
                <w:sz w:val="14"/>
                <w:szCs w:val="14"/>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Prepaid expenses</w:t>
            </w:r>
          </w:p>
        </w:tc>
        <w:tc>
          <w:tcPr>
            <w:tcW w:w="2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744,246</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867,363</w:t>
            </w:r>
          </w:p>
        </w:tc>
        <w:tc>
          <w:tcPr>
            <w:tcW w:w="100" w:type="dxa"/>
            <w:vAlign w:val="bottom"/>
            <w:shd w:val="clear" w:color="auto" w:fill="CFF0FC"/>
          </w:tcPr>
          <w:p>
            <w:pPr>
              <w:spacing w:after="0"/>
              <w:rPr>
                <w:sz w:val="14"/>
                <w:szCs w:val="14"/>
                <w:color w:val="auto"/>
              </w:rPr>
            </w:pPr>
          </w:p>
        </w:tc>
      </w:tr>
      <w:tr>
        <w:trPr>
          <w:trHeight w:val="162"/>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Other current assets</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357,989</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1,359,638</w:t>
            </w:r>
          </w:p>
        </w:tc>
        <w:tc>
          <w:tcPr>
            <w:tcW w:w="100" w:type="dxa"/>
            <w:vAlign w:val="bottom"/>
          </w:tcPr>
          <w:p>
            <w:pPr>
              <w:spacing w:after="0"/>
              <w:rPr>
                <w:sz w:val="14"/>
                <w:szCs w:val="14"/>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Short term investments</w:t>
            </w:r>
          </w:p>
        </w:tc>
        <w:tc>
          <w:tcPr>
            <w:tcW w:w="20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21,736,820</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40,769,539</w:t>
            </w:r>
          </w:p>
        </w:tc>
        <w:tc>
          <w:tcPr>
            <w:tcW w:w="100" w:type="dxa"/>
            <w:vAlign w:val="bottom"/>
            <w:shd w:val="clear" w:color="auto" w:fill="CFF0FC"/>
          </w:tcPr>
          <w:p>
            <w:pPr>
              <w:spacing w:after="0"/>
              <w:rPr>
                <w:sz w:val="14"/>
                <w:szCs w:val="14"/>
                <w:color w:val="auto"/>
              </w:rPr>
            </w:pPr>
          </w:p>
        </w:tc>
      </w:tr>
      <w:tr>
        <w:trPr>
          <w:trHeight w:val="169"/>
        </w:trPr>
        <w:tc>
          <w:tcPr>
            <w:tcW w:w="700" w:type="dxa"/>
            <w:vAlign w:val="bottom"/>
          </w:tcPr>
          <w:p>
            <w:pPr>
              <w:spacing w:after="0"/>
              <w:rPr>
                <w:sz w:val="14"/>
                <w:szCs w:val="14"/>
                <w:color w:val="auto"/>
              </w:rPr>
            </w:pPr>
          </w:p>
        </w:tc>
        <w:tc>
          <w:tcPr>
            <w:tcW w:w="712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92,660,460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67,902,904</w:t>
            </w:r>
          </w:p>
        </w:tc>
        <w:tc>
          <w:tcPr>
            <w:tcW w:w="100" w:type="dxa"/>
            <w:vAlign w:val="bottom"/>
          </w:tcPr>
          <w:p>
            <w:pPr>
              <w:spacing w:after="0"/>
              <w:rPr>
                <w:sz w:val="14"/>
                <w:szCs w:val="14"/>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Property and equipment, net</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14,582,313</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15,513,019</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Intangible assets, net</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19,614,224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20,464,439</w:t>
            </w: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141,918</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141,918</w:t>
            </w:r>
          </w:p>
        </w:tc>
        <w:tc>
          <w:tcPr>
            <w:tcW w:w="100" w:type="dxa"/>
            <w:vAlign w:val="bottom"/>
            <w:shd w:val="clear" w:color="auto" w:fill="CFF0FC"/>
          </w:tcPr>
          <w:p>
            <w:pPr>
              <w:spacing w:after="0"/>
              <w:rPr>
                <w:sz w:val="15"/>
                <w:szCs w:val="15"/>
                <w:color w:val="auto"/>
              </w:rPr>
            </w:pPr>
          </w:p>
        </w:tc>
      </w:tr>
      <w:tr>
        <w:trPr>
          <w:trHeight w:val="209"/>
        </w:trPr>
        <w:tc>
          <w:tcPr>
            <w:tcW w:w="700" w:type="dxa"/>
            <w:vAlign w:val="bottom"/>
            <w:tcBorders>
              <w:bottom w:val="single" w:sz="8" w:color="CFF0FC"/>
            </w:tcBorders>
          </w:tcPr>
          <w:p>
            <w:pPr>
              <w:spacing w:after="0"/>
              <w:rPr>
                <w:sz w:val="18"/>
                <w:szCs w:val="18"/>
                <w:color w:val="auto"/>
              </w:rPr>
            </w:pPr>
          </w:p>
        </w:tc>
        <w:tc>
          <w:tcPr>
            <w:tcW w:w="7120" w:type="dxa"/>
            <w:vAlign w:val="bottom"/>
            <w:tcBorders>
              <w:bottom w:val="single" w:sz="8" w:color="CFF0FC"/>
            </w:tcBorders>
          </w:tcPr>
          <w:p>
            <w:pPr>
              <w:ind w:left="30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126,998,915</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104,022,280</w:t>
            </w:r>
          </w:p>
        </w:tc>
        <w:tc>
          <w:tcPr>
            <w:tcW w:w="100" w:type="dxa"/>
            <w:vAlign w:val="bottom"/>
            <w:tcBorders>
              <w:bottom w:val="single" w:sz="8" w:color="CFF0FC"/>
            </w:tcBorders>
          </w:tcPr>
          <w:p>
            <w:pPr>
              <w:spacing w:after="0"/>
              <w:rPr>
                <w:sz w:val="18"/>
                <w:szCs w:val="18"/>
                <w:color w:val="auto"/>
              </w:rPr>
            </w:pPr>
          </w:p>
        </w:tc>
      </w:tr>
      <w:tr>
        <w:trPr>
          <w:trHeight w:val="156"/>
        </w:trPr>
        <w:tc>
          <w:tcPr>
            <w:tcW w:w="700" w:type="dxa"/>
            <w:vAlign w:val="bottom"/>
            <w:shd w:val="clear" w:color="auto" w:fill="CFF0FC"/>
          </w:tcPr>
          <w:p>
            <w:pPr>
              <w:spacing w:after="0"/>
              <w:rPr>
                <w:sz w:val="13"/>
                <w:szCs w:val="13"/>
                <w:color w:val="auto"/>
              </w:rPr>
            </w:pPr>
          </w:p>
        </w:tc>
        <w:tc>
          <w:tcPr>
            <w:tcW w:w="7120" w:type="dxa"/>
            <w:vAlign w:val="bottom"/>
            <w:shd w:val="clear" w:color="auto" w:fill="CFF0FC"/>
          </w:tcPr>
          <w:p>
            <w:pPr>
              <w:ind w:left="164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1,810,431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4,076,514</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Accrued expenses</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4,127,208</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4,564,507</w:t>
            </w: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Accrued payroll and benefits</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918,226</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3,399,679</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Deferred rent</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440,580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440,580</w:t>
            </w: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Deferred revenue</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1,565,000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5,269,741</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Derivative liabilities</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695,114</w:t>
            </w: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Note Payable</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216,027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208,506</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tcBorders>
              <w:bottom w:val="single" w:sz="8" w:color="CFF0FC"/>
            </w:tcBorders>
            <w:gridSpan w:val="2"/>
          </w:tcPr>
          <w:p>
            <w:pPr>
              <w:ind w:left="500"/>
              <w:spacing w:after="0"/>
              <w:rPr>
                <w:sz w:val="20"/>
                <w:szCs w:val="20"/>
                <w:color w:val="auto"/>
              </w:rPr>
            </w:pPr>
            <w:r>
              <w:rPr>
                <w:rFonts w:ascii="Arial" w:cs="Arial" w:eastAsia="Arial" w:hAnsi="Arial"/>
                <w:sz w:val="14"/>
                <w:szCs w:val="14"/>
                <w:color w:val="auto"/>
              </w:rPr>
              <w:t>Other current liabilities</w:t>
            </w: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46,407</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46,407</w:t>
            </w:r>
          </w:p>
        </w:tc>
        <w:tc>
          <w:tcPr>
            <w:tcW w:w="100" w:type="dxa"/>
            <w:vAlign w:val="bottom"/>
            <w:tcBorders>
              <w:bottom w:val="single" w:sz="8" w:color="CFF0FC"/>
            </w:tcBorders>
          </w:tcPr>
          <w:p>
            <w:pPr>
              <w:spacing w:after="0"/>
              <w:rPr>
                <w:sz w:val="15"/>
                <w:szCs w:val="15"/>
                <w:color w:val="auto"/>
              </w:rPr>
            </w:pPr>
          </w:p>
        </w:tc>
      </w:tr>
      <w:tr>
        <w:trPr>
          <w:trHeight w:val="169"/>
        </w:trPr>
        <w:tc>
          <w:tcPr>
            <w:tcW w:w="700" w:type="dxa"/>
            <w:vAlign w:val="bottom"/>
            <w:shd w:val="clear" w:color="auto" w:fill="CFF0FC"/>
          </w:tcPr>
          <w:p>
            <w:pPr>
              <w:spacing w:after="0"/>
              <w:rPr>
                <w:sz w:val="14"/>
                <w:szCs w:val="14"/>
                <w:color w:val="auto"/>
              </w:rPr>
            </w:pPr>
          </w:p>
        </w:tc>
        <w:tc>
          <w:tcPr>
            <w:tcW w:w="7120" w:type="dxa"/>
            <w:vAlign w:val="bottom"/>
            <w:shd w:val="clear" w:color="auto" w:fill="CFF0FC"/>
          </w:tcPr>
          <w:p>
            <w:pPr>
              <w:ind w:left="40"/>
              <w:spacing w:after="0"/>
              <w:rPr>
                <w:sz w:val="20"/>
                <w:szCs w:val="20"/>
                <w:color w:val="auto"/>
              </w:rPr>
            </w:pPr>
            <w:r>
              <w:rPr>
                <w:rFonts w:ascii="Arial" w:cs="Arial" w:eastAsia="Arial" w:hAnsi="Arial"/>
                <w:sz w:val="14"/>
                <w:szCs w:val="14"/>
                <w:color w:val="auto"/>
              </w:rPr>
              <w:t>TOTAL CURRENT LIABILITIES</w:t>
            </w:r>
          </w:p>
        </w:tc>
        <w:tc>
          <w:tcPr>
            <w:tcW w:w="2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9,123,879</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18,701,048</w:t>
            </w:r>
          </w:p>
        </w:tc>
        <w:tc>
          <w:tcPr>
            <w:tcW w:w="100" w:type="dxa"/>
            <w:vAlign w:val="bottom"/>
            <w:shd w:val="clear" w:color="auto" w:fill="CFF0FC"/>
          </w:tcPr>
          <w:p>
            <w:pPr>
              <w:spacing w:after="0"/>
              <w:rPr>
                <w:sz w:val="14"/>
                <w:szCs w:val="14"/>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LONG-TERM LIABILITIES</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Deferred rent, net of current portion</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1,744,863</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1,929,052</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Note Payable, net of current portion</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2,215,091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2,325,018</w:t>
            </w: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Other non-current liabilities</w:t>
            </w:r>
          </w:p>
        </w:tc>
        <w:tc>
          <w:tcPr>
            <w:tcW w:w="20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200,000</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FF0FC"/>
          </w:tcPr>
          <w:p>
            <w:pPr>
              <w:spacing w:after="0"/>
              <w:rPr>
                <w:sz w:val="15"/>
                <w:szCs w:val="15"/>
                <w:color w:val="auto"/>
              </w:rPr>
            </w:pPr>
          </w:p>
        </w:tc>
      </w:tr>
      <w:tr>
        <w:trPr>
          <w:trHeight w:val="169"/>
        </w:trPr>
        <w:tc>
          <w:tcPr>
            <w:tcW w:w="700" w:type="dxa"/>
            <w:vAlign w:val="bottom"/>
          </w:tcPr>
          <w:p>
            <w:pPr>
              <w:spacing w:after="0"/>
              <w:rPr>
                <w:sz w:val="14"/>
                <w:szCs w:val="14"/>
                <w:color w:val="auto"/>
              </w:rPr>
            </w:pPr>
          </w:p>
        </w:tc>
        <w:tc>
          <w:tcPr>
            <w:tcW w:w="7120" w:type="dxa"/>
            <w:vAlign w:val="bottom"/>
          </w:tcPr>
          <w:p>
            <w:pPr>
              <w:ind w:left="40"/>
              <w:spacing w:after="0"/>
              <w:rPr>
                <w:sz w:val="20"/>
                <w:szCs w:val="20"/>
                <w:color w:val="auto"/>
              </w:rPr>
            </w:pPr>
            <w:r>
              <w:rPr>
                <w:rFonts w:ascii="Arial" w:cs="Arial" w:eastAsia="Arial" w:hAnsi="Arial"/>
                <w:sz w:val="14"/>
                <w:szCs w:val="14"/>
                <w:color w:val="auto"/>
              </w:rPr>
              <w:t>TOTAL LONG-TERM LIABILITIES</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4,159,954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4,454,070</w:t>
            </w:r>
          </w:p>
        </w:tc>
        <w:tc>
          <w:tcPr>
            <w:tcW w:w="100" w:type="dxa"/>
            <w:vAlign w:val="bottom"/>
          </w:tcPr>
          <w:p>
            <w:pPr>
              <w:spacing w:after="0"/>
              <w:rPr>
                <w:sz w:val="14"/>
                <w:szCs w:val="14"/>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Commitments and contingencies (Note 7)</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Arrowhead Pharmaceuticals, Inc. stockholders' equity:</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43"/>
        </w:trPr>
        <w:tc>
          <w:tcPr>
            <w:tcW w:w="7820" w:type="dxa"/>
            <w:vAlign w:val="bottom"/>
            <w:gridSpan w:val="2"/>
          </w:tcPr>
          <w:p>
            <w:pPr>
              <w:ind w:left="500"/>
              <w:spacing w:after="0" w:line="143" w:lineRule="exact"/>
              <w:rPr>
                <w:sz w:val="20"/>
                <w:szCs w:val="20"/>
                <w:color w:val="auto"/>
              </w:rPr>
            </w:pPr>
            <w:r>
              <w:rPr>
                <w:rFonts w:ascii="Arial" w:cs="Arial" w:eastAsia="Arial" w:hAnsi="Arial"/>
                <w:sz w:val="14"/>
                <w:szCs w:val="14"/>
                <w:color w:val="auto"/>
              </w:rPr>
              <w:t>Common stock, $0.001 par value; 145,000,000 shares authorized; 87,570,398 and 74,785,426 shares</w:t>
            </w: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7820" w:type="dxa"/>
            <w:vAlign w:val="bottom"/>
            <w:gridSpan w:val="2"/>
          </w:tcPr>
          <w:p>
            <w:pPr>
              <w:ind w:left="600"/>
              <w:spacing w:after="0"/>
              <w:rPr>
                <w:sz w:val="20"/>
                <w:szCs w:val="20"/>
                <w:color w:val="auto"/>
              </w:rPr>
            </w:pPr>
            <w:r>
              <w:rPr>
                <w:rFonts w:ascii="Arial" w:cs="Arial" w:eastAsia="Arial" w:hAnsi="Arial"/>
                <w:sz w:val="14"/>
                <w:szCs w:val="14"/>
                <w:color w:val="auto"/>
              </w:rPr>
              <w:t>issued and outstanding as of March 31, 2018 and September 30, 2017, respectively</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179,940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167,155</w:t>
            </w:r>
          </w:p>
        </w:tc>
        <w:tc>
          <w:tcPr>
            <w:tcW w:w="100" w:type="dxa"/>
            <w:vAlign w:val="bottom"/>
          </w:tcPr>
          <w:p>
            <w:pPr>
              <w:spacing w:after="0"/>
              <w:rPr>
                <w:sz w:val="14"/>
                <w:szCs w:val="14"/>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574,963,592</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514,037,301</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Accumulated other comprehensive income (loss)</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25,265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33,232</w:t>
            </w: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Accumulated deficit</w:t>
            </w:r>
          </w:p>
        </w:tc>
        <w:tc>
          <w:tcPr>
            <w:tcW w:w="20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(460,898,527)</w:t>
            </w: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(432,815,338)</w:t>
            </w:r>
          </w:p>
        </w:tc>
      </w:tr>
      <w:tr>
        <w:trPr>
          <w:trHeight w:val="169"/>
        </w:trPr>
        <w:tc>
          <w:tcPr>
            <w:tcW w:w="7820" w:type="dxa"/>
            <w:vAlign w:val="bottom"/>
            <w:gridSpan w:val="2"/>
          </w:tcPr>
          <w:p>
            <w:pPr>
              <w:ind w:left="620"/>
              <w:spacing w:after="0"/>
              <w:rPr>
                <w:sz w:val="20"/>
                <w:szCs w:val="20"/>
                <w:color w:val="auto"/>
              </w:rPr>
            </w:pPr>
            <w:r>
              <w:rPr>
                <w:rFonts w:ascii="Arial" w:cs="Arial" w:eastAsia="Arial" w:hAnsi="Arial"/>
                <w:sz w:val="14"/>
                <w:szCs w:val="14"/>
                <w:color w:val="auto"/>
              </w:rPr>
              <w:t>Total Arrowhead Pharmaceuticals, Inc. stockholders' equity</w:t>
            </w:r>
          </w:p>
        </w:tc>
        <w:tc>
          <w:tcPr>
            <w:tcW w:w="2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114,270,270</w:t>
            </w: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81,422,350</w:t>
            </w:r>
          </w:p>
        </w:tc>
        <w:tc>
          <w:tcPr>
            <w:tcW w:w="100" w:type="dxa"/>
            <w:vAlign w:val="bottom"/>
          </w:tcPr>
          <w:p>
            <w:pPr>
              <w:spacing w:after="0"/>
              <w:rPr>
                <w:sz w:val="14"/>
                <w:szCs w:val="14"/>
                <w:color w:val="auto"/>
              </w:rPr>
            </w:pPr>
          </w:p>
        </w:tc>
      </w:tr>
      <w:tr>
        <w:trPr>
          <w:trHeight w:val="176"/>
        </w:trPr>
        <w:tc>
          <w:tcPr>
            <w:tcW w:w="78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Noncontrolling interest</w:t>
            </w:r>
          </w:p>
        </w:tc>
        <w:tc>
          <w:tcPr>
            <w:tcW w:w="20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(555,188)</w:t>
            </w: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(555,188)</w:t>
            </w:r>
          </w:p>
        </w:tc>
      </w:tr>
      <w:tr>
        <w:trPr>
          <w:trHeight w:val="169"/>
        </w:trPr>
        <w:tc>
          <w:tcPr>
            <w:tcW w:w="700" w:type="dxa"/>
            <w:vAlign w:val="bottom"/>
            <w:tcBorders>
              <w:bottom w:val="single" w:sz="8" w:color="CFF0FC"/>
            </w:tcBorders>
          </w:tcPr>
          <w:p>
            <w:pPr>
              <w:spacing w:after="0"/>
              <w:rPr>
                <w:sz w:val="14"/>
                <w:szCs w:val="14"/>
                <w:color w:val="auto"/>
              </w:rPr>
            </w:pPr>
          </w:p>
        </w:tc>
        <w:tc>
          <w:tcPr>
            <w:tcW w:w="7120" w:type="dxa"/>
            <w:vAlign w:val="bottom"/>
            <w:tcBorders>
              <w:bottom w:val="single" w:sz="8" w:color="CFF0FC"/>
            </w:tcBorders>
          </w:tcPr>
          <w:p>
            <w:pPr>
              <w:ind w:left="4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113,715,082</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80,867,162</w:t>
            </w:r>
          </w:p>
        </w:tc>
        <w:tc>
          <w:tcPr>
            <w:tcW w:w="100" w:type="dxa"/>
            <w:vAlign w:val="bottom"/>
            <w:tcBorders>
              <w:bottom w:val="single" w:sz="8" w:color="CFF0FC"/>
            </w:tcBorders>
          </w:tcPr>
          <w:p>
            <w:pPr>
              <w:spacing w:after="0"/>
              <w:rPr>
                <w:sz w:val="14"/>
                <w:szCs w:val="14"/>
                <w:color w:val="auto"/>
              </w:rPr>
            </w:pPr>
          </w:p>
        </w:tc>
      </w:tr>
      <w:tr>
        <w:trPr>
          <w:trHeight w:val="169"/>
        </w:trPr>
        <w:tc>
          <w:tcPr>
            <w:tcW w:w="700" w:type="dxa"/>
            <w:vAlign w:val="bottom"/>
            <w:tcBorders>
              <w:bottom w:val="single" w:sz="8" w:color="CFF0FC"/>
            </w:tcBorders>
            <w:shd w:val="clear" w:color="auto" w:fill="CFF0FC"/>
          </w:tcPr>
          <w:p>
            <w:pPr>
              <w:spacing w:after="0"/>
              <w:rPr>
                <w:sz w:val="14"/>
                <w:szCs w:val="14"/>
                <w:color w:val="auto"/>
              </w:rPr>
            </w:pPr>
          </w:p>
        </w:tc>
        <w:tc>
          <w:tcPr>
            <w:tcW w:w="71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b w:val="1"/>
                <w:bCs w:val="1"/>
                <w:color w:val="auto"/>
              </w:rPr>
              <w:t>TOTAL LIABILITIES AND STOCKHOLDERS’ EQUITY</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126,998,915</w:t>
            </w:r>
          </w:p>
        </w:tc>
        <w:tc>
          <w:tcPr>
            <w:tcW w:w="2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104,022,280</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Three Months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Three Months</w:t>
            </w:r>
          </w:p>
        </w:tc>
        <w:tc>
          <w:tcPr>
            <w:tcW w:w="14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Six Months</w:t>
            </w:r>
          </w:p>
        </w:tc>
        <w:tc>
          <w:tcPr>
            <w:tcW w:w="16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Six Months</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ended</w:t>
            </w:r>
          </w:p>
        </w:tc>
        <w:tc>
          <w:tcPr>
            <w:tcW w:w="1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ended</w:t>
            </w:r>
          </w:p>
        </w:tc>
        <w:tc>
          <w:tcPr>
            <w:tcW w:w="16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4"/>
              </w:rPr>
              <w:t>ended</w:t>
            </w:r>
          </w:p>
        </w:tc>
        <w:tc>
          <w:tcPr>
            <w:tcW w:w="0" w:type="dxa"/>
            <w:vAlign w:val="bottom"/>
          </w:tcPr>
          <w:p>
            <w:pPr>
              <w:spacing w:after="0"/>
              <w:rPr>
                <w:sz w:val="1"/>
                <w:szCs w:val="1"/>
                <w:color w:val="auto"/>
              </w:rPr>
            </w:pPr>
          </w:p>
        </w:tc>
      </w:tr>
      <w:tr>
        <w:trPr>
          <w:trHeight w:val="219"/>
        </w:trPr>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March 31, 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March 31, 2017</w:t>
            </w:r>
          </w:p>
        </w:tc>
        <w:tc>
          <w:tcPr>
            <w:tcW w:w="14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4"/>
              </w:rPr>
              <w:t>March 31, 2018</w:t>
            </w:r>
          </w:p>
        </w:tc>
        <w:tc>
          <w:tcPr>
            <w:tcW w:w="13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4"/>
              </w:rPr>
              <w:t>March 31, 2017</w:t>
            </w:r>
          </w:p>
        </w:tc>
        <w:tc>
          <w:tcPr>
            <w:tcW w:w="0" w:type="dxa"/>
            <w:vAlign w:val="bottom"/>
          </w:tcPr>
          <w:p>
            <w:pPr>
              <w:spacing w:after="0"/>
              <w:rPr>
                <w:sz w:val="1"/>
                <w:szCs w:val="1"/>
                <w:color w:val="auto"/>
              </w:rPr>
            </w:pPr>
          </w:p>
        </w:tc>
      </w:tr>
      <w:tr>
        <w:trPr>
          <w:trHeight w:val="226"/>
        </w:trPr>
        <w:tc>
          <w:tcPr>
            <w:tcW w:w="53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650,125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8,985,930</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4,159,946</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13,351,426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12,002,354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11,438,216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24,921,972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26,226,466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3,681,830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3,677,356</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8,085,381</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8,156,491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15,684,184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15,115,572</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33,007,353</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34,382,957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140"/>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(15,034,059)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(6,129,642)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(28,847,407)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(21,031,531)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500"/>
              <w:spacing w:after="0"/>
              <w:rPr>
                <w:sz w:val="20"/>
                <w:szCs w:val="20"/>
                <w:color w:val="auto"/>
              </w:rPr>
            </w:pPr>
            <w:r>
              <w:rPr>
                <w:rFonts w:ascii="Arial" w:cs="Arial" w:eastAsia="Arial" w:hAnsi="Arial"/>
                <w:sz w:val="18"/>
                <w:szCs w:val="18"/>
                <w:color w:val="auto"/>
              </w:rPr>
              <w:t>Interest income (expense), net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168,346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108,744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332,077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133,892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value of derivatives</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(18,598)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(27,383)</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432,141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1,456,448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income (expense)</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5,724</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1,312,524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OTHER INCOME (EXPENSE)</w:t>
            </w:r>
          </w:p>
        </w:tc>
        <w:tc>
          <w:tcPr>
            <w:tcW w:w="1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149,748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87,085</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764,218</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2,902,864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140"/>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(14,884,311)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(6,042,557)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(28,083,189)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w w:val="99"/>
              </w:rPr>
              <w:t>(18,128,667)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(14,884,311)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(6,042,557)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(28,083,189)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w w:val="99"/>
              </w:rPr>
              <w:t>(18,128,667)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 PER SHARE - BASIC &amp; DILUTED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(0.35)</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8"/>
                <w:szCs w:val="18"/>
                <w:color w:val="auto"/>
              </w:rPr>
              <w:t>Weighted average shares outstanding -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84,083,937</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74,629,855</w:t>
            </w: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79,406,838</w:t>
            </w:r>
          </w:p>
        </w:tc>
        <w:tc>
          <w:tcPr>
            <w:tcW w:w="2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73,019,726</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154,464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(7,967)</w:t>
            </w:r>
          </w:p>
        </w:tc>
        <w:tc>
          <w:tcPr>
            <w:tcW w:w="1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(38,144)</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COMPREHENSIVE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(14,882,750)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(5,888,093)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(28,091,156</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(18,166,811</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center"/>
              <w:ind w:right="259"/>
              <w:spacing w:after="0"/>
              <w:rPr>
                <w:sz w:val="20"/>
                <w:szCs w:val="20"/>
                <w:color w:val="auto"/>
              </w:rPr>
            </w:pPr>
            <w:r>
              <w:rPr>
                <w:rFonts w:ascii="Arial" w:cs="Arial" w:eastAsia="Arial" w:hAnsi="Arial"/>
                <w:sz w:val="14"/>
                <w:szCs w:val="14"/>
                <w:b w:val="1"/>
                <w:bCs w:val="1"/>
                <w:color w:val="auto"/>
                <w:w w:val="93"/>
              </w:rPr>
              <w:t>Non-</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Other</w:t>
            </w:r>
          </w:p>
        </w:tc>
        <w:tc>
          <w:tcPr>
            <w:tcW w:w="1160" w:type="dxa"/>
            <w:vAlign w:val="bottom"/>
            <w:gridSpan w:val="2"/>
            <w:vMerge w:val="restart"/>
          </w:tcPr>
          <w:p>
            <w:pPr>
              <w:jc w:val="right"/>
              <w:ind w:right="239"/>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 ($)</w:t>
            </w:r>
          </w:p>
        </w:tc>
        <w:tc>
          <w:tcPr>
            <w:tcW w:w="24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Paid-In</w:t>
            </w:r>
          </w:p>
        </w:tc>
        <w:tc>
          <w:tcPr>
            <w:tcW w:w="12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59"/>
              <w:spacing w:after="0" w:line="149" w:lineRule="exact"/>
              <w:rPr>
                <w:sz w:val="20"/>
                <w:szCs w:val="20"/>
                <w:color w:val="auto"/>
              </w:rPr>
            </w:pPr>
            <w:r>
              <w:rPr>
                <w:rFonts w:ascii="Arial" w:cs="Arial" w:eastAsia="Arial" w:hAnsi="Arial"/>
                <w:sz w:val="14"/>
                <w:szCs w:val="14"/>
                <w:b w:val="1"/>
                <w:bCs w:val="1"/>
                <w:color w:val="auto"/>
                <w:w w:val="91"/>
              </w:rPr>
              <w:t>controlling</w:t>
            </w: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16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00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4"/>
              </w:rPr>
              <w:t>Interest</w:t>
            </w: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September 30, 2017</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74,785,426</w:t>
            </w:r>
          </w:p>
        </w:tc>
        <w:tc>
          <w:tcPr>
            <w:tcW w:w="2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167,155</w:t>
            </w:r>
          </w:p>
        </w:tc>
        <w:tc>
          <w:tcPr>
            <w:tcW w:w="24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514,037,301</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33,232</w:t>
            </w:r>
          </w:p>
        </w:tc>
        <w:tc>
          <w:tcPr>
            <w:tcW w:w="220" w:type="dxa"/>
            <w:vAlign w:val="bottom"/>
            <w:tcBorders>
              <w:top w:val="single" w:sz="8" w:color="CFF0FC"/>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(432,815,338)</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(555,188)</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80,867,162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3,549,354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3,549,354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stock options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79,374</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193,046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193,125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140"/>
              <w:spacing w:after="0"/>
              <w:rPr>
                <w:sz w:val="20"/>
                <w:szCs w:val="20"/>
                <w:color w:val="auto"/>
              </w:rPr>
            </w:pPr>
            <w:r>
              <w:rPr>
                <w:rFonts w:ascii="Arial" w:cs="Arial" w:eastAsia="Arial" w:hAnsi="Arial"/>
                <w:sz w:val="14"/>
                <w:szCs w:val="14"/>
                <w:color w:val="auto"/>
              </w:rPr>
              <w:t>Exercise of warrants</w:t>
            </w:r>
          </w:p>
        </w:tc>
        <w:tc>
          <w:tcPr>
            <w:tcW w:w="840" w:type="dxa"/>
            <w:vAlign w:val="bottom"/>
          </w:tcPr>
          <w:p>
            <w:pPr>
              <w:jc w:val="right"/>
              <w:spacing w:after="0"/>
              <w:rPr>
                <w:sz w:val="20"/>
                <w:szCs w:val="20"/>
                <w:color w:val="auto"/>
              </w:rPr>
            </w:pPr>
            <w:r>
              <w:rPr>
                <w:rFonts w:ascii="Arial" w:cs="Arial" w:eastAsia="Arial" w:hAnsi="Arial"/>
                <w:sz w:val="14"/>
                <w:szCs w:val="14"/>
                <w:color w:val="auto"/>
              </w:rPr>
              <w:t>208,473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666,021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666,230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Common stock- Restricted Stock Units vesting</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997,125</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997</w:t>
            </w:r>
          </w:p>
        </w:tc>
        <w:tc>
          <w:tcPr>
            <w:tcW w:w="122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(55,665)</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(54,668)</w:t>
            </w:r>
          </w:p>
        </w:tc>
        <w:tc>
          <w:tcPr>
            <w:tcW w:w="0" w:type="dxa"/>
            <w:vAlign w:val="bottom"/>
          </w:tcPr>
          <w:p>
            <w:pPr>
              <w:spacing w:after="0"/>
              <w:rPr>
                <w:sz w:val="1"/>
                <w:szCs w:val="1"/>
                <w:color w:val="auto"/>
              </w:rPr>
            </w:pPr>
          </w:p>
        </w:tc>
      </w:tr>
      <w:tr>
        <w:trPr>
          <w:trHeight w:val="143"/>
        </w:trPr>
        <w:tc>
          <w:tcPr>
            <w:tcW w:w="3800" w:type="dxa"/>
            <w:vAlign w:val="bottom"/>
          </w:tcPr>
          <w:p>
            <w:pPr>
              <w:ind w:left="140"/>
              <w:spacing w:after="0" w:line="143" w:lineRule="exact"/>
              <w:rPr>
                <w:sz w:val="20"/>
                <w:szCs w:val="20"/>
                <w:color w:val="auto"/>
              </w:rPr>
            </w:pPr>
            <w:r>
              <w:rPr>
                <w:rFonts w:ascii="Arial" w:cs="Arial" w:eastAsia="Arial" w:hAnsi="Arial"/>
                <w:sz w:val="14"/>
                <w:szCs w:val="14"/>
                <w:color w:val="auto"/>
              </w:rPr>
              <w:t>Common stock issued for cash at $5.25 per share, net of</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00" w:type="dxa"/>
            <w:vAlign w:val="bottom"/>
          </w:tcPr>
          <w:p>
            <w:pPr>
              <w:ind w:left="140"/>
              <w:spacing w:after="0"/>
              <w:rPr>
                <w:sz w:val="20"/>
                <w:szCs w:val="20"/>
                <w:color w:val="auto"/>
              </w:rPr>
            </w:pPr>
            <w:r>
              <w:rPr>
                <w:rFonts w:ascii="Arial" w:cs="Arial" w:eastAsia="Arial" w:hAnsi="Arial"/>
                <w:sz w:val="14"/>
                <w:szCs w:val="14"/>
                <w:color w:val="auto"/>
              </w:rPr>
              <w:t>offering costs</w:t>
            </w:r>
          </w:p>
        </w:tc>
        <w:tc>
          <w:tcPr>
            <w:tcW w:w="840" w:type="dxa"/>
            <w:vAlign w:val="bottom"/>
          </w:tcPr>
          <w:p>
            <w:pPr>
              <w:jc w:val="right"/>
              <w:spacing w:after="0"/>
              <w:rPr>
                <w:sz w:val="20"/>
                <w:szCs w:val="20"/>
                <w:color w:val="auto"/>
              </w:rPr>
            </w:pPr>
            <w:r>
              <w:rPr>
                <w:rFonts w:ascii="Arial" w:cs="Arial" w:eastAsia="Arial" w:hAnsi="Arial"/>
                <w:sz w:val="14"/>
                <w:szCs w:val="14"/>
                <w:color w:val="auto"/>
              </w:rPr>
              <w:t>11,500,000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11,500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56,573,535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56,585,035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(7,967)</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(7,967)</w:t>
            </w:r>
          </w:p>
        </w:tc>
        <w:tc>
          <w:tcPr>
            <w:tcW w:w="0" w:type="dxa"/>
            <w:vAlign w:val="bottom"/>
          </w:tcPr>
          <w:p>
            <w:pPr>
              <w:spacing w:after="0"/>
              <w:rPr>
                <w:sz w:val="1"/>
                <w:szCs w:val="1"/>
                <w:color w:val="auto"/>
              </w:rPr>
            </w:pPr>
          </w:p>
        </w:tc>
      </w:tr>
      <w:tr>
        <w:trPr>
          <w:trHeight w:val="162"/>
        </w:trPr>
        <w:tc>
          <w:tcPr>
            <w:tcW w:w="3800" w:type="dxa"/>
            <w:vAlign w:val="bottom"/>
          </w:tcPr>
          <w:p>
            <w:pPr>
              <w:ind w:left="140"/>
              <w:spacing w:after="0"/>
              <w:rPr>
                <w:sz w:val="20"/>
                <w:szCs w:val="20"/>
                <w:color w:val="auto"/>
              </w:rPr>
            </w:pPr>
            <w:r>
              <w:rPr>
                <w:rFonts w:ascii="Arial" w:cs="Arial" w:eastAsia="Arial" w:hAnsi="Arial"/>
                <w:sz w:val="14"/>
                <w:szCs w:val="14"/>
                <w:color w:val="auto"/>
              </w:rPr>
              <w:t>Net loss for the six months ended March 31, 2018</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60" w:type="dxa"/>
            <w:vAlign w:val="bottom"/>
            <w:gridSpan w:val="2"/>
          </w:tcPr>
          <w:p>
            <w:pPr>
              <w:jc w:val="right"/>
              <w:ind w:right="139"/>
              <w:spacing w:after="0"/>
              <w:rPr>
                <w:sz w:val="20"/>
                <w:szCs w:val="20"/>
                <w:color w:val="auto"/>
              </w:rPr>
            </w:pPr>
            <w:r>
              <w:rPr>
                <w:rFonts w:ascii="Arial" w:cs="Arial" w:eastAsia="Arial" w:hAnsi="Arial"/>
                <w:sz w:val="14"/>
                <w:szCs w:val="14"/>
                <w:color w:val="auto"/>
              </w:rPr>
              <w:t>(28,083,189)</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(28,083,189)</w:t>
            </w:r>
          </w:p>
        </w:tc>
        <w:tc>
          <w:tcPr>
            <w:tcW w:w="0" w:type="dxa"/>
            <w:vAlign w:val="bottom"/>
          </w:tcPr>
          <w:p>
            <w:pPr>
              <w:spacing w:after="0"/>
              <w:rPr>
                <w:sz w:val="1"/>
                <w:szCs w:val="1"/>
                <w:color w:val="auto"/>
              </w:rPr>
            </w:pPr>
          </w:p>
        </w:tc>
      </w:tr>
      <w:tr>
        <w:trPr>
          <w:trHeight w:val="156"/>
        </w:trPr>
        <w:tc>
          <w:tcPr>
            <w:tcW w:w="38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March 31, 2018</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87,570,398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179,940</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$ 574,963,592</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25,265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5"/>
              </w:rPr>
              <w:t>$ (460,898,527</w:t>
            </w:r>
          </w:p>
        </w:tc>
        <w:tc>
          <w:tcPr>
            <w:tcW w:w="220" w:type="dxa"/>
            <w:vAlign w:val="bottom"/>
            <w:tcBorders>
              <w:top w:val="single" w:sz="8" w:color="CFF0FC"/>
              <w:bottom w:val="single" w:sz="8" w:color="CFF0FC"/>
            </w:tcBorders>
            <w:shd w:val="clear" w:color="auto" w:fill="CFF0FC"/>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(555,188</w:t>
            </w:r>
          </w:p>
        </w:tc>
        <w:tc>
          <w:tcPr>
            <w:tcW w:w="220" w:type="dxa"/>
            <w:vAlign w:val="bottom"/>
            <w:tcBorders>
              <w:top w:val="single" w:sz="8" w:color="CFF0FC"/>
              <w:bottom w:val="single" w:sz="8" w:color="CFF0FC"/>
            </w:tcBorders>
            <w:shd w:val="clear" w:color="auto" w:fill="CFF0FC"/>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$ 113,715,082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Six Months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Six Months ended</w:t>
            </w:r>
          </w:p>
        </w:tc>
      </w:tr>
      <w:tr>
        <w:trPr>
          <w:trHeight w:val="171"/>
        </w:trPr>
        <w:tc>
          <w:tcPr>
            <w:tcW w:w="6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 2017</w:t>
            </w:r>
          </w:p>
        </w:tc>
      </w:tr>
      <w:tr>
        <w:trPr>
          <w:trHeight w:val="156"/>
        </w:trPr>
        <w:tc>
          <w:tcPr>
            <w:tcW w:w="6060" w:type="dxa"/>
            <w:vAlign w:val="bottom"/>
            <w:tcBorders>
              <w:top w:val="single" w:sz="8" w:color="CFF0FC"/>
            </w:tcBorders>
            <w:shd w:val="clear" w:color="auto" w:fill="CFF0FC"/>
          </w:tcPr>
          <w:p>
            <w:pPr>
              <w:ind w:left="140"/>
              <w:spacing w:after="0" w:line="155" w:lineRule="exact"/>
              <w:rPr>
                <w:sz w:val="20"/>
                <w:szCs w:val="20"/>
                <w:color w:val="auto"/>
              </w:rPr>
            </w:pPr>
            <w:r>
              <w:rPr>
                <w:rFonts w:ascii="Arial" w:cs="Arial" w:eastAsia="Arial" w:hAnsi="Arial"/>
                <w:sz w:val="14"/>
                <w:szCs w:val="14"/>
                <w:color w:val="auto"/>
              </w:rPr>
              <w:t>CASH FLOWS FROM OPERATING ACTIVITIES:</w:t>
            </w:r>
          </w:p>
        </w:tc>
        <w:tc>
          <w:tcPr>
            <w:tcW w:w="16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r>
      <w:tr>
        <w:trPr>
          <w:trHeight w:val="162"/>
        </w:trPr>
        <w:tc>
          <w:tcPr>
            <w:tcW w:w="6060" w:type="dxa"/>
            <w:vAlign w:val="bottom"/>
          </w:tcPr>
          <w:p>
            <w:pPr>
              <w:ind w:left="380"/>
              <w:spacing w:after="0"/>
              <w:rPr>
                <w:sz w:val="20"/>
                <w:szCs w:val="20"/>
                <w:color w:val="auto"/>
              </w:rPr>
            </w:pPr>
            <w:r>
              <w:rPr>
                <w:rFonts w:ascii="Arial" w:cs="Arial" w:eastAsia="Arial" w:hAnsi="Arial"/>
                <w:sz w:val="14"/>
                <w:szCs w:val="14"/>
                <w:color w:val="auto"/>
              </w:rPr>
              <w:t>Net loss</w:t>
            </w:r>
          </w:p>
        </w:tc>
        <w:tc>
          <w:tcPr>
            <w:tcW w:w="18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120"/>
              <w:spacing w:after="0"/>
              <w:rPr>
                <w:sz w:val="20"/>
                <w:szCs w:val="20"/>
                <w:color w:val="auto"/>
              </w:rPr>
            </w:pPr>
            <w:r>
              <w:rPr>
                <w:rFonts w:ascii="Arial" w:cs="Arial" w:eastAsia="Arial" w:hAnsi="Arial"/>
                <w:sz w:val="14"/>
                <w:szCs w:val="14"/>
                <w:color w:val="auto"/>
              </w:rPr>
              <w:t>(28,083,189)</w:t>
            </w:r>
          </w:p>
        </w:tc>
        <w:tc>
          <w:tcPr>
            <w:tcW w:w="2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(18,128,667)</w:t>
            </w:r>
          </w:p>
        </w:tc>
      </w:tr>
      <w:tr>
        <w:trPr>
          <w:trHeight w:val="176"/>
        </w:trPr>
        <w:tc>
          <w:tcPr>
            <w:tcW w:w="60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 in value of derivatives</w:t>
            </w:r>
          </w:p>
        </w:tc>
        <w:tc>
          <w:tcPr>
            <w:tcW w:w="1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(432,141)</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(1,456,448)</w:t>
            </w:r>
          </w:p>
        </w:tc>
      </w:tr>
      <w:tr>
        <w:trPr>
          <w:trHeight w:val="176"/>
        </w:trPr>
        <w:tc>
          <w:tcPr>
            <w:tcW w:w="606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3,549,354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4,168,673</w:t>
            </w:r>
          </w:p>
        </w:tc>
        <w:tc>
          <w:tcPr>
            <w:tcW w:w="300" w:type="dxa"/>
            <w:vAlign w:val="bottom"/>
          </w:tcPr>
          <w:p>
            <w:pPr>
              <w:spacing w:after="0"/>
              <w:rPr>
                <w:sz w:val="15"/>
                <w:szCs w:val="15"/>
                <w:color w:val="auto"/>
              </w:rPr>
            </w:pPr>
          </w:p>
        </w:tc>
      </w:tr>
      <w:tr>
        <w:trPr>
          <w:trHeight w:val="162"/>
        </w:trPr>
        <w:tc>
          <w:tcPr>
            <w:tcW w:w="60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Depreciation and amortization</w:t>
            </w:r>
          </w:p>
        </w:tc>
        <w:tc>
          <w:tcPr>
            <w:tcW w:w="1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2,294,639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2,373,255</w:t>
            </w:r>
          </w:p>
        </w:tc>
        <w:tc>
          <w:tcPr>
            <w:tcW w:w="300" w:type="dxa"/>
            <w:vAlign w:val="bottom"/>
            <w:shd w:val="clear" w:color="auto" w:fill="CFF0FC"/>
          </w:tcPr>
          <w:p>
            <w:pPr>
              <w:spacing w:after="0"/>
              <w:rPr>
                <w:sz w:val="14"/>
                <w:szCs w:val="14"/>
                <w:color w:val="auto"/>
              </w:rPr>
            </w:pPr>
          </w:p>
        </w:tc>
      </w:tr>
      <w:tr>
        <w:trPr>
          <w:trHeight w:val="162"/>
        </w:trPr>
        <w:tc>
          <w:tcPr>
            <w:tcW w:w="6060" w:type="dxa"/>
            <w:vAlign w:val="bottom"/>
          </w:tcPr>
          <w:p>
            <w:pPr>
              <w:ind w:left="380"/>
              <w:spacing w:after="0"/>
              <w:rPr>
                <w:sz w:val="20"/>
                <w:szCs w:val="20"/>
                <w:color w:val="auto"/>
              </w:rPr>
            </w:pPr>
            <w:r>
              <w:rPr>
                <w:rFonts w:ascii="Arial" w:cs="Arial" w:eastAsia="Arial" w:hAnsi="Arial"/>
                <w:sz w:val="14"/>
                <w:szCs w:val="14"/>
                <w:color w:val="auto"/>
              </w:rPr>
              <w:t>Amortization/(accretion) of note premiums</w:t>
            </w: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346,339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(64,387)</w:t>
            </w:r>
          </w:p>
        </w:tc>
      </w:tr>
      <w:tr>
        <w:trPr>
          <w:trHeight w:val="162"/>
        </w:trPr>
        <w:tc>
          <w:tcPr>
            <w:tcW w:w="60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1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r>
      <w:tr>
        <w:trPr>
          <w:trHeight w:val="162"/>
        </w:trPr>
        <w:tc>
          <w:tcPr>
            <w:tcW w:w="6060" w:type="dxa"/>
            <w:vAlign w:val="bottom"/>
          </w:tcPr>
          <w:p>
            <w:pPr>
              <w:ind w:left="620"/>
              <w:spacing w:after="0"/>
              <w:rPr>
                <w:sz w:val="20"/>
                <w:szCs w:val="20"/>
                <w:color w:val="auto"/>
              </w:rPr>
            </w:pPr>
            <w:r>
              <w:rPr>
                <w:rFonts w:ascii="Arial" w:cs="Arial" w:eastAsia="Arial" w:hAnsi="Arial"/>
                <w:sz w:val="14"/>
                <w:szCs w:val="14"/>
                <w:color w:val="auto"/>
              </w:rPr>
              <w:t>Accounts receivable</w:t>
            </w: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51,510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(505,825)</w:t>
            </w:r>
          </w:p>
        </w:tc>
      </w:tr>
      <w:tr>
        <w:trPr>
          <w:trHeight w:val="162"/>
        </w:trPr>
        <w:tc>
          <w:tcPr>
            <w:tcW w:w="6060" w:type="dxa"/>
            <w:vAlign w:val="bottom"/>
            <w:shd w:val="clear" w:color="auto" w:fill="CFF0FC"/>
          </w:tcPr>
          <w:p>
            <w:pPr>
              <w:ind w:left="620"/>
              <w:spacing w:after="0"/>
              <w:rPr>
                <w:sz w:val="20"/>
                <w:szCs w:val="20"/>
                <w:color w:val="auto"/>
              </w:rPr>
            </w:pPr>
            <w:r>
              <w:rPr>
                <w:rFonts w:ascii="Arial" w:cs="Arial" w:eastAsia="Arial" w:hAnsi="Arial"/>
                <w:sz w:val="14"/>
                <w:szCs w:val="14"/>
                <w:color w:val="auto"/>
              </w:rPr>
              <w:t>Prepaid expenses and Other Current Assets</w:t>
            </w:r>
          </w:p>
        </w:tc>
        <w:tc>
          <w:tcPr>
            <w:tcW w:w="1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1,225,562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2,524,107</w:t>
            </w:r>
          </w:p>
        </w:tc>
        <w:tc>
          <w:tcPr>
            <w:tcW w:w="300" w:type="dxa"/>
            <w:vAlign w:val="bottom"/>
            <w:shd w:val="clear" w:color="auto" w:fill="CFF0FC"/>
          </w:tcPr>
          <w:p>
            <w:pPr>
              <w:spacing w:after="0"/>
              <w:rPr>
                <w:sz w:val="14"/>
                <w:szCs w:val="14"/>
                <w:color w:val="auto"/>
              </w:rPr>
            </w:pPr>
          </w:p>
        </w:tc>
      </w:tr>
      <w:tr>
        <w:trPr>
          <w:trHeight w:val="162"/>
        </w:trPr>
        <w:tc>
          <w:tcPr>
            <w:tcW w:w="6060" w:type="dxa"/>
            <w:vAlign w:val="bottom"/>
          </w:tcPr>
          <w:p>
            <w:pPr>
              <w:ind w:left="620"/>
              <w:spacing w:after="0"/>
              <w:rPr>
                <w:sz w:val="20"/>
                <w:szCs w:val="20"/>
                <w:color w:val="auto"/>
              </w:rPr>
            </w:pPr>
            <w:r>
              <w:rPr>
                <w:rFonts w:ascii="Arial" w:cs="Arial" w:eastAsia="Arial" w:hAnsi="Arial"/>
                <w:sz w:val="14"/>
                <w:szCs w:val="14"/>
                <w:color w:val="auto"/>
              </w:rPr>
              <w:t>Deferred revenue</w:t>
            </w: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4"/>
                <w:szCs w:val="14"/>
                <w:color w:val="auto"/>
              </w:rPr>
              <w:t>(3,704,740)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17,307,431</w:t>
            </w:r>
          </w:p>
        </w:tc>
        <w:tc>
          <w:tcPr>
            <w:tcW w:w="300" w:type="dxa"/>
            <w:vAlign w:val="bottom"/>
          </w:tcPr>
          <w:p>
            <w:pPr>
              <w:spacing w:after="0"/>
              <w:rPr>
                <w:sz w:val="14"/>
                <w:szCs w:val="14"/>
                <w:color w:val="auto"/>
              </w:rPr>
            </w:pPr>
          </w:p>
        </w:tc>
      </w:tr>
      <w:tr>
        <w:trPr>
          <w:trHeight w:val="162"/>
        </w:trPr>
        <w:tc>
          <w:tcPr>
            <w:tcW w:w="6060" w:type="dxa"/>
            <w:vAlign w:val="bottom"/>
            <w:shd w:val="clear" w:color="auto" w:fill="CFF0FC"/>
          </w:tcPr>
          <w:p>
            <w:pPr>
              <w:ind w:left="620"/>
              <w:spacing w:after="0"/>
              <w:rPr>
                <w:sz w:val="20"/>
                <w:szCs w:val="20"/>
                <w:color w:val="auto"/>
              </w:rPr>
            </w:pPr>
            <w:r>
              <w:rPr>
                <w:rFonts w:ascii="Arial" w:cs="Arial" w:eastAsia="Arial" w:hAnsi="Arial"/>
                <w:sz w:val="14"/>
                <w:szCs w:val="14"/>
                <w:color w:val="auto"/>
              </w:rPr>
              <w:t>Accounts payable</w:t>
            </w:r>
          </w:p>
        </w:tc>
        <w:tc>
          <w:tcPr>
            <w:tcW w:w="1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(2,266,082)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(4,988,620)</w:t>
            </w:r>
          </w:p>
        </w:tc>
      </w:tr>
      <w:tr>
        <w:trPr>
          <w:trHeight w:val="162"/>
        </w:trPr>
        <w:tc>
          <w:tcPr>
            <w:tcW w:w="6060" w:type="dxa"/>
            <w:vAlign w:val="bottom"/>
          </w:tcPr>
          <w:p>
            <w:pPr>
              <w:ind w:left="620"/>
              <w:spacing w:after="0"/>
              <w:rPr>
                <w:sz w:val="20"/>
                <w:szCs w:val="20"/>
                <w:color w:val="auto"/>
              </w:rPr>
            </w:pPr>
            <w:r>
              <w:rPr>
                <w:rFonts w:ascii="Arial" w:cs="Arial" w:eastAsia="Arial" w:hAnsi="Arial"/>
                <w:sz w:val="14"/>
                <w:szCs w:val="14"/>
                <w:color w:val="auto"/>
              </w:rPr>
              <w:t>Accrued expenses</w:t>
            </w: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4"/>
                <w:szCs w:val="14"/>
                <w:color w:val="auto"/>
              </w:rPr>
              <w:t>(2,918,752)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(5,415,933)</w:t>
            </w:r>
          </w:p>
        </w:tc>
      </w:tr>
      <w:tr>
        <w:trPr>
          <w:trHeight w:val="162"/>
        </w:trPr>
        <w:tc>
          <w:tcPr>
            <w:tcW w:w="6060" w:type="dxa"/>
            <w:vAlign w:val="bottom"/>
            <w:shd w:val="clear" w:color="auto" w:fill="CFF0FC"/>
          </w:tcPr>
          <w:p>
            <w:pPr>
              <w:ind w:left="620"/>
              <w:spacing w:after="0"/>
              <w:rPr>
                <w:sz w:val="20"/>
                <w:szCs w:val="20"/>
                <w:color w:val="auto"/>
              </w:rPr>
            </w:pPr>
            <w:r>
              <w:rPr>
                <w:rFonts w:ascii="Arial" w:cs="Arial" w:eastAsia="Arial" w:hAnsi="Arial"/>
                <w:sz w:val="14"/>
                <w:szCs w:val="14"/>
                <w:color w:val="auto"/>
              </w:rPr>
              <w:t>Other</w:t>
            </w:r>
          </w:p>
        </w:tc>
        <w:tc>
          <w:tcPr>
            <w:tcW w:w="1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(196,434)</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(139,452)</w:t>
            </w:r>
          </w:p>
        </w:tc>
      </w:tr>
      <w:tr>
        <w:trPr>
          <w:trHeight w:val="156"/>
        </w:trPr>
        <w:tc>
          <w:tcPr>
            <w:tcW w:w="6060" w:type="dxa"/>
            <w:vAlign w:val="bottom"/>
          </w:tcPr>
          <w:p>
            <w:pPr>
              <w:ind w:left="380"/>
              <w:spacing w:after="0" w:line="155" w:lineRule="exact"/>
              <w:rPr>
                <w:sz w:val="20"/>
                <w:szCs w:val="20"/>
                <w:color w:val="auto"/>
              </w:rPr>
            </w:pPr>
            <w:r>
              <w:rPr>
                <w:rFonts w:ascii="Arial" w:cs="Arial" w:eastAsia="Arial" w:hAnsi="Arial"/>
                <w:sz w:val="14"/>
                <w:szCs w:val="14"/>
                <w:color w:val="auto"/>
              </w:rPr>
              <w:t>NET CASH (USED IN) OPERATING ACTIVITIES</w:t>
            </w:r>
          </w:p>
        </w:tc>
        <w:tc>
          <w:tcPr>
            <w:tcW w:w="16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(30,133,934)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(4,325,866)</w:t>
            </w:r>
          </w:p>
        </w:tc>
        <w:tc>
          <w:tcPr>
            <w:tcW w:w="300" w:type="dxa"/>
            <w:vAlign w:val="bottom"/>
          </w:tcPr>
          <w:p>
            <w:pPr>
              <w:spacing w:after="0"/>
              <w:rPr>
                <w:sz w:val="13"/>
                <w:szCs w:val="13"/>
                <w:color w:val="auto"/>
              </w:rPr>
            </w:pPr>
          </w:p>
        </w:tc>
      </w:tr>
      <w:tr>
        <w:trPr>
          <w:trHeight w:val="162"/>
        </w:trPr>
        <w:tc>
          <w:tcPr>
            <w:tcW w:w="60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FLOWS FROM INVESTING ACTIVITIES:</w:t>
            </w:r>
          </w:p>
        </w:tc>
        <w:tc>
          <w:tcPr>
            <w:tcW w:w="1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r>
      <w:tr>
        <w:trPr>
          <w:trHeight w:val="162"/>
        </w:trPr>
        <w:tc>
          <w:tcPr>
            <w:tcW w:w="6060" w:type="dxa"/>
            <w:vAlign w:val="bottom"/>
          </w:tcPr>
          <w:p>
            <w:pPr>
              <w:ind w:left="380"/>
              <w:spacing w:after="0"/>
              <w:rPr>
                <w:sz w:val="20"/>
                <w:szCs w:val="20"/>
                <w:color w:val="auto"/>
              </w:rPr>
            </w:pPr>
            <w:r>
              <w:rPr>
                <w:rFonts w:ascii="Arial" w:cs="Arial" w:eastAsia="Arial" w:hAnsi="Arial"/>
                <w:sz w:val="14"/>
                <w:szCs w:val="14"/>
                <w:color w:val="auto"/>
              </w:rPr>
              <w:t>Purchases of property and equipment</w:t>
            </w: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4"/>
                <w:szCs w:val="14"/>
                <w:color w:val="auto"/>
              </w:rPr>
              <w:t>(513,719)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(6,653,158)</w:t>
            </w:r>
          </w:p>
        </w:tc>
      </w:tr>
      <w:tr>
        <w:trPr>
          <w:trHeight w:val="162"/>
        </w:trPr>
        <w:tc>
          <w:tcPr>
            <w:tcW w:w="60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Purchases of marketable securities</w:t>
            </w:r>
          </w:p>
        </w:tc>
        <w:tc>
          <w:tcPr>
            <w:tcW w:w="1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(5,018,040)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(24,846,105)</w:t>
            </w:r>
          </w:p>
        </w:tc>
      </w:tr>
      <w:tr>
        <w:trPr>
          <w:trHeight w:val="162"/>
        </w:trPr>
        <w:tc>
          <w:tcPr>
            <w:tcW w:w="6060" w:type="dxa"/>
            <w:vAlign w:val="bottom"/>
            <w:tcBorders>
              <w:bottom w:val="single" w:sz="8" w:color="CFF0FC"/>
            </w:tcBorders>
          </w:tcPr>
          <w:p>
            <w:pPr>
              <w:ind w:left="380"/>
              <w:spacing w:after="0"/>
              <w:rPr>
                <w:sz w:val="20"/>
                <w:szCs w:val="20"/>
                <w:color w:val="auto"/>
              </w:rPr>
            </w:pPr>
            <w:r>
              <w:rPr>
                <w:rFonts w:ascii="Arial" w:cs="Arial" w:eastAsia="Arial" w:hAnsi="Arial"/>
                <w:sz w:val="14"/>
                <w:szCs w:val="14"/>
                <w:color w:val="auto"/>
              </w:rPr>
              <w:t>Proceeds from sale of marketable securities</w:t>
            </w:r>
          </w:p>
        </w:tc>
        <w:tc>
          <w:tcPr>
            <w:tcW w:w="16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23,704,420</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FF0FC"/>
            </w:tcBorders>
          </w:tcPr>
          <w:p>
            <w:pPr>
              <w:spacing w:after="0"/>
              <w:rPr>
                <w:sz w:val="14"/>
                <w:szCs w:val="14"/>
                <w:color w:val="auto"/>
              </w:rPr>
            </w:pPr>
          </w:p>
        </w:tc>
      </w:tr>
      <w:tr>
        <w:trPr>
          <w:trHeight w:val="156"/>
        </w:trPr>
        <w:tc>
          <w:tcPr>
            <w:tcW w:w="606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1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18,172,661</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(31,499,263)</w:t>
            </w:r>
          </w:p>
        </w:tc>
        <w:tc>
          <w:tcPr>
            <w:tcW w:w="300" w:type="dxa"/>
            <w:vAlign w:val="bottom"/>
            <w:shd w:val="clear" w:color="auto" w:fill="CFF0FC"/>
          </w:tcPr>
          <w:p>
            <w:pPr>
              <w:spacing w:after="0"/>
              <w:rPr>
                <w:sz w:val="13"/>
                <w:szCs w:val="13"/>
                <w:color w:val="auto"/>
              </w:rPr>
            </w:pPr>
          </w:p>
        </w:tc>
      </w:tr>
      <w:tr>
        <w:trPr>
          <w:trHeight w:val="162"/>
        </w:trPr>
        <w:tc>
          <w:tcPr>
            <w:tcW w:w="6060" w:type="dxa"/>
            <w:vAlign w:val="bottom"/>
          </w:tcPr>
          <w:p>
            <w:pPr>
              <w:ind w:left="140"/>
              <w:spacing w:after="0"/>
              <w:rPr>
                <w:sz w:val="20"/>
                <w:szCs w:val="20"/>
                <w:color w:val="auto"/>
              </w:rPr>
            </w:pPr>
            <w:r>
              <w:rPr>
                <w:rFonts w:ascii="Arial" w:cs="Arial" w:eastAsia="Arial" w:hAnsi="Arial"/>
                <w:sz w:val="14"/>
                <w:szCs w:val="14"/>
                <w:color w:val="auto"/>
              </w:rPr>
              <w:t>CASH FLOWS FROM FINANCING ACTIVITIES:</w:t>
            </w: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2"/>
        </w:trPr>
        <w:tc>
          <w:tcPr>
            <w:tcW w:w="60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Principal payments on notes payable</w:t>
            </w:r>
          </w:p>
        </w:tc>
        <w:tc>
          <w:tcPr>
            <w:tcW w:w="1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(102,406)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(97,145)</w:t>
            </w:r>
          </w:p>
        </w:tc>
      </w:tr>
      <w:tr>
        <w:trPr>
          <w:trHeight w:val="162"/>
        </w:trPr>
        <w:tc>
          <w:tcPr>
            <w:tcW w:w="6060" w:type="dxa"/>
            <w:vAlign w:val="bottom"/>
          </w:tcPr>
          <w:p>
            <w:pPr>
              <w:ind w:left="380"/>
              <w:spacing w:after="0"/>
              <w:rPr>
                <w:sz w:val="20"/>
                <w:szCs w:val="20"/>
                <w:color w:val="auto"/>
              </w:rPr>
            </w:pPr>
            <w:r>
              <w:rPr>
                <w:rFonts w:ascii="Arial" w:cs="Arial" w:eastAsia="Arial" w:hAnsi="Arial"/>
                <w:sz w:val="14"/>
                <w:szCs w:val="14"/>
                <w:color w:val="auto"/>
              </w:rPr>
              <w:t>Payments of taxes for net share settled restricted stock unit issuances</w:t>
            </w: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4"/>
                <w:szCs w:val="14"/>
                <w:color w:val="auto"/>
              </w:rPr>
              <w:t>(54,667)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(417,140)</w:t>
            </w:r>
          </w:p>
        </w:tc>
      </w:tr>
      <w:tr>
        <w:trPr>
          <w:trHeight w:val="162"/>
        </w:trPr>
        <w:tc>
          <w:tcPr>
            <w:tcW w:w="60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the exercises of warrants and stock options</w:t>
            </w:r>
          </w:p>
        </w:tc>
        <w:tc>
          <w:tcPr>
            <w:tcW w:w="1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499,861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r>
      <w:tr>
        <w:trPr>
          <w:trHeight w:val="162"/>
        </w:trPr>
        <w:tc>
          <w:tcPr>
            <w:tcW w:w="6060" w:type="dxa"/>
            <w:vAlign w:val="bottom"/>
            <w:tcBorders>
              <w:bottom w:val="single" w:sz="8" w:color="CFF0FC"/>
            </w:tcBorders>
          </w:tcPr>
          <w:p>
            <w:pPr>
              <w:ind w:left="380"/>
              <w:spacing w:after="0"/>
              <w:rPr>
                <w:sz w:val="20"/>
                <w:szCs w:val="20"/>
                <w:color w:val="auto"/>
              </w:rPr>
            </w:pPr>
            <w:r>
              <w:rPr>
                <w:rFonts w:ascii="Arial" w:cs="Arial" w:eastAsia="Arial" w:hAnsi="Arial"/>
                <w:sz w:val="14"/>
                <w:szCs w:val="14"/>
                <w:color w:val="auto"/>
              </w:rPr>
              <w:t>Proceeds from the issuance of common stock</w:t>
            </w:r>
          </w:p>
        </w:tc>
        <w:tc>
          <w:tcPr>
            <w:tcW w:w="16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56,585,035</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12,691,937</w:t>
            </w:r>
          </w:p>
        </w:tc>
        <w:tc>
          <w:tcPr>
            <w:tcW w:w="300" w:type="dxa"/>
            <w:vAlign w:val="bottom"/>
            <w:tcBorders>
              <w:bottom w:val="single" w:sz="8" w:color="CFF0FC"/>
            </w:tcBorders>
          </w:tcPr>
          <w:p>
            <w:pPr>
              <w:spacing w:after="0"/>
              <w:rPr>
                <w:sz w:val="14"/>
                <w:szCs w:val="14"/>
                <w:color w:val="auto"/>
              </w:rPr>
            </w:pPr>
          </w:p>
        </w:tc>
      </w:tr>
      <w:tr>
        <w:trPr>
          <w:trHeight w:val="156"/>
        </w:trPr>
        <w:tc>
          <w:tcPr>
            <w:tcW w:w="606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1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56,927,823</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12,177,652</w:t>
            </w:r>
          </w:p>
        </w:tc>
        <w:tc>
          <w:tcPr>
            <w:tcW w:w="300" w:type="dxa"/>
            <w:vAlign w:val="bottom"/>
            <w:shd w:val="clear" w:color="auto" w:fill="CFF0FC"/>
          </w:tcPr>
          <w:p>
            <w:pPr>
              <w:spacing w:after="0"/>
              <w:rPr>
                <w:sz w:val="13"/>
                <w:szCs w:val="13"/>
                <w:color w:val="auto"/>
              </w:rPr>
            </w:pPr>
          </w:p>
        </w:tc>
      </w:tr>
      <w:tr>
        <w:trPr>
          <w:trHeight w:val="162"/>
        </w:trPr>
        <w:tc>
          <w:tcPr>
            <w:tcW w:w="6060" w:type="dxa"/>
            <w:vAlign w:val="bottom"/>
          </w:tcPr>
          <w:p>
            <w:pPr>
              <w:ind w:left="380"/>
              <w:spacing w:after="0"/>
              <w:rPr>
                <w:sz w:val="20"/>
                <w:szCs w:val="20"/>
                <w:color w:val="auto"/>
              </w:rPr>
            </w:pPr>
            <w:r>
              <w:rPr>
                <w:rFonts w:ascii="Arial" w:cs="Arial" w:eastAsia="Arial" w:hAnsi="Arial"/>
                <w:sz w:val="14"/>
                <w:szCs w:val="14"/>
                <w:color w:val="auto"/>
              </w:rPr>
              <w:t>NET INCREASE (DECREASE) IN CASH</w:t>
            </w: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44,966,550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(23,647,477)</w:t>
            </w:r>
          </w:p>
        </w:tc>
      </w:tr>
      <w:tr>
        <w:trPr>
          <w:trHeight w:val="162"/>
        </w:trPr>
        <w:tc>
          <w:tcPr>
            <w:tcW w:w="60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AT BEGINNING OF PERIOD</w:t>
            </w:r>
          </w:p>
        </w:tc>
        <w:tc>
          <w:tcPr>
            <w:tcW w:w="16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24,838,567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85,366,448</w:t>
            </w:r>
          </w:p>
        </w:tc>
        <w:tc>
          <w:tcPr>
            <w:tcW w:w="300" w:type="dxa"/>
            <w:vAlign w:val="bottom"/>
            <w:shd w:val="clear" w:color="auto" w:fill="CFF0FC"/>
          </w:tcPr>
          <w:p>
            <w:pPr>
              <w:spacing w:after="0"/>
              <w:rPr>
                <w:sz w:val="14"/>
                <w:szCs w:val="14"/>
                <w:color w:val="auto"/>
              </w:rPr>
            </w:pPr>
          </w:p>
        </w:tc>
      </w:tr>
      <w:tr>
        <w:trPr>
          <w:trHeight w:val="196"/>
        </w:trPr>
        <w:tc>
          <w:tcPr>
            <w:tcW w:w="6060" w:type="dxa"/>
            <w:vAlign w:val="bottom"/>
            <w:tcBorders>
              <w:bottom w:val="single" w:sz="8" w:color="CFF0FC"/>
            </w:tcBorders>
          </w:tcPr>
          <w:p>
            <w:pPr>
              <w:ind w:left="140"/>
              <w:spacing w:after="0" w:line="155" w:lineRule="exact"/>
              <w:rPr>
                <w:sz w:val="20"/>
                <w:szCs w:val="20"/>
                <w:color w:val="auto"/>
              </w:rPr>
            </w:pPr>
            <w:r>
              <w:rPr>
                <w:rFonts w:ascii="Arial" w:cs="Arial" w:eastAsia="Arial" w:hAnsi="Arial"/>
                <w:sz w:val="14"/>
                <w:szCs w:val="14"/>
                <w:color w:val="auto"/>
              </w:rPr>
              <w:t>CASH AT END OF PERIOD</w:t>
            </w:r>
          </w:p>
        </w:tc>
        <w:tc>
          <w:tcPr>
            <w:tcW w:w="16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69,805,117</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61,718,971</w:t>
            </w:r>
          </w:p>
        </w:tc>
        <w:tc>
          <w:tcPr>
            <w:tcW w:w="300" w:type="dxa"/>
            <w:vAlign w:val="bottom"/>
            <w:tcBorders>
              <w:bottom w:val="single" w:sz="8" w:color="CFF0FC"/>
            </w:tcBorders>
          </w:tcPr>
          <w:p>
            <w:pPr>
              <w:spacing w:after="0"/>
              <w:rPr>
                <w:sz w:val="17"/>
                <w:szCs w:val="17"/>
                <w:color w:val="auto"/>
              </w:rPr>
            </w:pPr>
          </w:p>
        </w:tc>
      </w:tr>
      <w:tr>
        <w:trPr>
          <w:trHeight w:val="143"/>
        </w:trPr>
        <w:tc>
          <w:tcPr>
            <w:tcW w:w="606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Supplementary disclosures:</w:t>
            </w:r>
          </w:p>
        </w:tc>
        <w:tc>
          <w:tcPr>
            <w:tcW w:w="1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r>
      <w:tr>
        <w:trPr>
          <w:trHeight w:val="162"/>
        </w:trPr>
        <w:tc>
          <w:tcPr>
            <w:tcW w:w="6060" w:type="dxa"/>
            <w:vAlign w:val="bottom"/>
          </w:tcPr>
          <w:p>
            <w:pPr>
              <w:ind w:left="380"/>
              <w:spacing w:after="0"/>
              <w:rPr>
                <w:sz w:val="20"/>
                <w:szCs w:val="20"/>
                <w:color w:val="auto"/>
              </w:rPr>
            </w:pPr>
            <w:r>
              <w:rPr>
                <w:rFonts w:ascii="Arial" w:cs="Arial" w:eastAsia="Arial" w:hAnsi="Arial"/>
                <w:sz w:val="14"/>
                <w:szCs w:val="14"/>
                <w:color w:val="auto"/>
              </w:rPr>
              <w:t>Interest Paid</w:t>
            </w:r>
          </w:p>
        </w:tc>
        <w:tc>
          <w:tcPr>
            <w:tcW w:w="18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120"/>
              <w:spacing w:after="0"/>
              <w:rPr>
                <w:sz w:val="20"/>
                <w:szCs w:val="20"/>
                <w:color w:val="auto"/>
              </w:rPr>
            </w:pPr>
            <w:r>
              <w:rPr>
                <w:rFonts w:ascii="Arial" w:cs="Arial" w:eastAsia="Arial" w:hAnsi="Arial"/>
                <w:sz w:val="14"/>
                <w:szCs w:val="14"/>
                <w:color w:val="auto"/>
              </w:rPr>
              <w:t>(88,537)</w:t>
            </w:r>
          </w:p>
        </w:tc>
        <w:tc>
          <w:tcPr>
            <w:tcW w:w="2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(95,544)</w:t>
            </w:r>
          </w:p>
        </w:tc>
      </w:tr>
      <w:tr>
        <w:trPr>
          <w:trHeight w:val="162"/>
        </w:trPr>
        <w:tc>
          <w:tcPr>
            <w:tcW w:w="60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Tax Credits Refunded</w:t>
            </w:r>
          </w:p>
        </w:tc>
        <w:tc>
          <w:tcPr>
            <w:tcW w:w="18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3,635,016</w:t>
            </w:r>
          </w:p>
        </w:tc>
        <w:tc>
          <w:tcPr>
            <w:tcW w:w="300" w:type="dxa"/>
            <w:vAlign w:val="bottom"/>
            <w:shd w:val="clear" w:color="auto" w:fill="CFF0FC"/>
          </w:tcPr>
          <w:p>
            <w:pPr>
              <w:spacing w:after="0"/>
              <w:rPr>
                <w:sz w:val="14"/>
                <w:szCs w:val="14"/>
                <w:color w:val="auto"/>
              </w:rPr>
            </w:pPr>
          </w:p>
        </w:tc>
      </w:tr>
      <w:tr>
        <w:trPr>
          <w:trHeight w:val="182"/>
        </w:trPr>
        <w:tc>
          <w:tcPr>
            <w:tcW w:w="6060" w:type="dxa"/>
            <w:vAlign w:val="bottom"/>
          </w:tcPr>
          <w:p>
            <w:pPr>
              <w:ind w:left="380"/>
              <w:spacing w:after="0"/>
              <w:rPr>
                <w:sz w:val="20"/>
                <w:szCs w:val="20"/>
                <w:color w:val="auto"/>
              </w:rPr>
            </w:pPr>
            <w:r>
              <w:rPr>
                <w:rFonts w:ascii="Arial" w:cs="Arial" w:eastAsia="Arial" w:hAnsi="Arial"/>
                <w:sz w:val="14"/>
                <w:szCs w:val="14"/>
                <w:color w:val="auto"/>
              </w:rPr>
              <w:t>Income Tax Paid</w:t>
            </w:r>
          </w:p>
        </w:tc>
        <w:tc>
          <w:tcPr>
            <w:tcW w:w="18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120"/>
              <w:spacing w:after="0"/>
              <w:rPr>
                <w:sz w:val="20"/>
                <w:szCs w:val="20"/>
                <w:color w:val="auto"/>
              </w:rPr>
            </w:pPr>
            <w:r>
              <w:rPr>
                <w:rFonts w:ascii="Arial" w:cs="Arial" w:eastAsia="Arial" w:hAnsi="Arial"/>
                <w:sz w:val="14"/>
                <w:szCs w:val="14"/>
                <w:color w:val="auto"/>
              </w:rPr>
              <w:t>(2,400)</w:t>
            </w:r>
          </w:p>
        </w:tc>
        <w:tc>
          <w:tcPr>
            <w:tcW w:w="2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(2,400)</w:t>
            </w: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(6) the term “Stockholder(s)” refers to the holders of Arrowhead Common Stock.</w:t>
      </w:r>
    </w:p>
    <w:p>
      <w:pPr>
        <w:spacing w:after="0" w:line="303" w:lineRule="exact"/>
        <w:rPr>
          <w:sz w:val="20"/>
          <w:szCs w:val="20"/>
          <w:color w:val="auto"/>
        </w:rPr>
      </w:pPr>
    </w:p>
    <w:p>
      <w:pPr>
        <w:ind w:right="5500"/>
        <w:spacing w:after="0" w:line="378"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 and Recent Developments</w:t>
      </w:r>
    </w:p>
    <w:p>
      <w:pPr>
        <w:ind w:firstLine="518"/>
        <w:spacing w:after="0" w:line="270" w:lineRule="auto"/>
        <w:rPr>
          <w:sz w:val="20"/>
          <w:szCs w:val="20"/>
          <w:color w:val="auto"/>
        </w:rPr>
      </w:pPr>
      <w:r>
        <w:rPr>
          <w:rFonts w:ascii="Arial" w:cs="Arial" w:eastAsia="Arial" w:hAnsi="Arial"/>
          <w:sz w:val="17"/>
          <w:szCs w:val="17"/>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Arrowhead’s RNAi-based therapeutics leverage this natural pathway of gene silencing. The company's pipeline includes ARO-HBV for chronic hepatitis B virus, ARO-AAT for liver disease associated with alpha-1 antitrypsin deficiency (AATD), ARO-APOC3 and ARO-ANG3 for hypertriglyceridemia, ARO-ENaC for cystic fibrosis, ARO-HIF2 for renal cell carcinoma, and ARO-AMG1 for an undisclosed genetically validated cardiovascular target under a license and collaboration agreement with Amgen, Inc., a Delaware corporation (“Amgen”). ARO-LPA (AMG 890) for cardiovascular disease was out-licensed to Amgen in 2016.</w:t>
      </w:r>
    </w:p>
    <w:p>
      <w:pPr>
        <w:spacing w:after="0" w:line="182" w:lineRule="exact"/>
        <w:rPr>
          <w:sz w:val="20"/>
          <w:szCs w:val="20"/>
          <w:color w:val="auto"/>
        </w:rPr>
      </w:pPr>
    </w:p>
    <w:p>
      <w:pPr>
        <w:ind w:right="60" w:firstLine="518"/>
        <w:spacing w:after="0" w:line="274" w:lineRule="auto"/>
        <w:rPr>
          <w:sz w:val="20"/>
          <w:szCs w:val="20"/>
          <w:color w:val="auto"/>
        </w:rPr>
      </w:pPr>
      <w:r>
        <w:rPr>
          <w:rFonts w:ascii="Arial" w:cs="Arial" w:eastAsia="Arial" w:hAnsi="Arial"/>
          <w:sz w:val="17"/>
          <w:szCs w:val="17"/>
          <w:color w:val="auto"/>
        </w:rPr>
        <w:t>With regard to key recent developments, during the first half of fiscal 2018, the Company filed Clinical Trial Applications (CTAs) for ARO-AAT and ARO-HBV to begin a phase 1 clinical study and a phase 1 / 2 clinical study for each program, respectively, and dosing is now underway in both</w:t>
      </w:r>
    </w:p>
    <w:p>
      <w:pPr>
        <w:ind w:right="140"/>
        <w:spacing w:after="0" w:line="255" w:lineRule="auto"/>
        <w:rPr>
          <w:sz w:val="20"/>
          <w:szCs w:val="20"/>
          <w:color w:val="auto"/>
        </w:rPr>
      </w:pPr>
      <w:r>
        <w:rPr>
          <w:rFonts w:ascii="Arial" w:cs="Arial" w:eastAsia="Arial" w:hAnsi="Arial"/>
          <w:sz w:val="18"/>
          <w:szCs w:val="18"/>
          <w:color w:val="auto"/>
        </w:rPr>
        <w:t>studies. Additionally, on January 22, 2018, the Company sold 11,500,000 shares of Common Stock in a fully underwritten public offering, at a public offering price of $5.25 per share. Net proceeds to the Company were approximately $56.6 million after deducting underwriting commissions and discounts and other offering expenses payable by the Company.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Consolidated Financial Statements have been prepared in conformity with the accounting principles generally accepted in the United States of America, which contemplate the continuation of the Company as a going concern. Historically, the Company’s primary source of financing has been through the sale of its securities. Research and development activities have required significant capital investment since the Company’s inception. The Company expects its operations to continue to require cash investment to pursue its research and development goals, including clinical trials and related drug manufacturing.</w:t>
      </w:r>
    </w:p>
    <w:p>
      <w:pPr>
        <w:spacing w:after="0" w:line="188"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At March 31, 2018, the Company had $69.8 million in cash, and $21.7 million in short-term investments, to fund operations. During the six months ended March 31, 2018, the Company’s cash and investments balance increased by $25.9 million, which was primarily the result of the $56.6 million net proceeds received from the public offering discussed above partially offset by cash outflows of $30.1 million related to operating activities.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January 22, 2018, the Company sold 11,500,000 shares of Common Stock in a fully underwritten public offering, at a public offering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$5.25 per share. Net proceeds to the Company were approximately $56.6 million after deducting underwriting commissions and discounts and other offering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payable by the Company. The Company believes its current financial resources are sufficient to fund its operations through at least the next twelve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Principles of Consolidation—The consolidated financial statements include the accounts of Arrowhead and its Subsidiaries. Arrowhead’s primary operating subsidiary is Arrowhead Madison, which is located in Madison, Wisconsin, where the Company’s research and development facility is located. All significant intercompany accounts and transactions are eliminated in consolidation.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7" w:name="page8"/>
    <w:bookmarkEnd w:id="7"/>
    <w:p>
      <w:pPr>
        <w:ind w:right="60" w:firstLine="518"/>
        <w:spacing w:after="0" w:line="291" w:lineRule="auto"/>
        <w:rPr>
          <w:sz w:val="20"/>
          <w:szCs w:val="20"/>
          <w:color w:val="auto"/>
        </w:rPr>
      </w:pPr>
      <w:r>
        <w:rPr>
          <w:rFonts w:ascii="Arial" w:cs="Arial" w:eastAsia="Arial" w:hAnsi="Arial"/>
          <w:sz w:val="16"/>
          <w:szCs w:val="16"/>
          <w:color w:val="auto"/>
        </w:rPr>
        <w:t>Basis of Presentation and Use of Estimates—The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In the opinion of management, all adjustments, consisting of normal recurring accruals, considered necessary for a fair presentation have been included. Actual results could materially differ from those estimates. Additionally, certain reclassifications have been made to prior period financial statements to conform to the current period presentation. These condensed consolidated financial statements should be read in conjunction with the Company’s consolidated financial statements and the notes thereto contained in our Annual Report on Form 10-K for the year ended September 30, 2017.</w:t>
      </w:r>
    </w:p>
    <w:p>
      <w:pPr>
        <w:spacing w:after="0" w:line="167"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Cash and Cash Equivalents—The Company considers all liquid debt instruments purchased with a maturity of three months or less to be cash equivalents. The Company had no restricted cash at March 31, 2018 and September 30, 2017.</w:t>
      </w:r>
    </w:p>
    <w:p>
      <w:pPr>
        <w:spacing w:after="0" w:line="170" w:lineRule="exact"/>
        <w:rPr>
          <w:sz w:val="20"/>
          <w:szCs w:val="20"/>
          <w:color w:val="auto"/>
        </w:rPr>
      </w:pPr>
    </w:p>
    <w:p>
      <w:pPr>
        <w:ind w:right="460" w:firstLine="518"/>
        <w:spacing w:after="0" w:line="286" w:lineRule="auto"/>
        <w:rPr>
          <w:sz w:val="20"/>
          <w:szCs w:val="20"/>
          <w:color w:val="auto"/>
        </w:rPr>
      </w:pPr>
      <w:r>
        <w:rPr>
          <w:rFonts w:ascii="Arial" w:cs="Arial" w:eastAsia="Arial" w:hAnsi="Arial"/>
          <w:sz w:val="17"/>
          <w:szCs w:val="17"/>
          <w:color w:val="auto"/>
        </w:rPr>
        <w:t>Concentration of Credit Risk—The Company maintains several bank accounts at two financial institutions for its operations. These accounts are insured by the Federal Deposit Insurance Corporation (FDIC) for up to $250,000 per institution. Management believes the Company is not exposed to significant credit risk due to the financial position of the depository institutions in which these deposits are held.</w:t>
      </w:r>
    </w:p>
    <w:p>
      <w:pPr>
        <w:spacing w:after="0" w:line="166"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Investments—The Company may invest excess cash balances in short-term and long-term marketable debt securities. Investments may consist of certificates of deposits, money market accounts, government-sponsored enterprise securities, corporate bonds and/or commercial paper. The Company accounts for its investment in marketable securities in accordance with FASB ASC 320, Investments – Debt and Equity Securities. This statement requires debt securities to be classified into three categories: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Held-to-maturity—Debt securities that the entity has the positive intent and ability to hold to maturity are reported at amortized cost.</w:t>
      </w:r>
    </w:p>
    <w:p>
      <w:pPr>
        <w:spacing w:after="0" w:line="117" w:lineRule="exact"/>
        <w:rPr>
          <w:sz w:val="20"/>
          <w:szCs w:val="20"/>
          <w:color w:val="auto"/>
        </w:rPr>
      </w:pPr>
    </w:p>
    <w:p>
      <w:pPr>
        <w:ind w:left="520" w:right="520"/>
        <w:spacing w:after="0" w:line="277" w:lineRule="auto"/>
        <w:rPr>
          <w:sz w:val="20"/>
          <w:szCs w:val="20"/>
          <w:color w:val="auto"/>
        </w:rPr>
      </w:pPr>
      <w:r>
        <w:rPr>
          <w:rFonts w:ascii="Arial" w:cs="Arial" w:eastAsia="Arial" w:hAnsi="Arial"/>
          <w:sz w:val="18"/>
          <w:szCs w:val="18"/>
          <w:color w:val="auto"/>
        </w:rPr>
        <w:t>Trading Securities—Debt securities that are bought and held primarily for the purpose of selling in the near term are reported at fair value, with unrealized gains and losses included in earnings.</w:t>
      </w:r>
    </w:p>
    <w:p>
      <w:pPr>
        <w:spacing w:after="0" w:line="62"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color w:val="auto"/>
        </w:rPr>
        <w:t>Available-for-Sale—Debt securities not classified as either securities held-to-maturity or trading securities are reported at fair value with unrealized gains or losses excluded from earnings and reported as a separate component of shareholders’ equity.</w:t>
      </w:r>
    </w:p>
    <w:p>
      <w:pPr>
        <w:spacing w:after="0" w:line="170" w:lineRule="exact"/>
        <w:rPr>
          <w:sz w:val="20"/>
          <w:szCs w:val="20"/>
          <w:color w:val="auto"/>
        </w:rPr>
      </w:pPr>
    </w:p>
    <w:p>
      <w:pPr>
        <w:jc w:val="both"/>
        <w:ind w:right="480" w:firstLine="518"/>
        <w:spacing w:after="0" w:line="264" w:lineRule="auto"/>
        <w:rPr>
          <w:sz w:val="20"/>
          <w:szCs w:val="20"/>
          <w:color w:val="auto"/>
        </w:rPr>
      </w:pPr>
      <w:r>
        <w:rPr>
          <w:rFonts w:ascii="Arial" w:cs="Arial" w:eastAsia="Arial" w:hAnsi="Arial"/>
          <w:sz w:val="18"/>
          <w:szCs w:val="18"/>
          <w:color w:val="auto"/>
        </w:rPr>
        <w:t>The Company classifies its investments in marketable debt securities based on the facts and circumstances present at the time of purchase of the securities. During the three and six months ended March 31, 2018 and 2017, respectively, all of the Company’s investments were classified as held-to-maturity.</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88"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Intangible Assets Subject to Amortization—Intangible assets subject to amortization include certain patents and license agreements. Intangible assets subject to amortization are reviewed for impairment whenever events or circumstances indicate that the carrying amount of these assets may not be recoverable.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 w:name="page9"/>
    <w:bookmarkEnd w:id="8"/>
    <w:p>
      <w:pPr>
        <w:ind w:right="20" w:firstLine="518"/>
        <w:spacing w:after="0" w:line="286" w:lineRule="auto"/>
        <w:rPr>
          <w:sz w:val="20"/>
          <w:szCs w:val="20"/>
          <w:color w:val="auto"/>
        </w:rPr>
      </w:pPr>
      <w:r>
        <w:rPr>
          <w:rFonts w:ascii="Arial" w:cs="Arial" w:eastAsia="Arial" w:hAnsi="Arial"/>
          <w:sz w:val="16"/>
          <w:szCs w:val="16"/>
          <w:color w:val="auto"/>
        </w:rPr>
        <w:t>Contingent Consideration - The consideration for the Company’s acquisitions may include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an estimated fair value at the balance sheet date. Changes in the fair value of the contingent consideration obligations are recognized within the Company’s Consolidated Statements of Operations and Comprehensive Loss.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The Company determined the fair value of its contingent consideration obligation to be $0 at March 31, 2018 and September 30, 2017.</w:t>
      </w:r>
    </w:p>
    <w:p>
      <w:pPr>
        <w:spacing w:after="0" w:line="199"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Revenue Recognition— Revenue from product sales is recorded when persuasive evidence of an arrangement exists, title has passed and delivery has occurred, a price is fixed and determinable, and collection is reasonably assured.</w:t>
      </w:r>
    </w:p>
    <w:p>
      <w:pPr>
        <w:spacing w:after="0" w:line="21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manufacturing and development services and various milestone and future product royalty or profit-sharing payments. These agreements are generally referred to as multiple element arrangements.</w:t>
      </w:r>
    </w:p>
    <w:p>
      <w:pPr>
        <w:spacing w:after="0" w:line="22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Company applies the accounting standard on revenue recognition for multiple element arrangements. The fair value of deliverables under the arrangement may be derived using a best estimate of selling price if vendor specific objective evidence and third-party evidence is not available. Deliverables under the arrangement will be separate units of accounting if a delivered item has value to the customer on a standalone basis, if the arrangement includes a general right of return for the delivered item, and if delivery or performance of the undelivered item is considered probable and substantially in the Company’s control.</w:t>
      </w:r>
    </w:p>
    <w:p>
      <w:pPr>
        <w:spacing w:after="0" w:line="215"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to have standalone value, then the license and other undelivered performance obligations would be accounted for as a single unit of accounting. In this case, the license payments and payments for performance obligations are recognized as revenue over the estimated period of when the performance obligations are performed or deferred indefinitely until the undelivered performance obligation is determined.</w:t>
      </w:r>
    </w:p>
    <w:p>
      <w:pPr>
        <w:spacing w:after="0" w:line="234"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Whenever the Company determines that an arrangement should be accounted for as a single unit of accounting, the Company determines the period over which the performance obligations will be performed and revenue will be recognized. Revenue is recognized using a proportional performance or straight-line method. The proportional performance method is used when the level of effort required to complete performance obligations under an arrangement can be reasonably estimated. The amount of revenue recognized under the proportional performance method is determined by multiplying the total payments under the contract, excluding royalties and payments contingent upon achievement of milestones, by the ratio of the level of effort performed to date to the estimated total level of effort required to complete performance obligations under the arrangement. If the Company cannot reasonably estimate the level of effort to complete performance obligations under an arrangement, the Company recognizes revenue under the arrangement on a straight-line basis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20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Many of the Company’s collaboration agreements entitle the Company to additional payments upon the achievement of development, regulatory and sales performance-based milestones. If the achievement of a milestone is considered probable at the inception of the collaboration, the related milestone payment is included with other collaboration consideration, such as upfront fees and research funding, in the Company’s revenue calculation. Typically these milestones are not considered probable at the inception of the collaboration. As such, milestones will typically be recognized in one of two ways depending on the timing of when the milestone is achieved. If the milestone is achieved during the performance period, the Company will only recognize revenue to the extent of the proportional performance achieved at that date, or the proportion of the straight-line basis achieved at that date, and the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66" w:right="279" w:bottom="1440" w:gutter="0" w:footer="0" w:header="0"/>
        </w:sectPr>
      </w:pPr>
    </w:p>
    <w:bookmarkStart w:id="9" w:name="page10"/>
    <w:bookmarkEnd w:id="9"/>
    <w:p>
      <w:pPr>
        <w:spacing w:after="0" w:line="264" w:lineRule="auto"/>
        <w:rPr>
          <w:sz w:val="20"/>
          <w:szCs w:val="20"/>
          <w:color w:val="auto"/>
        </w:rPr>
      </w:pPr>
      <w:r>
        <w:rPr>
          <w:rFonts w:ascii="Arial" w:cs="Arial" w:eastAsia="Arial" w:hAnsi="Arial"/>
          <w:sz w:val="18"/>
          <w:szCs w:val="18"/>
          <w:color w:val="auto"/>
        </w:rPr>
        <w:t>remainder will be recorded as deferred revenue to be amortized over the remaining performance period. If the milestone is achieved after the performance period has completed and all performance obligations have been delivered, the Company will recognize the milestone payment as revenue in its entirety in the period the milestone was achieved.</w:t>
      </w:r>
    </w:p>
    <w:p>
      <w:pPr>
        <w:spacing w:after="0" w:line="208" w:lineRule="exact"/>
        <w:rPr>
          <w:sz w:val="20"/>
          <w:szCs w:val="20"/>
          <w:color w:val="auto"/>
        </w:rPr>
      </w:pPr>
    </w:p>
    <w:p>
      <w:pPr>
        <w:ind w:right="300" w:firstLine="518"/>
        <w:spacing w:after="0" w:line="279" w:lineRule="auto"/>
        <w:rPr>
          <w:sz w:val="20"/>
          <w:szCs w:val="20"/>
          <w:color w:val="auto"/>
        </w:rPr>
      </w:pPr>
      <w:r>
        <w:rPr>
          <w:rFonts w:ascii="Arial" w:cs="Arial" w:eastAsia="Arial" w:hAnsi="Arial"/>
          <w:sz w:val="17"/>
          <w:szCs w:val="17"/>
          <w:color w:val="auto"/>
        </w:rPr>
        <w:t>Deferred revenue will be classified as part of Current or Long-Term Liabilities in the accompanying Consolidated Balance Sheets based on the Company’s estimate of the portion of the performance obligations regarding that revenue will be completed within the next 12 months divided by the total performance period estimate. This estimate is based on the Company’s current operating plan and, if the Company’s operating plan should change in the future, the Company may recognize a different amount of deferred revenue over the next 12-month period.</w:t>
      </w:r>
    </w:p>
    <w:p>
      <w:pPr>
        <w:spacing w:after="0" w:line="171"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124"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Research and Development—Costs and expenses that can be clearly identified as research and development are charged to expense as incurred in accordance with FASB ASC 730-10. Included in research and development costs are operating costs, facilities, supplies, external services, clinical trial and manufacturing costs, overhead directly related to the Company’s research and development operations, and costs to acquire technology licenses.</w:t>
      </w:r>
    </w:p>
    <w:p>
      <w:pPr>
        <w:spacing w:after="0" w:line="14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Earnings (Loss) per Share—Basic earnings (loss) per share is computed using the weighted-average number of common shares outstanding during the period. Diluted earnings (loss) per share are computed using the weighted-average number of common shares and dilutive potential common shares outstanding during the period. Dilutive potential common shares primarily consist of stock options and restricted stock units issued to employees and warrants to purchase Common Stock of the Company. All outstanding stock options, restricted stock units and warrants for the three and six months ended March 31, 2018 and 2017 have been excluded from the calculation of Diluted earnings (loss) per share due to their anti-dilutive effect.</w:t>
      </w:r>
    </w:p>
    <w:p>
      <w:pPr>
        <w:spacing w:after="0" w:line="173"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with consideration given to the probability of the performance condition being achieved.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judgment by management.</w:t>
      </w:r>
    </w:p>
    <w:p>
      <w:pPr>
        <w:spacing w:after="0" w:line="167"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140" w:firstLine="518"/>
        <w:spacing w:after="0" w:line="290" w:lineRule="auto"/>
        <w:rPr>
          <w:sz w:val="20"/>
          <w:szCs w:val="20"/>
          <w:color w:val="auto"/>
        </w:rPr>
      </w:pPr>
      <w:r>
        <w:rPr>
          <w:rFonts w:ascii="Arial" w:cs="Arial" w:eastAsia="Arial" w:hAnsi="Arial"/>
          <w:sz w:val="16"/>
          <w:szCs w:val="16"/>
          <w:color w:val="auto"/>
        </w:rPr>
        <w:t>In May 2014, the FASB issued ASU No. 2014-09 Revenue from Contracts with Customers (Topic 606), which will supersede nearly all existing revenue recognition guidance under GAAP. ASU No. 2014-09 provides that an entity recognize revenue when it transfers promised goods or services to customers in an amount that reflects the consideration to which the entity expects to be entitled in exchange for those goods or services. This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ASU No. 2014-09 allows for either full retrospective or modified retrospective adoption and will become effective for the Company in the first quarter of 2019. In April 2016, the FASB issued an amendment to ASU No. 2014-09 with update ASU 2016-10 which provided more specific guidance around the identification of performance obligations and licensing arrangements. The Company is evaluating the potential effects of the adoption of this update on its financial statements.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10" w:name="page11"/>
    <w:bookmarkEnd w:id="10"/>
    <w:p>
      <w:pPr>
        <w:ind w:firstLine="518"/>
        <w:spacing w:after="0" w:line="255" w:lineRule="auto"/>
        <w:rPr>
          <w:sz w:val="20"/>
          <w:szCs w:val="20"/>
          <w:color w:val="auto"/>
        </w:rPr>
      </w:pPr>
      <w:r>
        <w:rPr>
          <w:rFonts w:ascii="Arial" w:cs="Arial" w:eastAsia="Arial" w:hAnsi="Arial"/>
          <w:sz w:val="18"/>
          <w:szCs w:val="18"/>
          <w:color w:val="auto"/>
        </w:rPr>
        <w:t>In March 2016, the FASB issued ASU No. 2016-02, Leases. Under ASU 2016-02, lessees will be required to recognize a right-of-use asset and a lease liability for virtually all of their leases (other than leases that meet the definition of a short-term lease). For income statement purposes, a dual model was retained, requiring leases to be classified as either operating or finance. Operating leases will result in straight-line expense (similar to current operating leases) while finance leases will result in a front-loaded expense pattern (similar to current capital leases). ASU 2016-02 becomes effective for the Company in the first quarter of fiscal 2020. The Company expects the adoption of this update to have a material effect on the classification and disclosure of its leased facilities in Madison, Wisconsin.</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May 2017, the FASB issued ASU No. 2017-09, which is an update to Topic 718, Compensation - Stock Compensation. The update</w:t>
      </w:r>
    </w:p>
    <w:p>
      <w:pPr>
        <w:spacing w:after="0" w:line="2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provides guidance on determining which changes to the terms and conditions of share-based payment awards, including stock options, require an entity to apply modification accounting under Topic 718. ASU 2017-09 becomes effective for the Company in the first quarter of fiscal 2019. The Company does not expect that ASU 2017-09 will have a material impact on the Company's results of operations and consolidated financial statements.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COLLABORATION AND LICENSE AGREEMENTS – AMGEN, INC.</w:t>
      </w:r>
    </w:p>
    <w:p>
      <w:pPr>
        <w:spacing w:after="0" w:line="12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On September 28, 2016, the Company entered into two Collaboration and License agreements, and a Common Stock Purchase Agreement with Amgen Inc., a Delaware corporation (“Amgen”). Under one of the license agreements (the “Second Collaboration and License Agreement” or “ARO-LPA (AMG-890) Agreement”), Amgen has received a worldwide, exclusive license to Arrowhead’s novel, RNAi ARO-LPA program. These RNAi molecules are designed to reduce elevated lipoprotein(a), which is a genetically validated, independent risk factor for atherosclerotic cardiovascular disease. Under the other license agreement (the “First Collaboration and License Agreement” or “ARO-AMG1 Agreement”), Amgen received an option to a worldwide, exclusive license for ARO-AMG1, an RNAi therapy for an undisclosed genetically validated cardiovascular target. In both agreements, Amgen is wholly responsible for clinical development and commercialization.</w:t>
      </w:r>
    </w:p>
    <w:p>
      <w:pPr>
        <w:spacing w:after="0" w:line="189"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Under the Common Stock Purchase Agreement, the Company has sold 3,002,793 shares of Common Stock to Amgen at a price of $7.16 per share, which represents the 30-day volume-weighted average price of the Common Stock on the NASDAQ stock market over the 30 trading days preceding the Effective Date, as defined in the ARO-AMG1 Agreement. Subject to Amgen’s exercise of the Option, as defined in the ARO-AMG1 Agreement, Amgen has agreed to purchase, and the Company has agreed to sell, an additional $5 million worth of shares of Common Stock based on a 30 trading day formula surrounding the date of the Option exercise.</w:t>
      </w:r>
    </w:p>
    <w:p>
      <w:pPr>
        <w:spacing w:after="0" w:line="188"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Under the terms of the agreements taken together, the Company has received $35 million in upfront payments, $21.5 million in the form of an equity investment by Amgen in the Company’s Common Stock, and could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ARO-LPA (AMG-890) Agreement.</w:t>
      </w:r>
    </w:p>
    <w:p>
      <w:pPr>
        <w:spacing w:after="0" w:line="187"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color w:val="auto"/>
        </w:rPr>
        <w:t>Under the terms of the ARO-AMG1 Agreement, the Company has granted an option to a worldwide, exclusive license to ARO-AMG1, an undisclosed genetically validated cardiovascular target. The collaboration between the Company and Amgen is governed by a joint steering committee comprised of an equal number of representatives from each party. The Company is also responsible for developing, optimizing and manufacturing the candidate through certain preclinical efficacy and toxicology studies to determine whether the candidate the Company has developed meets the required criteria as defined in the agreement (the “Arrowhead Deliverable”). If this is achieved, Amgen will then have the option to an exclusive license for the intellectual property generated through the Company’s development efforts, and will likely assume all development, regulatory and commercialization efforts for the candidate upon the option exercise. The Company has determined that the significant deliverables under the ARO-AMG1 Agreement include the license, the joint research committee and the development and manufacturing activities toward achieving the Arrowhead Deliverable.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will recognize revenue on a straight-line basis from October 1, 2016, through September 30, 2018. The due date for achieving the Arrowhead Deliverable is September 28, 2018. The Company received the upfront payment of $5 million due under this agreement in September 2016. The upfront $5 million payment was recorded as Deferred Revenue, and $0.6 million and $1.3 million of this was amortized into Revenue during the three and six months ended March 31, 2018, respectively. During the three and six months ended March 31, 2017, $0.6 million and $1.3 million of this upfront $5 million payment was amortized in Revenue, respectively. Of the upfront $5 million payment, approximately $1.3 million remained as Deferred Revenue as of March 31, 2018.</w:t>
      </w:r>
    </w:p>
    <w:p>
      <w:pPr>
        <w:spacing w:after="0" w:line="178"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Under the terms of the ARO-LPA (AMG-890) Agreement, the Company has granted a worldwide, exclusive license to ARO-LPA (AMG-890). The collaboration between the Company and Amgen is governed by a joint research committee comprised of an equal number of representatives from each party, however Amgen has the final decision making authority regarding ARO-LPA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ind w:right="40"/>
        <w:spacing w:after="0" w:line="269" w:lineRule="auto"/>
        <w:rPr>
          <w:sz w:val="20"/>
          <w:szCs w:val="20"/>
          <w:color w:val="auto"/>
        </w:rPr>
      </w:pPr>
      <w:r>
        <w:rPr>
          <w:rFonts w:ascii="Arial" w:cs="Arial" w:eastAsia="Arial" w:hAnsi="Arial"/>
          <w:sz w:val="17"/>
          <w:szCs w:val="17"/>
          <w:color w:val="auto"/>
        </w:rPr>
        <w:t>(AMG-890) in this committee. The Company is also responsible for assisting Amgen in the oversight of certain development and manufacturing activities, most of which are to be covered at Amgen’s cost. The Company has determined that the significant deliverables under the ARO-LPA (AMG-890) Agreement include the license and the oversight of certain of the development and manufacturing activities.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recognized revenue on a straight-line basis from November 18, 2016 (the Hart-Scott-Rodino clearance date), through October 31, 2017, which was the date where the significant development and manufacturing related deliverables were completed. The Company received the upfront payment of $30 million due under the ARO-LPA (AMG-890) Agreement in November 2016. The upfront $30 million payment was recorded as Deferred Revenue, and $2.7 million of this was amortized into Revenue during the three months ended December 31, 2017. The upfront $30 million payment has been fully recognized, and $0 remains in Deferred Revenue as of March 31, 2018. During the three and six months ended March 31, 2017, $7.8 million and $11.5 million of the upfront $30 million payment was amortized into Revenue, respectively.</w:t>
      </w:r>
    </w:p>
    <w:p>
      <w:pPr>
        <w:spacing w:after="0" w:line="180"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The Company also entered into a separate services agreement and separate statements of work with Amgen to provide certain services related to process development, manufacturing, materials supply, discovery studies, and other consulting services related to ARO-LPA (AMG 890) and ARO-AMG1. During the three and six months ended March 31, 2018, these work orders generated approximately $0.03 million and $0.2 million of Revenue, respectively. During the three and six months ended March 31, 2017, these work orders generated approximately $0.6 million and $0.6 million of Revenue,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major classes of property and equipment:</w:t>
      </w:r>
    </w:p>
    <w:p>
      <w:pPr>
        <w:spacing w:after="0" w:line="2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Computers, office equipment and furniture</w:t>
            </w:r>
          </w:p>
        </w:tc>
        <w:tc>
          <w:tcPr>
            <w:tcW w:w="1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600,334</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600,334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Research equipment</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10,174,679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9,660,960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132,078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12,208,380</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12,208,380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Total gross fixed assets</w:t>
            </w: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23,115,471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22,601,752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(8,533,158)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(7,088,733)</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14,582,313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15,513,019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INVESTMENTS</w:t>
      </w:r>
    </w:p>
    <w:p>
      <w:pPr>
        <w:spacing w:after="0" w:line="121" w:lineRule="exact"/>
        <w:rPr>
          <w:sz w:val="20"/>
          <w:szCs w:val="20"/>
          <w:color w:val="auto"/>
        </w:rPr>
      </w:pPr>
    </w:p>
    <w:p>
      <w:pPr>
        <w:ind w:right="400" w:firstLine="518"/>
        <w:spacing w:after="0" w:line="257" w:lineRule="auto"/>
        <w:rPr>
          <w:sz w:val="20"/>
          <w:szCs w:val="20"/>
          <w:color w:val="auto"/>
        </w:rPr>
      </w:pPr>
      <w:r>
        <w:rPr>
          <w:rFonts w:ascii="Arial" w:cs="Arial" w:eastAsia="Arial" w:hAnsi="Arial"/>
          <w:sz w:val="18"/>
          <w:szCs w:val="18"/>
          <w:color w:val="auto"/>
        </w:rPr>
        <w:t>The Company invests a portion of its excess cash balances in short-term debt securities and may, from time to time, also invest in long-term debt securities. Investments at March 31, 2018 consisted of corporate bonds with maturities remaining of less than one year. The Company may also invest excess cash balances in certificates of deposits, money market accounts, government-sponsored enterprise securities, corporate bonds and/or commercial paper. The Company accounts for its investments in accordance with FASB ASC 320, Investments – Debt and Equity Securities. At March 31, 2018, all investments were classified as held-to-maturity securities.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Company’s short-term investments as of March 31, 2018, and September 30,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5"/>
          </w:tcPr>
          <w:p>
            <w:pPr>
              <w:jc w:val="center"/>
              <w:ind w:right="700"/>
              <w:spacing w:after="0"/>
              <w:rPr>
                <w:sz w:val="20"/>
                <w:szCs w:val="20"/>
                <w:color w:val="auto"/>
              </w:rPr>
            </w:pPr>
            <w:r>
              <w:rPr>
                <w:rFonts w:ascii="Arial" w:cs="Arial" w:eastAsia="Arial" w:hAnsi="Arial"/>
                <w:sz w:val="14"/>
                <w:szCs w:val="14"/>
                <w:b w:val="1"/>
                <w:bCs w:val="1"/>
                <w:color w:val="auto"/>
                <w:w w:val="93"/>
              </w:rPr>
              <w:t>As of March 31, 2018</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Gross Unrealized Gains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260" w:type="dxa"/>
            <w:vAlign w:val="bottom"/>
          </w:tcPr>
          <w:p>
            <w:pPr>
              <w:spacing w:after="0"/>
              <w:rPr>
                <w:sz w:val="10"/>
                <w:szCs w:val="10"/>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21,736,820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(241,377)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21,495,443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center"/>
              <w:ind w:right="720"/>
              <w:spacing w:after="0"/>
              <w:rPr>
                <w:sz w:val="20"/>
                <w:szCs w:val="20"/>
                <w:color w:val="auto"/>
              </w:rPr>
            </w:pPr>
            <w:r>
              <w:rPr>
                <w:rFonts w:ascii="Arial" w:cs="Arial" w:eastAsia="Arial" w:hAnsi="Arial"/>
                <w:sz w:val="14"/>
                <w:szCs w:val="14"/>
                <w:b w:val="1"/>
                <w:bCs w:val="1"/>
                <w:color w:val="auto"/>
                <w:w w:val="91"/>
              </w:rPr>
              <w:t>As of September 30, 2017</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Gross Unrealized Gains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260" w:type="dxa"/>
            <w:vAlign w:val="bottom"/>
          </w:tcPr>
          <w:p>
            <w:pPr>
              <w:spacing w:after="0"/>
              <w:rPr>
                <w:sz w:val="10"/>
                <w:szCs w:val="10"/>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40,769,539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(334,755)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40,434,784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317"/>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INTANGIBLE ASSETS</w:t>
      </w:r>
    </w:p>
    <w:p>
      <w:pPr>
        <w:spacing w:after="0" w:line="12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Intangible assets subject to amortization include patents and a license agreement capitalized as part of the Novartis RNAi asset acquisition in March 2015. The license agreement associated with the Novartis RNAi asset acquisition is being amortized over the estimated life remaining at the time of acquisition, which was 21 years, and the accumulated amortization of the asset is approximately $457,583. The patents associated with the Novartis RNAi asset acquisition are being amortized over the estimated life remaining at the time of acquisition, which was 14 years, and the accumulated amortization of the assets is approximately $4,785,407. Amortization expense for the three months ended March 31, 2018 and 2017 was $425,107 and $425,107, respectively. Amortization expense for the six months ended March 31, 2018 and 2017 was $850,215 and $850,215, respectively. Amortization expense is expected to be approximately $850,215 for the remainder of fiscal year 2018, $1,700,429 in 2019, $1,700,429 in 2020, $1,700,429 in 2021, $1,700,429 in 2022, $1,700,429 in 2023, and $10,261,864 thereafter.</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on the Company’s intangible asset balances:</w:t>
      </w:r>
    </w:p>
    <w:p>
      <w:pPr>
        <w:spacing w:after="0" w:line="231" w:lineRule="exact"/>
        <w:rPr>
          <w:sz w:val="20"/>
          <w:szCs w:val="20"/>
          <w:color w:val="auto"/>
        </w:rPr>
      </w:pPr>
    </w:p>
    <w:tbl>
      <w:tblPr>
        <w:tblLayout w:type="fixed"/>
        <w:tblInd w:w="21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Intangible assets</w:t>
            </w:r>
          </w:p>
        </w:tc>
      </w:tr>
      <w:tr>
        <w:trPr>
          <w:trHeight w:val="149"/>
        </w:trPr>
        <w:tc>
          <w:tcPr>
            <w:tcW w:w="5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subject to</w:t>
            </w:r>
          </w:p>
        </w:tc>
      </w:tr>
      <w:tr>
        <w:trPr>
          <w:trHeight w:val="171"/>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amortization</w:t>
            </w:r>
          </w:p>
        </w:tc>
      </w:tr>
      <w:tr>
        <w:trPr>
          <w:trHeight w:val="210"/>
        </w:trPr>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2017</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20,464,439</w:t>
            </w:r>
          </w:p>
        </w:tc>
        <w:tc>
          <w:tcPr>
            <w:tcW w:w="180" w:type="dxa"/>
            <w:vAlign w:val="bottom"/>
            <w:tcBorders>
              <w:top w:val="single" w:sz="8" w:color="CFF0FC"/>
            </w:tcBorders>
            <w:shd w:val="clear" w:color="auto" w:fill="CFF0F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(850,215)</w:t>
            </w:r>
          </w:p>
        </w:tc>
      </w:tr>
      <w:tr>
        <w:trPr>
          <w:trHeight w:val="210"/>
        </w:trPr>
        <w:tc>
          <w:tcPr>
            <w:tcW w:w="5580" w:type="dxa"/>
            <w:vAlign w:val="bottom"/>
          </w:tcPr>
          <w:p>
            <w:pPr>
              <w:spacing w:after="0"/>
              <w:rPr>
                <w:sz w:val="20"/>
                <w:szCs w:val="20"/>
                <w:color w:val="auto"/>
              </w:rPr>
            </w:pPr>
            <w:r>
              <w:rPr>
                <w:rFonts w:ascii="Arial" w:cs="Arial" w:eastAsia="Arial" w:hAnsi="Arial"/>
                <w:sz w:val="18"/>
                <w:szCs w:val="18"/>
                <w:color w:val="auto"/>
              </w:rPr>
              <w:t>Balance at March 31,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19,614,224</w:t>
            </w:r>
          </w:p>
        </w:tc>
        <w:tc>
          <w:tcPr>
            <w:tcW w:w="18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STOCKHOLDERS’ EQUITY</w:t>
      </w:r>
    </w:p>
    <w:p>
      <w:pPr>
        <w:spacing w:after="0" w:line="121" w:lineRule="exact"/>
        <w:rPr>
          <w:sz w:val="20"/>
          <w:szCs w:val="20"/>
          <w:color w:val="auto"/>
        </w:rPr>
      </w:pPr>
    </w:p>
    <w:p>
      <w:pPr>
        <w:ind w:right="540" w:firstLine="518"/>
        <w:spacing w:after="0" w:line="308" w:lineRule="auto"/>
        <w:rPr>
          <w:sz w:val="20"/>
          <w:szCs w:val="20"/>
          <w:color w:val="auto"/>
        </w:rPr>
      </w:pPr>
      <w:r>
        <w:rPr>
          <w:rFonts w:ascii="Arial" w:cs="Arial" w:eastAsia="Arial" w:hAnsi="Arial"/>
          <w:sz w:val="17"/>
          <w:szCs w:val="17"/>
          <w:color w:val="auto"/>
        </w:rPr>
        <w:t>At March 31, 2018, the Company had a total of 150,000,000 shares of capital stock authorized for issuance, consisting of 145,000,000 shares of Common Stock, par value $0.001 per share, and 5,000,000 shares of Preferred Stock, par value $0.001 per share.</w:t>
      </w:r>
    </w:p>
    <w:p>
      <w:pPr>
        <w:spacing w:after="0" w:line="14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At March 31, 2018, 87,570,398 shares of Common Stock were outstanding. At March 31, 2018, 9,459,720 shares of Common Stock were reserved for issuance upon exercise of options and vesting of restricted stock units granted or available for grant under Arrowhead’s 2004 Equity Incentive Plan and 2013 Incentive Plan, as well as for inducement grants made to new employees.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January 22, 2018, the Company sold 11,500,000 shares of Common Stock in a fully underwritten public offering, at a public offering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$5.25 per share. Net proceeds to the Company were approximately $56.6 million after deducting underwriting commissions and discounts and other offering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payable by the Company.</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warrants outstanding at March 31, 2018:</w:t>
      </w:r>
    </w:p>
    <w:p>
      <w:pPr>
        <w:spacing w:after="0" w:line="231" w:lineRule="exact"/>
        <w:rPr>
          <w:sz w:val="20"/>
          <w:szCs w:val="20"/>
          <w:color w:val="auto"/>
        </w:rPr>
      </w:pPr>
    </w:p>
    <w:tbl>
      <w:tblPr>
        <w:tblLayout w:type="fixed"/>
        <w:tblInd w:w="2640" w:type="dxa"/>
        <w:tblCellMar>
          <w:top w:w="0" w:type="dxa"/>
          <w:left w:w="0" w:type="dxa"/>
          <w:bottom w:w="0" w:type="dxa"/>
          <w:right w:w="0" w:type="dxa"/>
        </w:tblCellMar>
      </w:tblPr>
      <w:tr>
        <w:trPr>
          <w:trHeight w:val="161"/>
        </w:trPr>
        <w:tc>
          <w:tcPr>
            <w:tcW w:w="3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Exercise prices</w:t>
            </w:r>
          </w:p>
        </w:tc>
        <w:tc>
          <w:tcPr>
            <w:tcW w:w="1000" w:type="dxa"/>
            <w:vAlign w:val="bottom"/>
          </w:tcPr>
          <w:p>
            <w:pPr>
              <w:jc w:val="right"/>
              <w:ind w:right="159"/>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71"/>
        </w:trPr>
        <w:tc>
          <w:tcPr>
            <w:tcW w:w="3840" w:type="dxa"/>
            <w:vAlign w:val="bottom"/>
            <w:gridSpan w:val="4"/>
            <w:vMerge w:val="continue"/>
          </w:tcPr>
          <w:p>
            <w:pPr>
              <w:spacing w:after="0"/>
              <w:rPr>
                <w:sz w:val="14"/>
                <w:szCs w:val="14"/>
                <w:color w:val="auto"/>
              </w:rPr>
            </w:pPr>
          </w:p>
        </w:tc>
        <w:tc>
          <w:tcPr>
            <w:tcW w:w="1000" w:type="dxa"/>
            <w:vAlign w:val="bottom"/>
          </w:tcPr>
          <w:p>
            <w:pPr>
              <w:jc w:val="right"/>
              <w:ind w:right="179"/>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Life in Years</w:t>
            </w:r>
          </w:p>
        </w:tc>
        <w:tc>
          <w:tcPr>
            <w:tcW w:w="0" w:type="dxa"/>
            <w:vAlign w:val="bottom"/>
          </w:tcPr>
          <w:p>
            <w:pPr>
              <w:spacing w:after="0"/>
              <w:rPr>
                <w:sz w:val="1"/>
                <w:szCs w:val="1"/>
                <w:color w:val="auto"/>
              </w:rPr>
            </w:pPr>
          </w:p>
        </w:tc>
      </w:tr>
      <w:tr>
        <w:trPr>
          <w:trHeight w:val="210"/>
        </w:trPr>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440" w:type="dxa"/>
            <w:vAlign w:val="bottom"/>
            <w:tcBorders>
              <w:top w:val="single" w:sz="8" w:color="auto"/>
            </w:tcBorders>
            <w:shd w:val="clear" w:color="auto" w:fill="CFF0FC"/>
          </w:tcPr>
          <w:p>
            <w:pPr>
              <w:jc w:val="right"/>
              <w:ind w:right="2870"/>
              <w:spacing w:after="0"/>
              <w:rPr>
                <w:sz w:val="20"/>
                <w:szCs w:val="20"/>
                <w:color w:val="auto"/>
              </w:rPr>
            </w:pPr>
            <w:r>
              <w:rPr>
                <w:rFonts w:ascii="Arial" w:cs="Arial" w:eastAsia="Arial" w:hAnsi="Arial"/>
                <w:sz w:val="18"/>
                <w:szCs w:val="18"/>
                <w:color w:val="auto"/>
              </w:rPr>
              <w:t>7.14</w:t>
            </w: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gridSpan w:val="4"/>
          </w:tcPr>
          <w:p>
            <w:pPr>
              <w:spacing w:after="0"/>
              <w:rPr>
                <w:sz w:val="20"/>
                <w:szCs w:val="20"/>
                <w:color w:val="auto"/>
              </w:rPr>
            </w:pPr>
            <w:r>
              <w:rPr>
                <w:rFonts w:ascii="Arial" w:cs="Arial" w:eastAsia="Arial" w:hAnsi="Arial"/>
                <w:sz w:val="18"/>
                <w:szCs w:val="18"/>
                <w:color w:val="auto"/>
              </w:rPr>
              <w:t>Total warrants outstanding</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Company leases approximately 8,500 square feet of office space for its corporate headquarters in Pasadena, California. The lease will expire in September 2019. Monthly rental payments are approximately $27,000 per month, increasing approximately 3% annually.</w:t>
      </w:r>
    </w:p>
    <w:p>
      <w:pPr>
        <w:spacing w:after="0" w:line="197"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The Company also leases approximately 60,000 square feet of office and laboratory space for its research facility in Madison, Wisconsin. The lease will expire in September 2026. As part of this lease, the Company was provided a primary tenant improvement allowance of $2.1 million which is accounted for as Deferred Rent and a secondary tenant improvement allowance of $2.7 million which is accounted for as a Note Payable on the Company’s Consolidated Balance Sheet. Monthly rental payments, including payments of principal and interest on the Note Payable are approximately $182,200 per month. The monthly rental payments (excluding principal and interest on the Note Payable), will increase approximately 2.5% annually.</w:t>
      </w:r>
    </w:p>
    <w:p>
      <w:pPr>
        <w:spacing w:after="0" w:line="173"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Facility rent expense for the three months ended March 31, 2018 and 2017 was $304,700 and $416,800, respectively. Facility rent expense for the six months ended March 31, 2018 and 2017 was $630,300 and $797,900,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As of March 31, 2018, future minimum lease payments due in fiscal years under operating leases are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2018 (remainder of)</w:t>
            </w:r>
          </w:p>
        </w:tc>
        <w:tc>
          <w:tcPr>
            <w:tcW w:w="27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767,651</w:t>
            </w:r>
          </w:p>
        </w:tc>
        <w:tc>
          <w:tcPr>
            <w:tcW w:w="120" w:type="dxa"/>
            <w:vAlign w:val="bottom"/>
            <w:shd w:val="clear" w:color="auto" w:fill="CFF0F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2019</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1,435,409</w:t>
            </w:r>
          </w:p>
        </w:tc>
        <w:tc>
          <w:tcPr>
            <w:tcW w:w="120" w:type="dxa"/>
            <w:vAlign w:val="bottom"/>
          </w:tcPr>
          <w:p>
            <w:pPr>
              <w:spacing w:after="0"/>
              <w:rPr>
                <w:sz w:val="18"/>
                <w:szCs w:val="18"/>
                <w:color w:val="auto"/>
              </w:rPr>
            </w:pPr>
          </w:p>
        </w:tc>
      </w:tr>
      <w:tr>
        <w:trPr>
          <w:trHeight w:val="21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1,044,431</w:t>
            </w:r>
          </w:p>
        </w:tc>
        <w:tc>
          <w:tcPr>
            <w:tcW w:w="120" w:type="dxa"/>
            <w:vAlign w:val="bottom"/>
            <w:shd w:val="clear" w:color="auto" w:fill="CFF0F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2021</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1,070,496</w:t>
            </w:r>
          </w:p>
        </w:tc>
        <w:tc>
          <w:tcPr>
            <w:tcW w:w="120" w:type="dxa"/>
            <w:vAlign w:val="bottom"/>
          </w:tcPr>
          <w:p>
            <w:pPr>
              <w:spacing w:after="0"/>
              <w:rPr>
                <w:sz w:val="18"/>
                <w:szCs w:val="18"/>
                <w:color w:val="auto"/>
              </w:rPr>
            </w:pPr>
          </w:p>
        </w:tc>
      </w:tr>
      <w:tr>
        <w:trPr>
          <w:trHeight w:val="21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1,097,168</w:t>
            </w:r>
          </w:p>
        </w:tc>
        <w:tc>
          <w:tcPr>
            <w:tcW w:w="120" w:type="dxa"/>
            <w:vAlign w:val="bottom"/>
            <w:shd w:val="clear" w:color="auto" w:fill="CFF0FC"/>
          </w:tcPr>
          <w:p>
            <w:pPr>
              <w:spacing w:after="0"/>
              <w:rPr>
                <w:sz w:val="18"/>
                <w:szCs w:val="18"/>
                <w:color w:val="auto"/>
              </w:rPr>
            </w:pPr>
          </w:p>
        </w:tc>
      </w:tr>
      <w:tr>
        <w:trPr>
          <w:trHeight w:val="216"/>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 and thereafter</w:t>
            </w:r>
          </w:p>
        </w:tc>
        <w:tc>
          <w:tcPr>
            <w:tcW w:w="24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4,669,328</w:t>
            </w:r>
          </w:p>
        </w:tc>
        <w:tc>
          <w:tcPr>
            <w:tcW w:w="120" w:type="dxa"/>
            <w:vAlign w:val="bottom"/>
            <w:tcBorders>
              <w:bottom w:val="single" w:sz="8" w:color="CFF0FC"/>
            </w:tcBorders>
          </w:tcPr>
          <w:p>
            <w:pPr>
              <w:spacing w:after="0"/>
              <w:rPr>
                <w:sz w:val="18"/>
                <w:szCs w:val="18"/>
                <w:color w:val="auto"/>
              </w:rPr>
            </w:pPr>
          </w:p>
        </w:tc>
      </w:tr>
      <w:tr>
        <w:trPr>
          <w:trHeight w:val="210"/>
        </w:trPr>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10,084,483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Note Payable</w:t>
      </w:r>
    </w:p>
    <w:p>
      <w:pPr>
        <w:spacing w:after="0" w:line="117"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As part of the Company’s lease for its research facility in Madison, Wisconsin discussed above, the Company entered into a $2.7 million promissory note payable with its landlord to finance certain tenant improvements made to the new facility. The note will be amortized over the 10-year term of the lease, commencing on October 1, 2016. The note bears interest at a rate of 7.1% and is payable in equal monthly installments of principal and interest.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2018, future principal payments due in fiscal years under the note payable are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2018 (remainder of)</w:t>
            </w:r>
          </w:p>
        </w:tc>
        <w:tc>
          <w:tcPr>
            <w:tcW w:w="27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106,100</w:t>
            </w:r>
          </w:p>
        </w:tc>
        <w:tc>
          <w:tcPr>
            <w:tcW w:w="120" w:type="dxa"/>
            <w:vAlign w:val="bottom"/>
            <w:shd w:val="clear" w:color="auto" w:fill="CFF0F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2019</w:t>
            </w:r>
          </w:p>
        </w:tc>
        <w:tc>
          <w:tcPr>
            <w:tcW w:w="2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223,820</w:t>
            </w:r>
          </w:p>
        </w:tc>
        <w:tc>
          <w:tcPr>
            <w:tcW w:w="120" w:type="dxa"/>
            <w:vAlign w:val="bottom"/>
          </w:tcPr>
          <w:p>
            <w:pPr>
              <w:spacing w:after="0"/>
              <w:rPr>
                <w:sz w:val="18"/>
                <w:szCs w:val="18"/>
                <w:color w:val="auto"/>
              </w:rPr>
            </w:pPr>
          </w:p>
        </w:tc>
      </w:tr>
      <w:tr>
        <w:trPr>
          <w:trHeight w:val="21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240,258</w:t>
            </w:r>
          </w:p>
        </w:tc>
        <w:tc>
          <w:tcPr>
            <w:tcW w:w="120" w:type="dxa"/>
            <w:vAlign w:val="bottom"/>
            <w:shd w:val="clear" w:color="auto" w:fill="CFF0F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2021</w:t>
            </w:r>
          </w:p>
        </w:tc>
        <w:tc>
          <w:tcPr>
            <w:tcW w:w="2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257,903</w:t>
            </w:r>
          </w:p>
        </w:tc>
        <w:tc>
          <w:tcPr>
            <w:tcW w:w="120" w:type="dxa"/>
            <w:vAlign w:val="bottom"/>
          </w:tcPr>
          <w:p>
            <w:pPr>
              <w:spacing w:after="0"/>
              <w:rPr>
                <w:sz w:val="18"/>
                <w:szCs w:val="18"/>
                <w:color w:val="auto"/>
              </w:rPr>
            </w:pPr>
          </w:p>
        </w:tc>
      </w:tr>
      <w:tr>
        <w:trPr>
          <w:trHeight w:val="21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276,845</w:t>
            </w:r>
          </w:p>
        </w:tc>
        <w:tc>
          <w:tcPr>
            <w:tcW w:w="120" w:type="dxa"/>
            <w:vAlign w:val="bottom"/>
            <w:shd w:val="clear" w:color="auto" w:fill="CFF0FC"/>
          </w:tcPr>
          <w:p>
            <w:pPr>
              <w:spacing w:after="0"/>
              <w:rPr>
                <w:sz w:val="18"/>
                <w:szCs w:val="18"/>
                <w:color w:val="auto"/>
              </w:rPr>
            </w:pPr>
          </w:p>
        </w:tc>
      </w:tr>
      <w:tr>
        <w:trPr>
          <w:trHeight w:val="216"/>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 and thereafter</w:t>
            </w:r>
          </w:p>
        </w:tc>
        <w:tc>
          <w:tcPr>
            <w:tcW w:w="24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1,326,192</w:t>
            </w:r>
          </w:p>
        </w:tc>
        <w:tc>
          <w:tcPr>
            <w:tcW w:w="120" w:type="dxa"/>
            <w:vAlign w:val="bottom"/>
            <w:tcBorders>
              <w:bottom w:val="single" w:sz="8" w:color="CFF0FC"/>
            </w:tcBorders>
          </w:tcPr>
          <w:p>
            <w:pPr>
              <w:spacing w:after="0"/>
              <w:rPr>
                <w:sz w:val="18"/>
                <w:szCs w:val="18"/>
                <w:color w:val="auto"/>
              </w:rPr>
            </w:pPr>
          </w:p>
        </w:tc>
      </w:tr>
      <w:tr>
        <w:trPr>
          <w:trHeight w:val="210"/>
        </w:trPr>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2,431,118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 xml:space="preserve">The Company and certain of its officers and directors were named as defendants in a putative consolidated class action in the United States District Court for the Central District of California regarding certain public statements in connection with the Company’s hepatitis B drug research. The consolidated class action, initially filed as </w:t>
      </w:r>
      <w:r>
        <w:rPr>
          <w:rFonts w:ascii="Arial" w:cs="Arial" w:eastAsia="Arial" w:hAnsi="Arial"/>
          <w:sz w:val="16"/>
          <w:szCs w:val="16"/>
          <w:i w:val="1"/>
          <w:iCs w:val="1"/>
          <w:color w:val="auto"/>
        </w:rPr>
        <w:t>Wang v. Arrowhead Research Corp., et al.</w:t>
      </w:r>
      <w:r>
        <w:rPr>
          <w:rFonts w:ascii="Arial" w:cs="Arial" w:eastAsia="Arial" w:hAnsi="Arial"/>
          <w:sz w:val="16"/>
          <w:szCs w:val="16"/>
          <w:color w:val="auto"/>
        </w:rPr>
        <w:t xml:space="preserve">, No. 2:14-cv-07890 (C.D. Cal., filed Oct. 10, 2014), and </w:t>
      </w:r>
      <w:r>
        <w:rPr>
          <w:rFonts w:ascii="Arial" w:cs="Arial" w:eastAsia="Arial" w:hAnsi="Arial"/>
          <w:sz w:val="16"/>
          <w:szCs w:val="16"/>
          <w:i w:val="1"/>
          <w:iCs w:val="1"/>
          <w:color w:val="auto"/>
        </w:rPr>
        <w:t>Eskinazi v. Arrowhead</w:t>
      </w:r>
      <w:r>
        <w:rPr>
          <w:rFonts w:ascii="Arial" w:cs="Arial" w:eastAsia="Arial" w:hAnsi="Arial"/>
          <w:sz w:val="16"/>
          <w:szCs w:val="16"/>
          <w:color w:val="auto"/>
        </w:rPr>
        <w:t xml:space="preserve"> </w:t>
      </w:r>
      <w:r>
        <w:rPr>
          <w:rFonts w:ascii="Arial" w:cs="Arial" w:eastAsia="Arial" w:hAnsi="Arial"/>
          <w:sz w:val="16"/>
          <w:szCs w:val="16"/>
          <w:i w:val="1"/>
          <w:iCs w:val="1"/>
          <w:color w:val="auto"/>
        </w:rPr>
        <w:t>Research Corp., et al.</w:t>
      </w:r>
      <w:r>
        <w:rPr>
          <w:rFonts w:ascii="Arial" w:cs="Arial" w:eastAsia="Arial" w:hAnsi="Arial"/>
          <w:sz w:val="16"/>
          <w:szCs w:val="16"/>
          <w:color w:val="auto"/>
        </w:rPr>
        <w:t>, No. 2:14-cv-07911 (C.D. Cal., filed Oct. 13, 2014), asserted claims under Sections 10(b) and 20(a) of the Securities Exchange Act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1934 and sought damages in an unspecified amount. Additionally, three putative stockholder derivative actions captioned </w:t>
      </w:r>
      <w:r>
        <w:rPr>
          <w:rFonts w:ascii="Arial" w:cs="Arial" w:eastAsia="Arial" w:hAnsi="Arial"/>
          <w:sz w:val="16"/>
          <w:szCs w:val="16"/>
          <w:i w:val="1"/>
          <w:iCs w:val="1"/>
          <w:color w:val="auto"/>
        </w:rPr>
        <w:t>Weisman v. Anzalone et al</w:t>
      </w:r>
      <w:r>
        <w:rPr>
          <w:rFonts w:ascii="Arial" w:cs="Arial" w:eastAsia="Arial" w:hAnsi="Arial"/>
          <w:sz w:val="16"/>
          <w:szCs w:val="16"/>
          <w:color w:val="auto"/>
        </w:rPr>
        <w:t xml:space="preserve">., No. 2:14-cv-08982 (C.D. Cal., filed Nov. 20, 2014), </w:t>
      </w:r>
      <w:r>
        <w:rPr>
          <w:rFonts w:ascii="Arial" w:cs="Arial" w:eastAsia="Arial" w:hAnsi="Arial"/>
          <w:sz w:val="16"/>
          <w:szCs w:val="16"/>
          <w:i w:val="1"/>
          <w:iCs w:val="1"/>
          <w:color w:val="auto"/>
        </w:rPr>
        <w:t>Bernstein (Backus) v. Anzalone, et al.</w:t>
      </w:r>
      <w:r>
        <w:rPr>
          <w:rFonts w:ascii="Arial" w:cs="Arial" w:eastAsia="Arial" w:hAnsi="Arial"/>
          <w:sz w:val="16"/>
          <w:szCs w:val="16"/>
          <w:color w:val="auto"/>
        </w:rPr>
        <w:t xml:space="preserve">, No. 2:14-cv-09247 (C.D. Cal., filed Dec. 2, 2014); and </w:t>
      </w:r>
      <w:r>
        <w:rPr>
          <w:rFonts w:ascii="Arial" w:cs="Arial" w:eastAsia="Arial" w:hAnsi="Arial"/>
          <w:sz w:val="16"/>
          <w:szCs w:val="16"/>
          <w:i w:val="1"/>
          <w:iCs w:val="1"/>
          <w:color w:val="auto"/>
        </w:rPr>
        <w:t>Johnson v.</w:t>
      </w:r>
      <w:r>
        <w:rPr>
          <w:rFonts w:ascii="Arial" w:cs="Arial" w:eastAsia="Arial" w:hAnsi="Arial"/>
          <w:sz w:val="16"/>
          <w:szCs w:val="16"/>
          <w:color w:val="auto"/>
        </w:rPr>
        <w:t xml:space="preserve"> </w:t>
      </w:r>
      <w:r>
        <w:rPr>
          <w:rFonts w:ascii="Arial" w:cs="Arial" w:eastAsia="Arial" w:hAnsi="Arial"/>
          <w:sz w:val="16"/>
          <w:szCs w:val="16"/>
          <w:i w:val="1"/>
          <w:iCs w:val="1"/>
          <w:color w:val="auto"/>
        </w:rPr>
        <w:t>Anzalone, et al.</w:t>
      </w:r>
      <w:r>
        <w:rPr>
          <w:rFonts w:ascii="Arial" w:cs="Arial" w:eastAsia="Arial" w:hAnsi="Arial"/>
          <w:sz w:val="16"/>
          <w:szCs w:val="16"/>
          <w:color w:val="auto"/>
        </w:rPr>
        <w:t>, No. 2:15-cv-00446 (C.D. Cal., filed Jan. 22, 2015), were filed in the United States District Court for the Central District of California,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alleging breach of fiduciary duty by the Company’s Board of Directors in connection with the alleged facts underlying the securities claims. An additional consolidated derivative action asserting similar claims was filed in Los Angeles County Superior Court, initially filed as </w:t>
      </w:r>
      <w:r>
        <w:rPr>
          <w:rFonts w:ascii="Arial" w:cs="Arial" w:eastAsia="Arial" w:hAnsi="Arial"/>
          <w:sz w:val="16"/>
          <w:szCs w:val="16"/>
          <w:i w:val="1"/>
          <w:iCs w:val="1"/>
          <w:color w:val="auto"/>
        </w:rPr>
        <w:t>Bacchus v. Anzalone, et al.</w:t>
      </w:r>
      <w:r>
        <w:rPr>
          <w:rFonts w:ascii="Arial" w:cs="Arial" w:eastAsia="Arial" w:hAnsi="Arial"/>
          <w:sz w:val="16"/>
          <w:szCs w:val="16"/>
          <w:color w:val="auto"/>
        </w:rPr>
        <w:t xml:space="preserve">, (L.A. Super., filed Mar. 5, 2015); and </w:t>
      </w:r>
      <w:r>
        <w:rPr>
          <w:rFonts w:ascii="Arial" w:cs="Arial" w:eastAsia="Arial" w:hAnsi="Arial"/>
          <w:sz w:val="16"/>
          <w:szCs w:val="16"/>
          <w:i w:val="1"/>
          <w:iCs w:val="1"/>
          <w:color w:val="auto"/>
        </w:rPr>
        <w:t>Jackson v. Anzalone, et al.</w:t>
      </w:r>
      <w:r>
        <w:rPr>
          <w:rFonts w:ascii="Arial" w:cs="Arial" w:eastAsia="Arial" w:hAnsi="Arial"/>
          <w:sz w:val="16"/>
          <w:szCs w:val="16"/>
          <w:color w:val="auto"/>
        </w:rPr>
        <w:t xml:space="preserve"> (L.A. Super., filed Mar. 16, 2015). Each of these suits seeks damages in unspecified amounts and some seek various forms of injunctive relief. On October 7, 2016, the federal district court dismissed the consolidated class action with prejudice. Following the dismissal of the consolidated class action, the parties for the Weisman and Johnson actions jointly stipulated to dismiss the actions, with the parties bearing their own fees and costs. The parties to the Bernstein and consolidated derivative action agreed to stay the matters pending the resolution of the Ninth Circuit appeal of the dismissal of the consolidated class action. On February 15, 2018, the Ninth Circuit issued a memorandum affirming the district court’s dismissal of all claims. Plaintiffs in the consolidated derivative action voluntarily dismissed their case. The parties to the Bernstein action filed a stipulation to continue the stay of the action pending resolution of the Ninth Circuit appeal in Meller v. Arrowhead Pharmaceuticals, Inc., Case No. 2:16-cv-08505 (C.D. Cal.). The Company believes it has meritorious defenses and intends to vigorously defend itself in each of these matters. The Company makes provisions for liabilities when it is both probable that a liability has been incurred and the amount can be reasonably estimated. No such liability has been recorded related to these matters. The Company does not expect these matters to have a material effect on its Consolidated Financial Statements.</w:t>
      </w:r>
    </w:p>
    <w:p>
      <w:pPr>
        <w:spacing w:after="0" w:line="211"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 xml:space="preserve">The Company and certain executive officers were named as defendants in a putative consolidated class action in the United States District Court for the Central District of California regarding certain public statements in connection with the Company’s drug research programs. The consolidated class action, initially filed as </w:t>
      </w:r>
      <w:r>
        <w:rPr>
          <w:rFonts w:ascii="Arial" w:cs="Arial" w:eastAsia="Arial" w:hAnsi="Arial"/>
          <w:sz w:val="18"/>
          <w:szCs w:val="18"/>
          <w:i w:val="1"/>
          <w:iCs w:val="1"/>
          <w:color w:val="auto"/>
        </w:rPr>
        <w:t>Meller v. Arrowhead Pharmaceuticals, Inc., et al.</w:t>
      </w:r>
      <w:r>
        <w:rPr>
          <w:rFonts w:ascii="Arial" w:cs="Arial" w:eastAsia="Arial" w:hAnsi="Arial"/>
          <w:sz w:val="18"/>
          <w:szCs w:val="18"/>
          <w:color w:val="auto"/>
        </w:rPr>
        <w:t xml:space="preserve">, No. 2:16-cv-08505 (C.D. Cal, filed Nov. 15, 2016 ), </w:t>
      </w:r>
      <w:r>
        <w:rPr>
          <w:rFonts w:ascii="Arial" w:cs="Arial" w:eastAsia="Arial" w:hAnsi="Arial"/>
          <w:sz w:val="18"/>
          <w:szCs w:val="18"/>
          <w:i w:val="1"/>
          <w:iCs w:val="1"/>
          <w:color w:val="auto"/>
        </w:rPr>
        <w:t>Siegel v. Arrowhead</w:t>
      </w:r>
      <w:r>
        <w:rPr>
          <w:rFonts w:ascii="Arial" w:cs="Arial" w:eastAsia="Arial" w:hAnsi="Arial"/>
          <w:sz w:val="18"/>
          <w:szCs w:val="18"/>
          <w:color w:val="auto"/>
        </w:rPr>
        <w:t xml:space="preserve"> </w:t>
      </w:r>
      <w:r>
        <w:rPr>
          <w:rFonts w:ascii="Arial" w:cs="Arial" w:eastAsia="Arial" w:hAnsi="Arial"/>
          <w:sz w:val="18"/>
          <w:szCs w:val="18"/>
          <w:i w:val="1"/>
          <w:iCs w:val="1"/>
          <w:color w:val="auto"/>
        </w:rPr>
        <w:t>Pharmaceuticals, Inc., et al</w:t>
      </w:r>
      <w:r>
        <w:rPr>
          <w:rFonts w:ascii="Arial" w:cs="Arial" w:eastAsia="Arial" w:hAnsi="Arial"/>
          <w:sz w:val="18"/>
          <w:szCs w:val="18"/>
          <w:color w:val="auto"/>
        </w:rPr>
        <w:t>., No. 2:16-cv-8954 (C.D. Cal., filed Dec. 2, 2016), and</w:t>
      </w:r>
      <w:r>
        <w:rPr>
          <w:rFonts w:ascii="Arial" w:cs="Arial" w:eastAsia="Arial" w:hAnsi="Arial"/>
          <w:sz w:val="18"/>
          <w:szCs w:val="18"/>
          <w:i w:val="1"/>
          <w:iCs w:val="1"/>
          <w:color w:val="auto"/>
        </w:rPr>
        <w:t xml:space="preserve"> Unz v. Arrowhead Pharmaceuticals, Inc., et al</w:t>
      </w:r>
      <w:r>
        <w:rPr>
          <w:rFonts w:ascii="Arial" w:cs="Arial" w:eastAsia="Arial" w:hAnsi="Arial"/>
          <w:sz w:val="18"/>
          <w:szCs w:val="18"/>
          <w:color w:val="auto"/>
        </w:rPr>
        <w:t>., No.2:17-cv-00310 (C.D.</w:t>
      </w:r>
      <w:r>
        <w:rPr>
          <w:rFonts w:ascii="Arial" w:cs="Arial" w:eastAsia="Arial" w:hAnsi="Arial"/>
          <w:sz w:val="18"/>
          <w:szCs w:val="18"/>
          <w:i w:val="1"/>
          <w:iCs w:val="1"/>
          <w:color w:val="auto"/>
        </w:rPr>
        <w:t xml:space="preserve"> </w:t>
      </w:r>
      <w:r>
        <w:rPr>
          <w:rFonts w:ascii="Arial" w:cs="Arial" w:eastAsia="Arial" w:hAnsi="Arial"/>
          <w:sz w:val="18"/>
          <w:szCs w:val="18"/>
          <w:color w:val="auto"/>
        </w:rPr>
        <w:t>Cal., filed Jan. 13, 2017) asserts claims under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 w:name="page15"/>
    <w:bookmarkEnd w:id="14"/>
    <w:p>
      <w:pPr>
        <w:ind w:right="40"/>
        <w:spacing w:after="0" w:line="287" w:lineRule="auto"/>
        <w:rPr>
          <w:sz w:val="20"/>
          <w:szCs w:val="20"/>
          <w:color w:val="auto"/>
        </w:rPr>
      </w:pPr>
      <w:r>
        <w:rPr>
          <w:rFonts w:ascii="Arial" w:cs="Arial" w:eastAsia="Arial" w:hAnsi="Arial"/>
          <w:sz w:val="16"/>
          <w:szCs w:val="16"/>
          <w:color w:val="auto"/>
        </w:rPr>
        <w:t xml:space="preserve">Sections 10(b) and 20(a) of the Securities Exchange Act of 1934 regarding certain public statements in connection with the Company’s drug research programs and seek damages in an unspecified amount. Additionally, a putative stockholder derivative action captioned </w:t>
      </w:r>
      <w:r>
        <w:rPr>
          <w:rFonts w:ascii="Arial" w:cs="Arial" w:eastAsia="Arial" w:hAnsi="Arial"/>
          <w:sz w:val="16"/>
          <w:szCs w:val="16"/>
          <w:i w:val="1"/>
          <w:iCs w:val="1"/>
          <w:color w:val="auto"/>
        </w:rPr>
        <w:t>Johnson v. Anzalone, et al</w:t>
      </w:r>
      <w:r>
        <w:rPr>
          <w:rFonts w:ascii="Arial" w:cs="Arial" w:eastAsia="Arial" w:hAnsi="Arial"/>
          <w:sz w:val="16"/>
          <w:szCs w:val="16"/>
          <w:color w:val="auto"/>
        </w:rPr>
        <w:t xml:space="preserve">., (Los Angeles County Superior Court, filed January 19, 2017) asserting substantially similar claims is pending in Los Angeles County Superior Court and is stayed pending the related consolidated class action. Two additional putative stockholder derivative actions, captioned </w:t>
      </w:r>
      <w:r>
        <w:rPr>
          <w:rFonts w:ascii="Arial" w:cs="Arial" w:eastAsia="Arial" w:hAnsi="Arial"/>
          <w:sz w:val="16"/>
          <w:szCs w:val="16"/>
          <w:i w:val="1"/>
          <w:iCs w:val="1"/>
          <w:color w:val="auto"/>
        </w:rPr>
        <w:t>Lucas v. Anzalone, et al.,</w:t>
      </w:r>
      <w:r>
        <w:rPr>
          <w:rFonts w:ascii="Arial" w:cs="Arial" w:eastAsia="Arial" w:hAnsi="Arial"/>
          <w:sz w:val="16"/>
          <w:szCs w:val="16"/>
          <w:color w:val="auto"/>
        </w:rPr>
        <w:t xml:space="preserve"> No. 2:17-cv-03207 (C.D. Cal., filed April 28, 2017), and </w:t>
      </w:r>
      <w:r>
        <w:rPr>
          <w:rFonts w:ascii="Arial" w:cs="Arial" w:eastAsia="Arial" w:hAnsi="Arial"/>
          <w:sz w:val="16"/>
          <w:szCs w:val="16"/>
          <w:i w:val="1"/>
          <w:iCs w:val="1"/>
          <w:color w:val="auto"/>
        </w:rPr>
        <w:t>Singh v. Anzalone, et al</w:t>
      </w:r>
      <w:r>
        <w:rPr>
          <w:rFonts w:ascii="Arial" w:cs="Arial" w:eastAsia="Arial" w:hAnsi="Arial"/>
          <w:sz w:val="16"/>
          <w:szCs w:val="16"/>
          <w:color w:val="auto"/>
        </w:rPr>
        <w:t>., No. 2:17-cv-03160 (C.D. Cal., filed April 27, 2017), alleging breach of fiduciary duty by the Company’s Board of Directors in connection with the alleged facts underlying the securities claims, are pending in the United States District Court for the Central District of California. The Lucas and Singh actions have been consolidated. On December 21, 2017, the federal district court dismissed the consolidated class action with prejudice. On December 27, 2017 the plaintiffs appealed the dismissal to the United States Court of Appeals for the Ninth Circuit. The Lucas and Singh actions are stayed pending resolution of the Ninth Circuit appeal. The Company believes it has meritorious defenses and intends to vigorously defend itself in these matters. The Company makes provisions for liabilities when it is both probable that a liability has been incurred and the amount can be reasonably estimated. No such liability has been recorded related to these matters. The Company cannot predict the ultimate outcome of this matter and cannot accurately estimate any potential liability the Company may incur or the impact of the results of this matter on the Company.</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With regard to legal fees, such as attorney fees related to these matters or any other legal matters, the Company recognizes such costs as incurred.</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the normal course of business, we enter into various purchase commitments for the manufacture of drug components, for toxicology studies, and for clinical studies. As of March 31, 2018, these future commitments were estimated at approximately $23.5 million, of which approximately $13.5 million is expected to be incurred in fiscal 2018, and $10.0 is expected to be incurred beyond fiscal 2018.</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Technology License Commitments</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Company has licensed from third parties the rights to use certain technologies for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NDA and upon certain sales level milestones. These milestone payments could amount to the mid to upper double-digit millions of dollars. During the three and six months ended March 31, 2018 and 2017, the Company did not reach any milestones requiring milestone payments. In certain agreements, the Company may be required to make mid to high single-digit percentage royalty payments based on a percentage of the sales of the relevant products.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STOCK-BASED COMPENSATION</w:t>
      </w:r>
    </w:p>
    <w:p>
      <w:pPr>
        <w:spacing w:after="0" w:line="121"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Arrowhead has two plans that provide for equity-based compensation. Under the 2004 Equity Incentive Plan and 2013 Incentive Plan, as of March 31, 2018, 2,033,442 and 6,828,728 shares, respectively, of Arrowhead’s Common Stock are reserved for the grant of stock options, stock appreciation rights, restricted stock awards and performance unit/share awards to employees, consultants and others. No further grants may be made under the 2004 Equity Incentive Plan. As of March 31, 2018, there were options granted and outstanding to purchase 2,033,442 and 3,376,997 shares of Common Stock under the 2004 Equity Incentive Plan and the 2013 Incentive Plan, respectively, and there were 3,295,665 restricted stock units granted and outstanding under the 2013 Incentive Plan. Also, as of March 31, 2018, there were 595,050 shares reserved for options and 2,500 restricted stock units issued as inducement grants to new employees outside of equity compensation plans. During the three months ended March 31, 2018, no options or restricted stock units were granted under the 2004 Equity Incentive Plan, 467,000 options and 1,243,000 restricted stock units were granted under the 2013 Incentive Plan, and 78,000 options and no restricted stock units were granted as inducement awards to new employees outside of equity incentive plans. During the six months ended March 31, 2018, no options or restricted stock units were granted under the 2004 Equity Incentive Plan, 467,000 options and 1,243,000 restricted stock units were granted under the 2013 Incentive Plan, and 193,000 options and 2,500 restricted stock units were granted as inducement awards to new employees outside of equity incentive plans.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66" w:right="25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The following table summarizes information about stock options: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Per Share</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2017</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5,549,543</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660,000</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4.12</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(124,678)</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8.33</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(79,374)</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2018</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6,005,491</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w w:val="86"/>
              </w:rPr>
              <w:t>6.4 years</w:t>
            </w:r>
          </w:p>
        </w:tc>
        <w:tc>
          <w:tcPr>
            <w:tcW w:w="34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13,719,627</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Exercisable At March 31, 2018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4,244,466</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ind w:left="360"/>
              <w:spacing w:after="0"/>
              <w:rPr>
                <w:sz w:val="20"/>
                <w:szCs w:val="20"/>
                <w:color w:val="auto"/>
              </w:rPr>
            </w:pPr>
            <w:r>
              <w:rPr>
                <w:rFonts w:ascii="Arial" w:cs="Arial" w:eastAsia="Arial" w:hAnsi="Arial"/>
                <w:sz w:val="18"/>
                <w:szCs w:val="18"/>
                <w:color w:val="auto"/>
                <w:w w:val="86"/>
              </w:rPr>
              <w:t>5.5 years</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8,190,872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Stock-based compensation expense related to stock options for the three months ended March 31, 2018 and 2017 was $858,005 and $1,097,970, respectively. Stock-based compensation expense related to stock options for the six months ended March 31, 2018 and 2017 was $1,758,664 and $2,536,429, respectively. The Company does not recognize an income tax benefit as the Company is currently operating at a loss and an actual income tax benefit may not be realized. For non-qualified stock options, the loss creates a timing difference, resulting in a deferred tax asset, which is fully reserved by a valuation allowance.</w:t>
      </w:r>
    </w:p>
    <w:p>
      <w:pPr>
        <w:spacing w:after="0" w:line="18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grant date fair value of the options granted by the Company for the three months ended March 31, 2018 and 2017 was $1,944,007 and $563,340, respectively. The grant date fair value of the options granted by the Company for the six months ended March 31, 2018 and 2017 was $2,292,906 and $778,879, respectively.</w:t>
      </w:r>
    </w:p>
    <w:p>
      <w:pPr>
        <w:spacing w:after="0" w:line="181" w:lineRule="exact"/>
        <w:rPr>
          <w:sz w:val="20"/>
          <w:szCs w:val="20"/>
          <w:color w:val="auto"/>
        </w:rPr>
      </w:pPr>
    </w:p>
    <w:p>
      <w:pPr>
        <w:ind w:right="240" w:firstLine="518"/>
        <w:spacing w:after="0" w:line="342" w:lineRule="auto"/>
        <w:rPr>
          <w:sz w:val="20"/>
          <w:szCs w:val="20"/>
          <w:color w:val="auto"/>
        </w:rPr>
      </w:pPr>
      <w:r>
        <w:rPr>
          <w:rFonts w:ascii="Arial" w:cs="Arial" w:eastAsia="Arial" w:hAnsi="Arial"/>
          <w:sz w:val="16"/>
          <w:szCs w:val="16"/>
          <w:color w:val="auto"/>
        </w:rPr>
        <w:t>The intrinsic value of the options exercised during the three months ended March 31, 2018 and 2017 was $350,674 and $35,512, respectively. The intrinsic value of the options exercised during the six months ended March 31, 2018 and 2017 was $350,674 and $35,512, respectively.</w:t>
      </w:r>
    </w:p>
    <w:p>
      <w:pPr>
        <w:spacing w:after="0" w:line="124"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As of March 31, 2018, the pre-tax compensation expense for all outstanding unvested stock options in the amount of approximately $4,962,192 will be recognized in the Company’s results of operations over a weighted average period of 2.4 years.</w:t>
      </w:r>
    </w:p>
    <w:p>
      <w:pPr>
        <w:spacing w:after="0" w:line="170"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to value stock options are as follows:</w:t>
      </w:r>
    </w:p>
    <w:p>
      <w:pPr>
        <w:spacing w:after="0" w:line="311" w:lineRule="exact"/>
        <w:rPr>
          <w:sz w:val="20"/>
          <w:szCs w:val="20"/>
          <w:color w:val="auto"/>
        </w:rPr>
      </w:pPr>
    </w:p>
    <w:tbl>
      <w:tblPr>
        <w:tblLayout w:type="fixed"/>
        <w:tblInd w:w="7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33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Six Months Ended March 31,</w:t>
            </w: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10"/>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2.1 – 2.7%</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1.3 – 2.1%</w:t>
            </w:r>
          </w:p>
        </w:tc>
      </w:tr>
      <w:tr>
        <w:trPr>
          <w:trHeight w:val="216"/>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110%</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79%</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6.25</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5.75 - 6.25</w:t>
            </w:r>
          </w:p>
        </w:tc>
      </w:tr>
      <w:tr>
        <w:trPr>
          <w:trHeight w:val="216"/>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 options granted</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$3.47</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$1.36</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risk-free interest rate is based on that of the U.S. Treasury bond.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Restricted stock units (RSUs), including time-based and performance-based awards, were granted under the Company’s 2013 Incentive Plan and as inducement grants granted outside of the Plan. During the three months ended March 31, 2018, the Company issued 1,243,000 RSUs under the 2013 Incentive Plan and no RSUs outside of the equity incentive plans. During the six months ended March 31, 2018, the Company issued 1,243,000 RSUs under the 2013 Incentive Plan and 2,500 RSUs as an inducement award to a new employee outside of the equity incentive plans. At vesting, each outstanding RSU will be exchanged for one share of the Company’s Common Stock. RSU recipients may elect to net share settle upon vesting, in which case the Company pays the employee’s income taxes due upon vesting and withholds a number of shares of Common Stock of equal value. RSU awards generally vest subject to the satisfaction of service requirements or the satisfaction of both service requirements and achievement of certain performance targets.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of the Company’s RSUs: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RSUs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2017</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3,108,000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1,245,500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(1,005,333)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March 31, 2018</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3,298,167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80" w:firstLine="518"/>
        <w:spacing w:after="0" w:line="312" w:lineRule="auto"/>
        <w:rPr>
          <w:sz w:val="20"/>
          <w:szCs w:val="20"/>
          <w:color w:val="auto"/>
        </w:rPr>
      </w:pPr>
      <w:r>
        <w:rPr>
          <w:rFonts w:ascii="Arial" w:cs="Arial" w:eastAsia="Arial" w:hAnsi="Arial"/>
          <w:sz w:val="16"/>
          <w:szCs w:val="16"/>
          <w:color w:val="auto"/>
        </w:rPr>
        <w:t>During the three months ended March 31, 2018 and 2017, the Company recorded $598,808 and $646,261 of expense related to RSUs, respectively. During the six months ended March 31, 2018 and 2017, the Company recorded $1,790,690 and $1,632,244 of expense related to RSUs, respectively. Such expense is included in stock-based compensation expense in the Company’s Consolidated Statement of Operations and Comprehensive Loss.</w:t>
      </w:r>
    </w:p>
    <w:p>
      <w:pPr>
        <w:spacing w:after="0" w:line="147"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For RSUs, the grant date fair value of the award is based on the Company’s closing stock price at the grant date, with consideration given to the probability of achieving performance conditions for performance based awards.</w:t>
      </w:r>
    </w:p>
    <w:p>
      <w:pPr>
        <w:spacing w:after="0" w:line="170"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As of March 31, 2018, the pre-tax compensation expense for all unvested RSUs in the amount of approximately $3,592,224 will be recognized in the Company’s results of operations over a weighted average period of 2.6 years.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FAIR VALUE MEASUREMENTS</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62"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7" w:name="page18"/>
    <w:bookmarkEnd w:id="17"/>
    <w:p>
      <w:pPr>
        <w:ind w:firstLine="518"/>
        <w:spacing w:after="0" w:line="277" w:lineRule="auto"/>
        <w:rPr>
          <w:sz w:val="20"/>
          <w:szCs w:val="20"/>
          <w:color w:val="auto"/>
        </w:rPr>
      </w:pPr>
      <w:r>
        <w:rPr>
          <w:rFonts w:ascii="Arial" w:cs="Arial" w:eastAsia="Arial" w:hAnsi="Arial"/>
          <w:sz w:val="18"/>
          <w:szCs w:val="18"/>
          <w:color w:val="auto"/>
        </w:rPr>
        <w:t>The following table summarizes fair value measurements at March 31, 2018 and September 30, 2017 for assets and liabilities measured at fair value on a recurring basis: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March 31, 2018:</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210"/>
        </w:trPr>
        <w:tc>
          <w:tcPr>
            <w:tcW w:w="46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69,805,117</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69,805,117</w:t>
            </w:r>
          </w:p>
        </w:tc>
        <w:tc>
          <w:tcPr>
            <w:tcW w:w="40" w:type="dxa"/>
            <w:vAlign w:val="bottom"/>
            <w:tcBorders>
              <w:top w:val="single" w:sz="8" w:color="CFF0FC"/>
            </w:tcBorders>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21,495,443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21,495,443</w:t>
            </w:r>
          </w:p>
        </w:tc>
      </w:tr>
      <w:tr>
        <w:trPr>
          <w:trHeight w:val="216"/>
        </w:trPr>
        <w:tc>
          <w:tcPr>
            <w:tcW w:w="46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liabilities</w:t>
            </w:r>
          </w:p>
        </w:tc>
        <w:tc>
          <w:tcPr>
            <w:tcW w:w="26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r>
      <w:tr>
        <w:trPr>
          <w:trHeight w:val="230"/>
        </w:trPr>
        <w:tc>
          <w:tcPr>
            <w:tcW w:w="4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22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526"/>
        </w:trPr>
        <w:tc>
          <w:tcPr>
            <w:tcW w:w="5160" w:type="dxa"/>
            <w:vAlign w:val="bottom"/>
            <w:gridSpan w:val="2"/>
          </w:tcPr>
          <w:p>
            <w:pPr>
              <w:spacing w:after="0"/>
              <w:rPr>
                <w:sz w:val="20"/>
                <w:szCs w:val="20"/>
                <w:color w:val="auto"/>
              </w:rPr>
            </w:pPr>
            <w:r>
              <w:rPr>
                <w:rFonts w:ascii="Arial" w:cs="Arial" w:eastAsia="Arial" w:hAnsi="Arial"/>
                <w:sz w:val="18"/>
                <w:szCs w:val="18"/>
                <w:color w:val="auto"/>
              </w:rPr>
              <w:t>September 30, 2017:</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3"/>
          </w:tcPr>
          <w:p>
            <w:pPr>
              <w:ind w:left="14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210"/>
        </w:trPr>
        <w:tc>
          <w:tcPr>
            <w:tcW w:w="46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24,838,567</w:t>
            </w: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gridSpan w:val="2"/>
            <w:shd w:val="clear" w:color="auto" w:fill="CFF0FC"/>
          </w:tcPr>
          <w:p>
            <w:pPr>
              <w:spacing w:after="0"/>
              <w:rPr>
                <w:sz w:val="18"/>
                <w:szCs w:val="18"/>
                <w:color w:val="auto"/>
              </w:rPr>
            </w:pPr>
          </w:p>
        </w:tc>
        <w:tc>
          <w:tcPr>
            <w:tcW w:w="260" w:type="dxa"/>
            <w:vAlign w:val="bottom"/>
            <w:tcBorders>
              <w:top w:val="single" w:sz="8" w:color="auto"/>
            </w:tcBorders>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gridSpan w:val="2"/>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24,838,567</w:t>
            </w:r>
          </w:p>
        </w:tc>
        <w:tc>
          <w:tcPr>
            <w:tcW w:w="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40,434,784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40,434,784</w:t>
            </w:r>
          </w:p>
        </w:tc>
        <w:tc>
          <w:tcPr>
            <w:tcW w:w="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liabilities</w:t>
            </w:r>
          </w:p>
        </w:tc>
        <w:tc>
          <w:tcPr>
            <w:tcW w:w="26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695,114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695,114</w:t>
            </w:r>
          </w:p>
        </w:tc>
        <w:tc>
          <w:tcPr>
            <w:tcW w:w="40" w:type="dxa"/>
            <w:vAlign w:val="bottom"/>
            <w:shd w:val="clear" w:color="auto" w:fill="CFF0FC"/>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22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As part of a financing in January 2013, Arrowhead issued warrants to purchase up to 833,530 shares of Common Stock (the “2013 Warrants”) of which 0 warrants were outstanding at March 31, 2018. Further, as part of a financing in December 2012, Arrowhead issued warrants to purchase up to 912,543 shares of Common Stock (the “2012 Warrants”) of which warrants to exercise 143,811 shares remained unexercised and were cancelled at their expiration during the three months ended December 31, 2017. Each of the Warrants contained a mechanism to adjust the strike price upon the issuance of certain dilutive equity securities. If during the terms of the Warrants, the Company issued Common Stock at a price lower than the exercise price for the Warrants, the exercise price would be reduced to the amount equal to the issuance price of the Common Stock. As a result of these features, the Warrants were subject to derivative accounting as prescribed under ASC 815. Accordingly, the fair value of the Warrants on the date of issuance was estimated using an option pricing model and recorded on the Company’s Consolidated Balance Sheet as a derivative liability. The fair value of the Warrants was estimated at the end of each reporting period and the change in the fair value of the Warrants was recorded as a non-operating gain or loss as change in value of derivatives in the Company’s Consolidated Statement of Operations and Comprehensive Loss. During the three months ended March 31, 2018 and 2017, the Company recorded a non-cash gain/(loss) from the change in fair value of the derivative liability of $(18,598) and $(25,883), respectively. During the six months ended March 31, 2018 and 2017, the Company recorded a non-cash gain/(loss) from the change in fair value of the derivative liability of $432,141 and $1,428,948, respectively.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the derivative liability related to these Warrants:</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 w:type="dxa"/>
            <w:vAlign w:val="bottom"/>
            <w:vMerge w:val="restart"/>
          </w:tcPr>
          <w:p>
            <w:pPr>
              <w:spacing w:after="0"/>
              <w:rPr>
                <w:sz w:val="21"/>
                <w:szCs w:val="21"/>
                <w:color w:val="auto"/>
              </w:rPr>
            </w:pPr>
          </w:p>
        </w:tc>
        <w:tc>
          <w:tcPr>
            <w:tcW w:w="6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2017</w:t>
            </w:r>
          </w:p>
        </w:tc>
        <w:tc>
          <w:tcPr>
            <w:tcW w:w="140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695,114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(432,141)</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Net settlements</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(262,973)</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March 31, 2018</w:t>
            </w:r>
          </w:p>
        </w:tc>
        <w:tc>
          <w:tcPr>
            <w:tcW w:w="90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firstLine="518"/>
        <w:spacing w:after="0" w:line="259" w:lineRule="auto"/>
        <w:rPr>
          <w:sz w:val="20"/>
          <w:szCs w:val="20"/>
          <w:color w:val="auto"/>
        </w:rPr>
      </w:pPr>
      <w:r>
        <w:rPr>
          <w:rFonts w:ascii="Arial" w:cs="Arial" w:eastAsia="Arial" w:hAnsi="Arial"/>
          <w:sz w:val="18"/>
          <w:szCs w:val="18"/>
          <w:color w:val="auto"/>
        </w:rPr>
        <w:t>The derivative assets/liabilities were estimated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the Company’s derivatives liabilities was the Company’s stock price. Other inputs have a comparatively insignificant effect.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ind w:firstLine="518"/>
        <w:spacing w:after="0" w:line="269" w:lineRule="auto"/>
        <w:rPr>
          <w:sz w:val="20"/>
          <w:szCs w:val="20"/>
          <w:color w:val="auto"/>
        </w:rPr>
      </w:pPr>
      <w:r>
        <w:rPr>
          <w:rFonts w:ascii="Arial" w:cs="Arial" w:eastAsia="Arial" w:hAnsi="Arial"/>
          <w:sz w:val="17"/>
          <w:szCs w:val="17"/>
          <w:color w:val="auto"/>
        </w:rPr>
        <w:t>As of September 30, 2015, the Company had a liability for contingent consideration related to its acquisition of the Roche RNAi business completed in 2011.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the Company’s assumptions and experience. Estimating timing to complete the development and obtain approval of products is difficult, and there are inherent uncertainties in developing a product candidate, such as obtaining U.S. Food and Drug Administration (FDA) and other regulatory approvals. In determining the probability of regulatory approval and commercial success, the Company utilizes data regarding similar milestone events from several sources, including industry studies and its own experience. These fair value measurements represent Level 3 measurements as they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In November 2016, the Company announced the discontinuation of its clinical trial efforts for ARC-520, ARC-AAT and ARC-521. Given this development, the Company assessed the fair value of its contingent consideration obligation to be $0 at March 31, 2018 and September 30, 2017.</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8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Readers should carefully review the factors identified in our most recent Annual Report on Form 10-K under the caption “Risk Factors” as well as the additional risks described in other documents we file from time to time with the Securities and Exchange Commission (“SEC”), including subsequent quarterly reports on Form 10-Q.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and Recent Developments</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Arrowhead’s RNAi-based therapeutics leverage this natural pathway of gene silencing. The company's pipeline includes ARO-HBV for chronic hepatitis B virus, ARO-AAT for liver disease associated with alpha-1 antitrypsin deficiency (AATD), ARO-APOC3 and ARO-ANG3 for hypertriglyceridemia, ARO-ENaC for cystic fibrosis, ARO-HIF2 for renal cell carcinoma, and ARO-AMG1 for an undisclosed genetically validated cardiovascular target under a license and collaboration agreement with Amgen, Inc., a Delaware corporation (“Amgen”). ARO-LPA (AMG 890) for cardiovascular disease was out-licensed to Amgen in 2016.</w:t>
      </w:r>
    </w:p>
    <w:p>
      <w:pPr>
        <w:spacing w:after="0" w:line="182"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Arrowhead operates a lab facility in Madison, Wisconsin, where the Company’s research and development activities, including the development of RNAi therapeutics, are based. The Company’s principal executive offices are located in Pasadena, California.</w:t>
      </w:r>
    </w:p>
    <w:p>
      <w:pPr>
        <w:spacing w:after="0" w:line="170" w:lineRule="exact"/>
        <w:rPr>
          <w:sz w:val="20"/>
          <w:szCs w:val="20"/>
          <w:color w:val="auto"/>
        </w:rPr>
      </w:pPr>
    </w:p>
    <w:p>
      <w:pPr>
        <w:ind w:right="60" w:firstLine="518"/>
        <w:spacing w:after="0" w:line="224" w:lineRule="auto"/>
        <w:rPr>
          <w:sz w:val="20"/>
          <w:szCs w:val="20"/>
          <w:color w:val="auto"/>
        </w:rPr>
      </w:pPr>
      <w:r>
        <w:rPr>
          <w:rFonts w:ascii="Arial" w:cs="Arial" w:eastAsia="Arial" w:hAnsi="Arial"/>
          <w:sz w:val="18"/>
          <w:szCs w:val="18"/>
          <w:color w:val="auto"/>
        </w:rPr>
        <w:t>In fiscal 2017, Arrowhead refocused its resources on therapeutics that exclusively utilize the company’s Targeted RNAi Molecule (TRiM</w:t>
      </w:r>
      <w:r>
        <w:rPr>
          <w:rFonts w:ascii="Arial" w:cs="Arial" w:eastAsia="Arial" w:hAnsi="Arial"/>
          <w:sz w:val="26"/>
          <w:szCs w:val="26"/>
          <w:color w:val="auto"/>
          <w:vertAlign w:val="superscript"/>
        </w:rPr>
        <w:t>TM</w:t>
      </w:r>
      <w:r>
        <w:rPr>
          <w:rFonts w:ascii="Arial" w:cs="Arial" w:eastAsia="Arial" w:hAnsi="Arial"/>
          <w:sz w:val="18"/>
          <w:szCs w:val="18"/>
          <w:color w:val="auto"/>
        </w:rPr>
        <w:t>) platform technology. Therapeutics built on the TRiM</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platform have demonstrated high levels of pharmacologic activity in multiple animal models spanning several therapeutic areas. TRiM</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enabled therapeutics offer several potential advantages over prior generation and competing technologies, including: simplified manufacturing and reduced costs; multiple routes of administration including subcutaneous injection and inhaled administration; the ability to target multiple tissue types including liver, lung, and tumors; and the potential for improved safety and reduced risk of intracellular buildup, because there are less metabolites from smaller, simpler molecules. As part of an R&amp;D day in September 2017, the Company introduced its new TRiM</w:t>
      </w:r>
      <w:r>
        <w:rPr>
          <w:rFonts w:ascii="Arial" w:cs="Arial" w:eastAsia="Arial" w:hAnsi="Arial"/>
          <w:sz w:val="15"/>
          <w:szCs w:val="15"/>
          <w:color w:val="auto"/>
        </w:rPr>
        <w:t>TM</w:t>
      </w:r>
      <w:r>
        <w:rPr>
          <w:rFonts w:ascii="Arial" w:cs="Arial" w:eastAsia="Arial" w:hAnsi="Arial"/>
          <w:sz w:val="18"/>
          <w:szCs w:val="18"/>
          <w:color w:val="auto"/>
        </w:rPr>
        <w:t xml:space="preserve"> platform and made the following announcements regarding its pipeline candidates:</w:t>
      </w:r>
    </w:p>
    <w:p>
      <w:pPr>
        <w:spacing w:after="0" w:line="97" w:lineRule="exact"/>
        <w:rPr>
          <w:sz w:val="20"/>
          <w:szCs w:val="20"/>
          <w:color w:val="auto"/>
        </w:rPr>
      </w:pPr>
    </w:p>
    <w:p>
      <w:pPr>
        <w:ind w:left="1040" w:right="60" w:hanging="519"/>
        <w:spacing w:after="0" w:line="279"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ARO-AAT, Arrowhead's second generation subcutaneously administered clinical candidate for the treatment of alpha-1 antitrypsin deficiency liver disease, achieved up to 92% knockdown in monkeys, thought to be near complete suppression of hepatic production of the alpha-1 antitrypsin protein. In non-GLP rat and monkey exploratory toxicology studies, no changes in clinical chemistries or histopathology suggestive of organ toxicity were observed at doses up to 300 mg/kg (100x expected human dose).</w:t>
      </w:r>
    </w:p>
    <w:p>
      <w:pPr>
        <w:spacing w:after="0" w:line="63" w:lineRule="exact"/>
        <w:rPr>
          <w:rFonts w:ascii="Arial" w:cs="Arial" w:eastAsia="Arial" w:hAnsi="Arial"/>
          <w:sz w:val="17"/>
          <w:szCs w:val="17"/>
          <w:color w:val="auto"/>
        </w:rPr>
      </w:pPr>
    </w:p>
    <w:p>
      <w:pPr>
        <w:ind w:left="1040" w:right="20" w:hanging="519"/>
        <w:spacing w:after="0" w:line="259"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ARO-HBV, Arrowhead's third generation subcutaneously administered clinical candidate for the treatment of chronic hepatitis B virus infection, achieved up to 99.9% knockdown of hepatitis B surface antigen (HBsAg), e-antigen (HBeAg), and HBV DNA in rodent models. In a non-GLP rat exploratory toxicology study, no changes in clinical chemistries or histopathology changes suggestive of organ toxicity were observed at doses up to 300 mg/kg (75-100x expected human dose).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0" w:name="page21"/>
    <w:bookmarkEnd w:id="20"/>
    <w:p>
      <w:pPr>
        <w:ind w:left="1040" w:right="100" w:hanging="519"/>
        <w:spacing w:after="0" w:line="286"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Arrowhead has expanded its cardiovascular disease portfolio utilizing the TRiM™ platform. ARO-APOC3, targeting apolipoprotein C-III, and ARO-ANG3, targeting angiopoietin-like protein 3 (ANGPTL3) will be added to ARO-LPA (AMG 890) and ARO-AMG1, which are both partnered with Amgen. ARO-APOC3 and ARO-ANG3 will both be developed for the treatment of hypertriglyceridemia.</w:t>
      </w:r>
    </w:p>
    <w:p>
      <w:pPr>
        <w:spacing w:after="0" w:line="57" w:lineRule="exact"/>
        <w:rPr>
          <w:rFonts w:ascii="Arial" w:cs="Arial" w:eastAsia="Arial" w:hAnsi="Arial"/>
          <w:sz w:val="17"/>
          <w:szCs w:val="17"/>
          <w:color w:val="auto"/>
        </w:rPr>
      </w:pPr>
    </w:p>
    <w:p>
      <w:pPr>
        <w:ind w:left="1040" w:right="2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ARO-ENaC, the first generation candidate against cystic fibrosis, reached almost 90% target knockdown following inhaled administration in rodents.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ARO-HIF2 candidate targeting renal cell carcinoma achieved 85% target gene knockdown in a rodent tumor model.</w:t>
      </w:r>
    </w:p>
    <w:p>
      <w:pPr>
        <w:spacing w:after="0" w:line="225"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During the first half of fiscal 2018, the Company filed Clinical Trial Applications (CTAs) for ARO-AAT and ARO-HBV to begin a phase 1 clinical study and a phase 1 / 2 clinical study for each program, respectively, and each of these studies has now begun dosing. These applications represent the first of five planned regulatory submissions to advance our pipeline candidates into clinical trials over the next 12 months.</w:t>
      </w:r>
    </w:p>
    <w:p>
      <w:pPr>
        <w:spacing w:after="0" w:line="166"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The Company’s collaboration agreements with Amgen also continue to progress as it relates to the ARO-LPA (AMG 890) and ARO-AMG1 candidates. Under the terms of the agreements taken together, the Company has received $35 million in upfront payments and $21.5 million in the form of an equity investment by Amgen in the Company’s Common Stock, and could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ARO-LPA (AMG 890) Agreement.</w:t>
      </w:r>
    </w:p>
    <w:p>
      <w:pPr>
        <w:spacing w:after="0" w:line="17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Company continues to develop other clinical candidates for future clinical trials. Clinical candidates are tested internally and through GLP toxicology studies at outside laboratories. Drug materials for such studies and clinical trials are contracted to third-party manufactures when cGMP production is required.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“program costs”. If the clinical candidates progress through human testing, program costs will increase.</w:t>
      </w:r>
    </w:p>
    <w:p>
      <w:pPr>
        <w:spacing w:after="0" w:line="193"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Net losses were $14.9 million and $6.0 million during the three months ended March 31, 2018 and 2017, respectively. Net losses were $28.1 million and $18.1 million during the six months ended March 31, 2018 and 2017, respectively. Diluted losses per share were $0.18 and $0.08 during the three months ended March 31, 2018 and 2017, respectively. Diluted losses per share were $0.35 and $0.25 during the six months ended March 31, 2018 and 2017, respectively.</w:t>
      </w:r>
    </w:p>
    <w:p>
      <w:pPr>
        <w:spacing w:after="0" w:line="187"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The Company strengthened its liquidity and financial position through an equity offering completed in January 2018, which generated approximately $56.6 million of net cash proceeds for the Company. These cash proceeds secured the funding needed to continue to advance our preclinical and clinical candidates. The Company had $69.8 million of cash and cash equivalents, $21.7 million of short-term investments and $127.0 million of total assets as of March 31, 2018, as compared to $24.8 million, $40.8 million and $104.0 million as of September 30, 2017, respectively. Based upon the Company’s current cash resources and operating plan, the Company expects to have sufficient liquidity to fund operations for at least the next twelve months.</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 xml:space="preserve">Management makes certain judgments and uses certain estimates and assumptions when applying GAAP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require our most difficult, subjective or complex judgments in the preparation of our consolidated financial statements. For further information, see </w:t>
      </w:r>
      <w:r>
        <w:rPr>
          <w:rFonts w:ascii="Arial" w:cs="Arial" w:eastAsia="Arial" w:hAnsi="Arial"/>
          <w:sz w:val="16"/>
          <w:szCs w:val="16"/>
          <w:i w:val="1"/>
          <w:iCs w:val="1"/>
          <w:color w:val="auto"/>
        </w:rPr>
        <w:t>Note 1, Organization and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Policies</w:t>
      </w:r>
      <w:r>
        <w:rPr>
          <w:rFonts w:ascii="Arial" w:cs="Arial" w:eastAsia="Arial" w:hAnsi="Arial"/>
          <w:sz w:val="16"/>
          <w:szCs w:val="16"/>
          <w:color w:val="auto"/>
        </w:rPr>
        <w:t>, to our Consolidated Financial Statements, which outlines our application of significant accounting policies.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Revenue from product sales is recorded when persuasive evidence of an arrangement exists, title has passed and delivery has occurred, a price is fixed and determinable, and collection is reasonably assured.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ind w:right="100" w:firstLine="518"/>
        <w:spacing w:after="0" w:line="259" w:lineRule="auto"/>
        <w:rPr>
          <w:sz w:val="20"/>
          <w:szCs w:val="20"/>
          <w:color w:val="auto"/>
        </w:rPr>
      </w:pPr>
      <w:r>
        <w:rPr>
          <w:rFonts w:ascii="Arial" w:cs="Arial" w:eastAsia="Arial" w:hAnsi="Arial"/>
          <w:sz w:val="18"/>
          <w:szCs w:val="18"/>
          <w:color w:val="auto"/>
        </w:rPr>
        <w:t>The Company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manufacturing and development services and various milestone and future product royalty or profit-sharing payments. These agreements are generally referred to as “multiple element arrangements”.</w:t>
      </w:r>
    </w:p>
    <w:p>
      <w:pPr>
        <w:spacing w:after="0" w:line="22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Company applies the accounting standard on revenue recognition for multiple element arrangements. The fair value of deliverables under the arrangement may be derived using a best estimate of selling price if vendor specific objective evidence and third-party evidence is not available. Deliverables under the arrangement will be separate units of accounting if a delivered item has value to the customer on a standalone basis and if the arrangement includes a general right of return for the delivered item, delivery or performance of the undelivered item is considered probable and substantially in the Company’s control.</w:t>
      </w:r>
    </w:p>
    <w:p>
      <w:pPr>
        <w:spacing w:after="0" w:line="215"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to have standalone value, then the license and other undelivered performance obligations would be accounted for as a single unit of accounting. In this case, the license payments and payments for performance obligations are recognized as revenue over the estimated period of when the performance obligations are performed or deferred indefinitely until the undelivered performance obligation is determined.</w:t>
      </w:r>
    </w:p>
    <w:p>
      <w:pPr>
        <w:spacing w:after="0" w:line="234"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Whenever the Company determines that an arrangement should be accounted for as a single unit of accounting, the Company determines the period over which the performance obligations will be performed and revenue will be recognized. Revenue is recognized using a proportional performance or straight-line method. The proportional performance method is used when the level of effort required to complete performance obligations under an arrangement can be reasonably estimated. The amount of revenue recognized under the proportional performance method is determined by multiplying the total payments under the contract, excluding royalties and payments contingent upon achievement of milestones, by the ratio of the level of effort performed to date to the estimated total level of effort required to complete performance obligations under the arrangement. If the Company cannot reasonably estimate the level of effort to complete performance obligations under an arrangement, the Company recognizes revenue under the arrangement on a straight-line basis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20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Many of the Company’s collaboration agreements entitle the Company to additional payments upon the achievement of development, regulatory and sales performance-based milestones. If the achievement of a milestone is considered probable at the inception of the collaboration, the related milestone payment is included with other collaboration consideration, such as upfront fees and research funding, in the Company’s revenue calculation. Typically, these milestones are not considered probable at the inception of the collaboration. As such, milestones will typically be recognized in one of two ways depending on the timing of when the milestone is achieved. If the milestone is achieved during the performance period, then the Company will only recognize revenue to the extent of the proportional performance achieved at that date, or the proportion of the straight-line basis achieved at that date, and the remainder will be recorded as deferred revenue to be amortized over the remaining performance period. If the milestone is achieved after the performance period has completed and all performance obligations have been delivered, then the Company will recognize the milestone payment as revenue in its entirety in the period the milestone was achieved.</w:t>
      </w:r>
    </w:p>
    <w:p>
      <w:pPr>
        <w:spacing w:after="0" w:line="209" w:lineRule="exact"/>
        <w:rPr>
          <w:sz w:val="20"/>
          <w:szCs w:val="20"/>
          <w:color w:val="auto"/>
        </w:rPr>
      </w:pPr>
    </w:p>
    <w:p>
      <w:pPr>
        <w:ind w:right="300" w:firstLine="518"/>
        <w:spacing w:after="0" w:line="279" w:lineRule="auto"/>
        <w:rPr>
          <w:sz w:val="20"/>
          <w:szCs w:val="20"/>
          <w:color w:val="auto"/>
        </w:rPr>
      </w:pPr>
      <w:r>
        <w:rPr>
          <w:rFonts w:ascii="Arial" w:cs="Arial" w:eastAsia="Arial" w:hAnsi="Arial"/>
          <w:sz w:val="17"/>
          <w:szCs w:val="17"/>
          <w:color w:val="auto"/>
        </w:rPr>
        <w:t>Deferred revenue will be classified as part of Current or Long-Term Liabilities in the accompanying Consolidated Balance Sheets based on the Company’s estimate of the portion of the performance obligations regarding that revenue will be completed within the next 12 months divided by the total performance period estimate. This estimate is based on the Company’s current operating plan and, if the Company’s operating plan should change in the future, the Company may recognize a different amount of deferred revenue over the next 12-month period.</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impairment is indicated, recoverability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left="260"/>
        <w:spacing w:after="0"/>
        <w:rPr>
          <w:sz w:val="20"/>
          <w:szCs w:val="20"/>
          <w:color w:val="auto"/>
        </w:rPr>
      </w:pPr>
      <w:r>
        <w:rPr>
          <w:rFonts w:ascii="Arial" w:cs="Arial" w:eastAsia="Arial" w:hAnsi="Arial"/>
          <w:sz w:val="18"/>
          <w:szCs w:val="18"/>
          <w:i w:val="1"/>
          <w:iCs w:val="1"/>
          <w:color w:val="auto"/>
        </w:rPr>
        <w:t>Impairment of Intangible assets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Intangible assets consist of license agreements and patents acquired in conjunction with a business or asset acquisition. Intangible assets are monitored for potential impairment whenever events or circumstances indicate that the carrying amount may not be recoverable, and are also reviewed annually to determine whether any impairment is necessary. Based on ASU 2012-02, the annual review of intangible assets is performed via a two-step process. First, a qualitative assessment is performed to determine if it is more likely than not that the intangible asset is impaired. If required, a quantitative assessment is performed and, if necessary, impairment is recorded.</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account for stock-based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judgement by management.</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ind w:right="80" w:firstLine="518"/>
        <w:spacing w:after="0" w:line="286" w:lineRule="auto"/>
        <w:rPr>
          <w:sz w:val="20"/>
          <w:szCs w:val="20"/>
          <w:color w:val="auto"/>
        </w:rPr>
      </w:pPr>
      <w:r>
        <w:rPr>
          <w:rFonts w:ascii="Arial" w:cs="Arial" w:eastAsia="Arial" w:hAnsi="Arial"/>
          <w:sz w:val="16"/>
          <w:szCs w:val="16"/>
          <w:color w:val="auto"/>
        </w:rPr>
        <w:t>The consideration for our acquisitions often includes future payments that are contingent upon the occurrence of a particular event. For example, milestone payments might be based on progress of clinical development,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the occurrence of such contingent payments based on various assumptions and incorporating estimated success rates. Estimated payments are discounted using present value techniques to arrive at estimated fair value at the balance sheet date. Changes in the fair value of our contingent consideration obligations are recognized within our Consolidated Statements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data summarize our results of operations for the following periods indicated:</w:t>
      </w:r>
    </w:p>
    <w:p>
      <w:pPr>
        <w:spacing w:after="0" w:line="257"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3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March 31, 2018</w:t>
            </w:r>
          </w:p>
        </w:tc>
        <w:tc>
          <w:tcPr>
            <w:tcW w:w="200" w:type="dxa"/>
            <w:vAlign w:val="bottom"/>
          </w:tcPr>
          <w:p>
            <w:pPr>
              <w:spacing w:after="0"/>
              <w:rPr>
                <w:sz w:val="14"/>
                <w:szCs w:val="1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March 31, 2017</w:t>
            </w: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8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650,125</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8,985,930</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Operating Loss</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(15,034,059)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(6,129,642)</w:t>
            </w: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(14,884,311)</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(6,042,557)</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Loss per Share (Basic and Diluted)</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(0.18)</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(0.08)</w:t>
            </w:r>
          </w:p>
        </w:tc>
      </w:tr>
      <w:tr>
        <w:trPr>
          <w:trHeight w:val="395"/>
        </w:trPr>
        <w:tc>
          <w:tcPr>
            <w:tcW w:w="3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Pr>
          <w:p>
            <w:pPr>
              <w:spacing w:after="0"/>
              <w:rPr>
                <w:sz w:val="24"/>
                <w:szCs w:val="2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3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March 31, 2018</w:t>
            </w:r>
          </w:p>
        </w:tc>
        <w:tc>
          <w:tcPr>
            <w:tcW w:w="200" w:type="dxa"/>
            <w:vAlign w:val="bottom"/>
          </w:tcPr>
          <w:p>
            <w:pPr>
              <w:spacing w:after="0"/>
              <w:rPr>
                <w:sz w:val="14"/>
                <w:szCs w:val="1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March 31, 2017</w:t>
            </w: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8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4,159,946</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13,351,426</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Operating Loss</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(28,847,407)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(21,031,531)</w:t>
            </w: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(28,083,189)</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(18,128,667)</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Loss per Share (Basic and Diluted)</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(0.35)</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(0.25)</w:t>
            </w:r>
          </w:p>
        </w:tc>
      </w:tr>
    </w:tbl>
    <w:p>
      <w:pPr>
        <w:spacing w:after="0" w:line="201"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Revenue in both the three months and six months ended March 31, 2018 were lower than the Revenue in the three months and six months ended March 31, 2017 because the initial $30 million payment associated with the ARO-LPA (AMG 890) Agreement was recognized primarily in these previous periods. Operating Expenses were consistent in each period. The reduction in Revenue was the key driver of the increase in Loss per Share in the current periods as compared to the previous periods.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Total revenue was $650,125 and $8,985,930 for the three months ended March 31, 2018 and 2017, respectively. Total revenue was $4,159,946 and $13,351,426 for the six months ended March 31, 2018 and 2017, respectively. Revenue in the current period is primarily related to the upfront payments received from Amgen in 2016 that we are recognizing as Revenue as performance is completed for the ARO-LPA (AMG-890) and ARO-AMG1 Agreements. The decrease in our Revenue during the three months and six months ended March 31, 2018 was driven by a reduction in the amount of Revenue recognized associated with the $30 million upfront payment received from Amgen associated with the ARO-LPA (AMG-890) Agreement. We recognized Revenue from the ARO-LPA (AMG-890) Agreement on a straight-line basis as performance was completed from November 2016 thru October 2017.</w:t>
      </w:r>
    </w:p>
    <w:p>
      <w:pPr>
        <w:spacing w:after="0" w:line="189"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Under the terms of the ARO-LPA (AMG 890) Agreement, the Company has granted a worldwide, exclusive license to ARO-LPA (AMG 890) . The collaboration between the Company and Amgen is governed by a joint research committee comprised of an equal number of representatives from each party; however, Amgen has the final decision making authority regarding ARO-LPA (AMG 890) in this committee. The Company is also responsible for assisting Amgen in the oversight of certain development and manufacturing activities, most of which are to be covered at Amgen’s cost. The Company has determined that the significant deliverables under the ARO-LPA (AMG 890) Agreement include the license and the oversight of certain of the development and manufacturing activities.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recognized revenue on a straight-line basis from November 18, 2016 (the Hart-Scott-Rodino clearance date) through October 31, 2017, which is the date where the significant development and manufacturing related deliverables were completed. The Company received the upfront payment of $30 million due under this agreement in November 2016. The upfront $30 million payment was recorded as Deferred Revenue, and $2.7 million of this was amortized into Revenue during the three months ended December 31, 2017. The upfront $30 million payment has been fully recognized, and no balance remains in Deferred Revenue as of March 31, 2018. During the three and six months ended March 31, 2017, $7.8 million and $11.5 million of the upfront $30 million payment was amortized into Revenue, respectively.</w:t>
      </w:r>
    </w:p>
    <w:p>
      <w:pPr>
        <w:spacing w:after="0" w:line="17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Under the terms of the ARO-AMG1 Agreement, the Company has granted an option to a worldwide, exclusive license to ARO-AMG1, an undisclosed genetically validated cardiovascular target. The collaboration between the Company and Amgen is governed by a joint steering committee comprised of an equal number of representatives from each party. The Company is also responsible for developing, optimizing and manufacturing the candidate through certain preclinical efficacy and toxicology studies to determine whether the candidate the Company has developed meets the required criteria as defined in the agreement (the “Arrowhead Deliverable”). If this is achieved, Amgen will then have the option to an exclusive license for the intellectual property generated through the Company’s development efforts, and will likely assume all development, regulatory and commercialization efforts for the candidate upon the option exercise. The Company has determined that the significant deliverables under the ARO-AMG1 Agreement include the license, the joint research committee and the development and manufacturing activities toward achieving the Arrowhead Deliverable. The Company also determined that, pursuant to the accounting guidance governing revenue recognition on multiple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4" w:name="page25"/>
    <w:bookmarkEnd w:id="24"/>
    <w:p>
      <w:pPr>
        <w:ind w:right="20"/>
        <w:spacing w:after="0" w:line="254" w:lineRule="auto"/>
        <w:rPr>
          <w:sz w:val="20"/>
          <w:szCs w:val="20"/>
          <w:color w:val="auto"/>
        </w:rPr>
      </w:pPr>
      <w:r>
        <w:rPr>
          <w:rFonts w:ascii="Arial" w:cs="Arial" w:eastAsia="Arial" w:hAnsi="Arial"/>
          <w:sz w:val="18"/>
          <w:szCs w:val="18"/>
          <w:color w:val="auto"/>
        </w:rPr>
        <w:t>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will recognize revenue on a straight-line basis from October 1, 2016, through September 30, 2018. The due date for achieving the Arrowhead Deliverable is September 28, 2018. The Company received the upfront payment of $5 million due under this agreement in September 2016. The upfront $5 million payment was recorded as Deferred Revenue, and $0.6 million and $1.3 million of this was amortized into Revenue during the three and six months ended March 31, 2018, respectively. During the three and six months ended March 31, 2017, $0.6 million and $1.3 million of this upfront payment was amortized into Revenue, respectively. Of the upfront $5 million payment, $1.3 million remains in Deferred Revenue as of March 31, 2018.</w:t>
      </w:r>
    </w:p>
    <w:p>
      <w:pPr>
        <w:spacing w:after="0" w:line="192"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The Company also entered into a separate services agreement and separate statements of work with Amgen to provide certain services related to process development, manufacturing, materials supply, discovery studies, and other consulting services related to ARO-LPA (AMG 890) and ARO-AMG-1. During the three and six months ended March 31, 2018, these work orders generated approximately $0.03 and $0.2 million of Revenue, respectively. During the three and six months ended March 31, 2017, these work orders generated approximately $0.6 million and $0.6 million of Revenue, respectively.</w:t>
      </w:r>
    </w:p>
    <w:p>
      <w:pPr>
        <w:spacing w:after="0" w:line="25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The analysis below details the operating expenses and discusses the expenditures of the Company within the major expense categories. Certain reclassifications have been made to prior period operating expense categories to conform to the current period presentation. For purposes of comparison, the amounts for the three and six months ended March 31, 2018 and 2017 are shown in the tables below.</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 – Three and six months ended March 31, 2018 compared to the three and six months ended March 31, 2017</w:t>
      </w:r>
    </w:p>
    <w:p>
      <w:pPr>
        <w:spacing w:after="0" w:line="140"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R&amp;D expenses are related to the Company’s research and development efforts, and related program costs which are comprised primarily of outsourced costs related to the manufacturing of clinical supplies, toxicity/efficacy studies and clinical trial expenses. Internal costs primarily relate to operations at our research facility in Madison, Wisconsin, including facility costs and laboratory-related expenses. Salaries and stock compensation expense consist of salary, bonuses, payroll taxes and related benefits and stock compensation for our R&amp;D personnel. Depreciation and amortization expense relates to depreciation on lab equipment and leasehold improvements at our Madison research facility. The following table provides details of research and development expense for the periods indicated: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9"/>
              </w:rPr>
              <w:t>Three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Three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2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10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Increase (Decrease)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March 31,</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March 31,</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B6EA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B6EAFC"/>
            </w:tcBorders>
            <w:vMerge w:val="continue"/>
          </w:tcPr>
          <w:p>
            <w:pPr>
              <w:spacing w:after="0"/>
              <w:rPr>
                <w:sz w:val="14"/>
                <w:szCs w:val="14"/>
                <w:color w:val="auto"/>
              </w:rPr>
            </w:pPr>
          </w:p>
        </w:tc>
        <w:tc>
          <w:tcPr>
            <w:tcW w:w="10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B6EAFC"/>
            </w:tcBorders>
            <w:vMerge w:val="continue"/>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Salaries</w:t>
            </w: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2,812</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2,554</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258</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Stock compensation</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732</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In Vivo studies</w:t>
            </w: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779</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611</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168</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Drug manufacturing</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1,421</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1,119</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Toxicity/efficacy studies</w:t>
            </w: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1,372</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92</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1,280</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1391%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Clinical trials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3,159</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(2,078)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Facilities and related</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522</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Depreciation/amortization</w:t>
            </w: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1,145</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1,175</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(30)</w:t>
            </w: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Other R&amp;D</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1,172</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B6EAFC"/>
          </w:tcPr>
          <w:p>
            <w:pPr>
              <w:spacing w:after="0" w:line="20" w:lineRule="exact"/>
              <w:rPr>
                <w:sz w:val="1"/>
                <w:szCs w:val="1"/>
                <w:color w:val="auto"/>
              </w:rPr>
            </w:pPr>
          </w:p>
        </w:tc>
        <w:tc>
          <w:tcPr>
            <w:tcW w:w="14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vMerge w:val="restart"/>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12,002</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11,438</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564</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9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Borders>
              <w:top w:val="single" w:sz="8" w:color="auto"/>
            </w:tcBorders>
          </w:tcPr>
          <w:p>
            <w:pPr>
              <w:jc w:val="right"/>
              <w:ind w:right="233"/>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Six</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Six</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10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March 31,</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March 31,</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2018</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B6EAFC"/>
            </w:tcBorders>
            <w:vMerge w:val="continue"/>
          </w:tcPr>
          <w:p>
            <w:pPr>
              <w:spacing w:after="0"/>
              <w:rPr>
                <w:sz w:val="14"/>
                <w:szCs w:val="14"/>
                <w:color w:val="auto"/>
              </w:rPr>
            </w:pPr>
          </w:p>
        </w:tc>
        <w:tc>
          <w:tcPr>
            <w:tcW w:w="10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B6EAFC"/>
            </w:tcBorders>
            <w:vMerge w:val="continue"/>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Salaries</w:t>
            </w: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5,623</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5,804</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Stock compensation</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1,192</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1,567</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(375)</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In Vivo studies</w:t>
            </w: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1,459</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1,128</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331</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Drug manufacturing</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5,992</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3,656</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2,336</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Toxicity/efficacy studies</w:t>
            </w: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3,256</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607</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2,649</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Clinical trials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1,896</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7,823</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(5,927)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Facilities and related</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1,128</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1,115</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Depreciation/amortization</w:t>
            </w: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2,278</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2,352</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(74)</w:t>
            </w: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Other R&amp;D</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2,076</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2,174</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vMerge w:val="restart"/>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24,922</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26,226</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(1,304)</w:t>
            </w:r>
          </w:p>
        </w:tc>
        <w:tc>
          <w:tcPr>
            <w:tcW w:w="260" w:type="dxa"/>
            <w:vAlign w:val="bottom"/>
            <w:vMerge w:val="continue"/>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Salaries expense increased by $258,000 from $2,554,000 during the three months ended March 31, 2017 to $2,812,000 during the current period. Salaries expense decreased by $181,000 from $5,804,000 during the six months ended March 31, 2017 to $5,623,000 during the current period. The increase in the three-month period is primarily due to an increase in R&amp;D headcount that has occurred since the Company’s reduction in force in late 2016 associated with the discontinuation of our previous clinical candidates. The decrease in the six month period is primarily due to higher R&amp;D headcount for a portion of the previous period (before the workforce reduction in late 2016), and severance costs associated with this workforce reduction.</w:t>
      </w:r>
    </w:p>
    <w:p>
      <w:pPr>
        <w:spacing w:after="0" w:line="15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Stock compensation expense, a non-cash expense, decreased by $84,000 from $732,000 during the three months ended March 31, 2017 to $648,000 during the current period. Stock compensation expense decreased by $375,000 from $1,567,000 during the six months ended March 31, 2017 to $1,192,000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decrease in the expense in both periods is primarily due to a mix of lower grant date fair values of awards amortizing during the periods due to the Company’s stock price.</w:t>
      </w:r>
    </w:p>
    <w:p>
      <w:pPr>
        <w:spacing w:after="0" w:line="193"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In vivo studies expense increased by $168,000 from $611,000 during the three months ended March 31, 2017 to $779,000 during the current period. In vivo studies expense increased by $331,000 from $1,128,000 during the six months ended March 31, 2017 to $1,459,000 during the current period. In vivo studies expense can vary depending on the stage of preclinical candidates, the nature and amount of testing required and the cost variation of different in vivo testing models. The increase in in vivo studies expense in the current period is a result of additional discovery studies being conducted for the Company’s subcutaneous drug candidates.</w:t>
      </w:r>
    </w:p>
    <w:p>
      <w:pPr>
        <w:spacing w:after="0" w:line="188"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Drug manufacturing expense increased by $1,119,000 from $1,421,000 during the three months ended March 31, 2017 to $2,540,000 during the current period. Drug manufacturing expense increased by $2,336,000 from $3,656,000 during the six months ended March 31, 2017 to $5,992,000 during the current period. The increase primarily relates to the timing of manufacturing campaigns for ARO-AAT and ARO-HBV clinical trials and toxicology studies. We anticipate this expense to increase as we prepare to enter clinical trials with our other subcutaneous drug candidates.</w:t>
      </w:r>
    </w:p>
    <w:p>
      <w:pPr>
        <w:spacing w:after="0" w:line="171"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Toxicity/efficacy studies expense increased by $1,280,000 from $92,000 during the three months ended March 31, 2017 to $1,372,000 during the current period. Toxicity/efficacy studies expense increased by $2,649,000 from $607,000 during the six months ended March 31, 2017 to $3,256,000 during the current period. This category includes IND-enabling toxicology studies as well as post-IND toxicology studies, such as long-term toxicology studies, and other efficacy studies. The increase primarily relates to toxicology studies for ARO-AAT and ARO-HBV as each candidate progresses through clinical trials. We anticipate this expense to increase as we prepare to enter clinical trials with our other subcutaneous drug candidates.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62" w:right="239" w:bottom="1440" w:gutter="0" w:footer="0" w:header="0"/>
        </w:sectPr>
      </w:pPr>
    </w:p>
    <w:bookmarkStart w:id="26" w:name="page27"/>
    <w:bookmarkEnd w:id="26"/>
    <w:p>
      <w:pPr>
        <w:ind w:right="120" w:firstLine="518"/>
        <w:spacing w:after="0" w:line="257" w:lineRule="auto"/>
        <w:rPr>
          <w:sz w:val="20"/>
          <w:szCs w:val="20"/>
          <w:color w:val="auto"/>
        </w:rPr>
      </w:pPr>
      <w:r>
        <w:rPr>
          <w:rFonts w:ascii="Arial" w:cs="Arial" w:eastAsia="Arial" w:hAnsi="Arial"/>
          <w:sz w:val="18"/>
          <w:szCs w:val="18"/>
          <w:color w:val="auto"/>
        </w:rPr>
        <w:t>Clinical trials expense decreased by $2,078,000 from $3,159,000 during the three months ended March 31, 2017 to $1,081,000 during the current period. Clinical trials expense decreased by $5,927,000 from $7,823,000 during the six months ended March 31, 2017 to $1,896,000 during the current period. The decrease is primarily due to the discontinuation of our previous clinical candidates, and the close out of those studies. We anticipate this expense to increase as ARO-AAT and ARO-HBV progress through clinical trials and as we prepare to enter clinical trials with our other subcutaneous drug candidates.</w:t>
      </w:r>
    </w:p>
    <w:p>
      <w:pPr>
        <w:spacing w:after="0" w:line="18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License, royalty and milestones expense was relatively minor in both the three and six months ended March 31, 2017 and 2018. This category includes milestone payments which can vary from period to period depending on the nature of our various license agreements, and the timing of reaching various development milestones requiring payment. No significant milestones were achieved in either period.</w:t>
      </w:r>
    </w:p>
    <w:p>
      <w:pPr>
        <w:spacing w:after="0" w:line="181"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Facilities expense was consistent at $522,000 during the three months ended March 31, 2017 and $533,000 during the current period. Facilities expense was consistent at $1,115,000 during the six months ended March 31, 2017 and $1,128,000 during the current period. This category includes rental costs for our research and development facility in Madison, Wisconsin.</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Depreciation and amortization expense, a noncash expense, was consistent at $1,175,000 during the three months ended March 31, 2017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$1,145,000 during the current period. Depreciation and amortization expense, was consistent at $2,352,000 during the six months ended March 31, 2017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$2,278,000 during the current period. The majority of depreciation and amortization expense relates to depreciation on lab equipment at our Madison research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facility. In addition, the Company records depreciation on leasehold improvements at its Madison research facility.</w:t>
      </w:r>
    </w:p>
    <w:p>
      <w:pPr>
        <w:spacing w:after="0" w:line="211"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Other R&amp;D expense decreased by $83,000 from $1,172,000 during the three months ended March 31, 2017 to $1,089,000 during the current period. Other research expense decreased by $98,000 from $2,174,000 during the six months ended March 31, 2017 to $2,076,000 during the current period. This category includes the following costs to support discovery efforts and the advancement of current drug candidates: in-house laboratory supplies, outsourced labs services, and other miscellaneous research and development expenses. The decrease primarily relates to a reduction in outsourced lab services as we have expanded our in-house manufacturing capabilities.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&amp; Administrative Expenses – Three and six months ended March 31, 2018 compared to the three and six months ended March 31, 2017</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our general and administrative expenses for the periods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Three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Three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1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Increase (Decrease)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March 31,</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March 31,</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0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2018</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B6EAFC"/>
            </w:tcBorders>
            <w:vMerge w:val="continue"/>
          </w:tcPr>
          <w:p>
            <w:pPr>
              <w:spacing w:after="0"/>
              <w:rPr>
                <w:sz w:val="14"/>
                <w:szCs w:val="14"/>
                <w:color w:val="auto"/>
              </w:rPr>
            </w:pPr>
          </w:p>
        </w:tc>
        <w:tc>
          <w:tcPr>
            <w:tcW w:w="10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B6EAFC"/>
            </w:tcBorders>
            <w:vMerge w:val="continue"/>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Salaries</w:t>
            </w:r>
          </w:p>
        </w:tc>
        <w:tc>
          <w:tcPr>
            <w:tcW w:w="120" w:type="dxa"/>
            <w:vAlign w:val="bottom"/>
            <w:shd w:val="clear" w:color="auto" w:fill="B6EAFC"/>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1,330</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1,030</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Stock compensation</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809</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1,012</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(203)</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1,035</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1,171</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(136)</w:t>
            </w: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Facilities related</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Depreciation/amortization</w:t>
            </w: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(5)</w:t>
            </w: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Other G&amp;A</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328</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310</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vMerge w:val="restart"/>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3,682</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3,677</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6"/>
        </w:trPr>
        <w:tc>
          <w:tcPr>
            <w:tcW w:w="39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5"/>
              </w:rPr>
              <w:t>Six</w:t>
            </w:r>
          </w:p>
        </w:tc>
        <w:tc>
          <w:tcPr>
            <w:tcW w:w="2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Six</w:t>
            </w:r>
          </w:p>
        </w:tc>
        <w:tc>
          <w:tcPr>
            <w:tcW w:w="2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1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Increase (Decrease)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March 31,</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March 31,</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0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2018</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B6EAFC"/>
            </w:tcBorders>
            <w:vMerge w:val="continue"/>
          </w:tcPr>
          <w:p>
            <w:pPr>
              <w:spacing w:after="0"/>
              <w:rPr>
                <w:sz w:val="14"/>
                <w:szCs w:val="14"/>
                <w:color w:val="auto"/>
              </w:rPr>
            </w:pPr>
          </w:p>
        </w:tc>
        <w:tc>
          <w:tcPr>
            <w:tcW w:w="10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B6EAFC"/>
            </w:tcBorders>
            <w:vMerge w:val="continue"/>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Salaries</w:t>
            </w:r>
          </w:p>
        </w:tc>
        <w:tc>
          <w:tcPr>
            <w:tcW w:w="120" w:type="dxa"/>
            <w:vAlign w:val="bottom"/>
            <w:shd w:val="clear" w:color="auto" w:fill="B6EAFC"/>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2,505</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2,057</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448</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Stock compensation</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2,357</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2,602</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(245)</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2,181</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2,302</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(121)</w:t>
            </w: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Facilities related</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536</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(186)</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Depreciation/amortization</w:t>
            </w: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(5)</w:t>
            </w: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Other G&amp;A</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676</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639</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vMerge w:val="restart"/>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8,085</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8,157</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(72)</w:t>
            </w:r>
          </w:p>
        </w:tc>
        <w:tc>
          <w:tcPr>
            <w:tcW w:w="260" w:type="dxa"/>
            <w:vAlign w:val="bottom"/>
            <w:vMerge w:val="continue"/>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9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Borders>
              <w:top w:val="single" w:sz="8" w:color="auto"/>
            </w:tcBorders>
          </w:tcPr>
          <w:p>
            <w:pPr>
              <w:jc w:val="right"/>
              <w:ind w:right="234"/>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7" w:name="page28"/>
    <w:bookmarkEnd w:id="27"/>
    <w:p>
      <w:pPr>
        <w:ind w:left="520"/>
        <w:spacing w:after="0"/>
        <w:rPr>
          <w:sz w:val="20"/>
          <w:szCs w:val="20"/>
          <w:color w:val="auto"/>
        </w:rPr>
      </w:pPr>
      <w:r>
        <w:rPr>
          <w:rFonts w:ascii="Arial" w:cs="Arial" w:eastAsia="Arial" w:hAnsi="Arial"/>
          <w:sz w:val="17"/>
          <w:szCs w:val="17"/>
          <w:color w:val="auto"/>
        </w:rPr>
        <w:t>Salaries expense increased by $300,000 from $1,030,000 during the three months ended March 31, 2017 to $1,330,000 during the current</w:t>
      </w:r>
    </w:p>
    <w:p>
      <w:pPr>
        <w:spacing w:after="0" w:line="3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period. Salaries expense increased by $448,000 from $2,057,000 during the six months ended March 31, 2017 to $2,505,000 during the current period. The increase in both periods is primarily driven by annual merit increases and performance bonuses.</w:t>
      </w:r>
    </w:p>
    <w:p>
      <w:pPr>
        <w:spacing w:after="0" w:line="18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Stock compensation expense, a non-cash expense, decreased by $203,000 from $1,012,000 during the three months ended March 31, 2017 to $809,000 during the current period. Stock compensation expense decreased by $245,000 from $2,602,000 during the six months ended March 31, 2017 to $2,357,000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decrease in the expense in both periods is primarily due to a mix of lower grant date fair values of awards amortizing during the periods due to the Company’s stock price.</w:t>
      </w:r>
    </w:p>
    <w:p>
      <w:pPr>
        <w:spacing w:after="0" w:line="193"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Professional/outside services include legal, accounting, consulting, patent expenses, business insurance expenses and other outside services retained by the Company. Professional/outside services expense decreased by $136,000 from $1,171,000 during the three months ended March 31, 2017 to $1,035,000 during the current period. Professional/outside services expense decreased by $121,000 from $2,302,000 during the six months ended March 31, 2017 to $2,181,000 during the current period. The decrease primarily related to general business consulting projects in the previous periods that did not recur.</w:t>
      </w:r>
    </w:p>
    <w:p>
      <w:pPr>
        <w:spacing w:after="0" w:line="154" w:lineRule="exact"/>
        <w:rPr>
          <w:sz w:val="20"/>
          <w:szCs w:val="20"/>
          <w:color w:val="auto"/>
        </w:rPr>
      </w:pPr>
    </w:p>
    <w:p>
      <w:pPr>
        <w:ind w:right="880" w:firstLine="518"/>
        <w:spacing w:after="0" w:line="291" w:lineRule="auto"/>
        <w:rPr>
          <w:sz w:val="20"/>
          <w:szCs w:val="20"/>
          <w:color w:val="auto"/>
        </w:rPr>
      </w:pPr>
      <w:r>
        <w:rPr>
          <w:rFonts w:ascii="Arial" w:cs="Arial" w:eastAsia="Arial" w:hAnsi="Arial"/>
          <w:sz w:val="16"/>
          <w:szCs w:val="16"/>
          <w:color w:val="auto"/>
        </w:rPr>
        <w:t>Facilities-related expense increased $31,000 from $141,000 during the three months ended March 31, 2017 to $172,000 during the current period. Facilities-related expense decreased $186,000 from $536,000 during the six months ended March 31, 2017 to $350,000 during the current</w:t>
      </w:r>
    </w:p>
    <w:p>
      <w:pPr>
        <w:ind w:right="20"/>
        <w:spacing w:after="0" w:line="290" w:lineRule="auto"/>
        <w:rPr>
          <w:sz w:val="20"/>
          <w:szCs w:val="20"/>
          <w:color w:val="auto"/>
        </w:rPr>
      </w:pPr>
      <w:r>
        <w:rPr>
          <w:rFonts w:ascii="Arial" w:cs="Arial" w:eastAsia="Arial" w:hAnsi="Arial"/>
          <w:sz w:val="17"/>
          <w:szCs w:val="17"/>
          <w:color w:val="auto"/>
        </w:rPr>
        <w:t>period. This category primarily includes rental costs for our corporate headquarters in Pasadena, California. However, the decrease in the six month period is primarily related to moving expenses incurred in the previous period associated with our research facility in Madison, Wisconsin.</w:t>
      </w:r>
    </w:p>
    <w:p>
      <w:pPr>
        <w:spacing w:after="0" w:line="53"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Depreciation and amortization expense, a noncash expense, was relatively minor in each of the periods. The majority of general and administrative depreciation and amortization expense relates to depreciation on leasehold improvements at our Pasadena headquarters.</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Other G&amp;A expense increased by $18,000 from $310,000 during the three months ended March 31, 2017 to $328,000 during the current period. Other G&amp;A expense increased by $37,000 from $639,000 during the six months ended March 31, 2017 to $676,000 during the current period. This category consists primarily of travel, communication and technology, office expenses, and franchise and property tax expenses. The increase in both periods was due to various travel and communication and technology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117"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Other income / expense was income of $87,085 and $149,748 during the three months ended March 31, 2017 and 2018, respectively. Other income / expense was income of $2,902,864 and $764,218 during the six months ended March 31, 2017 and 2018, respectively. The primary component of other income during the three month periods was interest income earned on our short-term investments. The primary component of other income during the six month periods was a change in the value of derivative liabilities related to certain warrants with a price adjustment feature, necessitating derivative accounting. The fluctuations were primarily driven by changes in the Company’s stock price, which had a corresponding impact to the valuation of the underlying warrants. Additionally, the Company recorded $1.3 million in other income due to an insurance settlement related to a previously settled litigation case. The settlement amount was received during the three months ended December 31, 2016.</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Resources</w:t>
      </w:r>
    </w:p>
    <w:p>
      <w:pPr>
        <w:spacing w:after="0" w:line="12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Arrowhead has historically financed its operations through the sale of its securities. Research and development activities have required significant capital investment since the Company’s inception and are expected to continue to require significant cash investment.</w:t>
      </w:r>
    </w:p>
    <w:p>
      <w:pPr>
        <w:spacing w:after="0" w:line="170"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At March 31, 2018, the Company had cash on hand of approximately $69.8 million as compared to $24.8 million at September 30, 2017. Excess cash invested in fixed income securities was $21.7 million at March 31, 2018, compared to $40.8 million at September 30, 2017. Additionally, on January 22, 2018, the Company sold 11,500,000 shares of Common Stock in a fully underwritten public offering, at a public offering price of $5.25 per share. Net proceeds to the Company were approximately $56.6 million after deducting underwriting commissions and discounts and other offering expenses payable by the Company. The Company believes its current financial resources are sufficient to fund its operations through at least the next twelve months.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color w:val="auto"/>
        </w:rPr>
        <w:t>A summary of cash flows for the six months ended March 31, 2018 and 2017 is as follows:</w:t>
      </w:r>
    </w:p>
    <w:p>
      <w:pPr>
        <w:spacing w:after="0" w:line="200" w:lineRule="exact"/>
        <w:rPr>
          <w:sz w:val="20"/>
          <w:szCs w:val="20"/>
          <w:color w:val="auto"/>
        </w:rPr>
      </w:pPr>
    </w:p>
    <w:p>
      <w:pPr>
        <w:spacing w:after="0" w:line="207"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Six Months Ended March 31,</w:t>
            </w:r>
          </w:p>
        </w:tc>
        <w:tc>
          <w:tcPr>
            <w:tcW w:w="120" w:type="dxa"/>
            <w:vAlign w:val="bottom"/>
          </w:tcPr>
          <w:p>
            <w:pPr>
              <w:spacing w:after="0"/>
              <w:rPr>
                <w:sz w:val="14"/>
                <w:szCs w:val="14"/>
                <w:color w:val="auto"/>
              </w:rPr>
            </w:pPr>
          </w:p>
        </w:tc>
        <w:tc>
          <w:tcPr>
            <w:tcW w:w="1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9"/>
              </w:rPr>
              <w:t>Six Months Ended March</w:t>
            </w:r>
          </w:p>
        </w:tc>
      </w:tr>
      <w:tr>
        <w:trPr>
          <w:trHeight w:val="171"/>
        </w:trPr>
        <w:tc>
          <w:tcPr>
            <w:tcW w:w="20" w:type="dxa"/>
            <w:vAlign w:val="bottom"/>
          </w:tcPr>
          <w:p>
            <w:pPr>
              <w:spacing w:after="0"/>
              <w:rPr>
                <w:sz w:val="14"/>
                <w:szCs w:val="14"/>
                <w:color w:val="auto"/>
              </w:rPr>
            </w:pPr>
          </w:p>
        </w:tc>
        <w:tc>
          <w:tcPr>
            <w:tcW w:w="356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31, 2017</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Continuing Operations:</w:t>
            </w:r>
          </w:p>
        </w:tc>
        <w:tc>
          <w:tcPr>
            <w:tcW w:w="6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Operating Activities</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(30,133,934)</w:t>
            </w:r>
          </w:p>
        </w:tc>
        <w:tc>
          <w:tcPr>
            <w:tcW w:w="48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(4,325,866)</w:t>
            </w: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6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18,172,661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(31,499,263)</w:t>
            </w:r>
          </w:p>
        </w:tc>
      </w:tr>
      <w:tr>
        <w:trPr>
          <w:trHeight w:val="230"/>
        </w:trPr>
        <w:tc>
          <w:tcPr>
            <w:tcW w:w="20" w:type="dxa"/>
            <w:vAlign w:val="bottom"/>
          </w:tcPr>
          <w:p>
            <w:pPr>
              <w:spacing w:after="0"/>
              <w:rPr>
                <w:sz w:val="19"/>
                <w:szCs w:val="19"/>
                <w:color w:val="auto"/>
              </w:rPr>
            </w:pPr>
          </w:p>
        </w:tc>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6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56,927,823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12,177,652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6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44,966,550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(23,647,477)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at Beginning of Period</w:t>
            </w:r>
          </w:p>
        </w:tc>
        <w:tc>
          <w:tcPr>
            <w:tcW w:w="6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24,838,567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85,366,448</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at End of Period</w:t>
            </w:r>
          </w:p>
        </w:tc>
        <w:tc>
          <w:tcPr>
            <w:tcW w:w="6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69,805,117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61,718,971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During the six months ended March 31, 2018, the Company used $30.1 million in cash from operating activities for the on-going expenses of its research and development programs and general and administrative expenses. Cash provided by investing activities was $18.2 million, which was primarily related to maturities of fixed-income investments of $23.7 million offset by purchases of fixed-income securities of $5.0 million. Cash provided by financing activities of $56.9 million was driven by the $56.6 million of cash generated from the fully underwritten public offering in January 2018.</w:t>
      </w:r>
    </w:p>
    <w:p>
      <w:pPr>
        <w:spacing w:after="0" w:line="171"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During the six months ended March 31, 2017, the Company used $4.3 million in cash from operating activities, primarily driven by $34.3 million of cash used for the on-going expenses of its research and development programs and general and administrative expenses, partially offset by the $30 million upfront payment received from Amgen. Cash used in investing activities was $31.5 million, which was primarily related to investments in short-term fixed-income securities of $24.8 million and $6.7 million of capital expenditures for leasehold improvements on the Company’s Madison research facility and lab equipment purchases. Cash generated by financing activities of $12.2 million was driven by the $12.5 million equity investment received from Amgen, and was partially offset by cash paid for employee taxes on net share settlements of restricted stock units that vested during the period.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arrangements or relationships.</w:t>
      </w:r>
    </w:p>
    <w:p>
      <w:pPr>
        <w:spacing w:after="0" w:line="3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There has been no material change in our exposure to market risk from that described in Item 7A of our Annual Report on Form 10-K for the year ended September 30, 2017, filed with the Securities and Exchange Commission on December 12, 2017.</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Chief Executive Officer and our Chief Financial Officer, after evaluating our “disclosure controls and procedures” (as defined in Rules 13a-15(e) and 15d-15(e)) of the Securities Exchange Act of 1934, as amended (the “Exchange Act”) as of the end of the period covered by this Quarterly Report on Form 10-Q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9"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From time to time, we may be involved in routine legal proceedings, as well as demands, claims and threatened litigation, which arise in the normal course of our business. Litigation can be expensive and disruptive to normal business operations. Moreover, the results of legal proceedings, particularly complex legal proceedings, cannot be predicted with any certainty. We disclosed information about certain of our legal proceedings in Part I, Item 3 of our Annual Report on Form 10-K for the year ended September 30, 2017. For an update to those disclosures, see Note 7 to the Consolidated Financial Statements under the heading “Litigation” in Part I, Item 1.</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year ended September 30, 2017. Please carefully consider the information set forth in this Quarterly Report on Form 10-Q and the risk factors discussed in Part I, “Item 1A. Risk Factors” in our Annual Report on Form 10-K for the year ended September 30, 2017,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29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information under this Item has been previously reported on our Current Reports on Form 8-K.</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gridSpan w:val="7"/>
          </w:tcPr>
          <w:p>
            <w:pPr>
              <w:ind w:left="2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1050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71"/>
        </w:trPr>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w:t>
            </w:r>
          </w:p>
        </w:tc>
        <w:tc>
          <w:tcPr>
            <w:tcW w:w="105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500" w:type="dxa"/>
            <w:vAlign w:val="bottom"/>
            <w:tcBorders>
              <w:top w:val="single" w:sz="8" w:color="auto"/>
            </w:tcBorders>
            <w:gridSpan w:val="7"/>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Chief Executive Officer pursuant to Rule 13a-14(a) of the Securities Exchange Act of 1934, as Adopted Pursuant to Section 302</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of the Sarbanes-Oxley Act of 2002*</w:t>
              </w:r>
            </w:hyperlink>
          </w:p>
        </w:tc>
        <w:tc>
          <w:tcPr>
            <w:tcW w:w="7780" w:type="dxa"/>
            <w:vAlign w:val="bottom"/>
            <w:tcBorders>
              <w:top w:val="single" w:sz="8" w:color="0000EE"/>
            </w:tcBorders>
            <w:gridSpan w:val="4"/>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3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Certification of Chief Financial Officer pursuant to Rule 13a-14(a) of the Securities Exchange Act of 1934, as Adopted Pursuant to Section 302</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of the Sarbanes-Oxley Act of 2002*</w:t>
              </w:r>
            </w:hyperlink>
          </w:p>
        </w:tc>
        <w:tc>
          <w:tcPr>
            <w:tcW w:w="78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500" w:type="dxa"/>
            <w:vAlign w:val="bottom"/>
            <w:gridSpan w:val="7"/>
          </w:tcPr>
          <w:p>
            <w:pPr>
              <w:spacing w:after="0"/>
              <w:rPr>
                <w:rFonts w:ascii="Arial" w:cs="Arial" w:eastAsia="Arial" w:hAnsi="Arial"/>
                <w:sz w:val="18"/>
                <w:szCs w:val="18"/>
                <w:color w:val="0000EE"/>
                <w:w w:val="93"/>
              </w:rPr>
            </w:pPr>
            <w:hyperlink w:anchor="page35">
              <w:r>
                <w:rPr>
                  <w:rFonts w:ascii="Arial" w:cs="Arial" w:eastAsia="Arial" w:hAnsi="Arial"/>
                  <w:sz w:val="18"/>
                  <w:szCs w:val="18"/>
                  <w:color w:val="0000EE"/>
                  <w:w w:val="93"/>
                </w:rPr>
                <w:t>Certification of Chief Executive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6"/>
              </w:rPr>
            </w:pPr>
            <w:hyperlink w:anchor="page35">
              <w:r>
                <w:rPr>
                  <w:rFonts w:ascii="Arial" w:cs="Arial" w:eastAsia="Arial" w:hAnsi="Arial"/>
                  <w:sz w:val="18"/>
                  <w:szCs w:val="18"/>
                  <w:color w:val="0000EE"/>
                  <w:w w:val="96"/>
                </w:rPr>
                <w:t>2002**</w:t>
              </w:r>
            </w:hyperlink>
          </w:p>
        </w:tc>
        <w:tc>
          <w:tcPr>
            <w:tcW w:w="2080" w:type="dxa"/>
            <w:vAlign w:val="bottom"/>
            <w:tcBorders>
              <w:top w:val="single" w:sz="8" w:color="0000EE"/>
            </w:tcBorders>
          </w:tcPr>
          <w:p>
            <w:pPr>
              <w:spacing w:after="0"/>
              <w:rPr>
                <w:sz w:val="17"/>
                <w:szCs w:val="17"/>
                <w:color w:val="auto"/>
              </w:rPr>
            </w:pPr>
          </w:p>
        </w:tc>
        <w:tc>
          <w:tcPr>
            <w:tcW w:w="76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500" w:type="dxa"/>
            <w:vAlign w:val="bottom"/>
            <w:gridSpan w:val="7"/>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Certification of Chief Financial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2002**</w:t>
              </w:r>
            </w:hyperlink>
          </w:p>
        </w:tc>
        <w:tc>
          <w:tcPr>
            <w:tcW w:w="2080" w:type="dxa"/>
            <w:vAlign w:val="bottom"/>
            <w:tcBorders>
              <w:top w:val="single" w:sz="8" w:color="0000EE"/>
            </w:tcBorders>
          </w:tcPr>
          <w:p>
            <w:pPr>
              <w:spacing w:after="0"/>
              <w:rPr>
                <w:sz w:val="17"/>
                <w:szCs w:val="17"/>
                <w:color w:val="auto"/>
              </w:rPr>
            </w:pPr>
          </w:p>
        </w:tc>
        <w:tc>
          <w:tcPr>
            <w:tcW w:w="76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920" w:right="20" w:hanging="912"/>
        <w:spacing w:after="0" w:line="286" w:lineRule="auto"/>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following materials from Registrant’s Quarterly Report on Form 10-Q for the quarter ended March 31, 2018, formatted in XBRL (Extensible Business Reporting Language): (1) Consolidated Balance Sheets, (2) Consolidated Statements of Operations, (3) Consolidated Statement of Stockholders’ Equity, (4) Consolidated Statements of Cash Flows, and (5) Notes to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9690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center"/>
        <w:ind w:right="-17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8, 2018</w:t>
      </w:r>
    </w:p>
    <w:p>
      <w:pPr>
        <w:spacing w:after="0" w:line="252"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ARROWHEAD PHARMACEUTICALS, INC.</w:t>
      </w:r>
    </w:p>
    <w:p>
      <w:pPr>
        <w:spacing w:after="0" w:line="252" w:lineRule="exact"/>
        <w:rPr>
          <w:sz w:val="20"/>
          <w:szCs w:val="20"/>
          <w:color w:val="auto"/>
        </w:rPr>
      </w:pPr>
    </w:p>
    <w:p>
      <w:pPr>
        <w:ind w:left="6840"/>
        <w:spacing w:after="0"/>
        <w:tabs>
          <w:tab w:leader="none" w:pos="7260" w:val="left"/>
        </w:tabs>
        <w:rPr>
          <w:sz w:val="20"/>
          <w:szCs w:val="20"/>
          <w:color w:val="auto"/>
        </w:rPr>
      </w:pPr>
      <w:r>
        <w:rPr>
          <w:rFonts w:ascii="Arial" w:cs="Arial" w:eastAsia="Arial" w:hAnsi="Arial"/>
          <w:sz w:val="18"/>
          <w:szCs w:val="18"/>
          <w:color w:val="auto"/>
        </w:rPr>
        <w:t>By:</w:t>
        <w:tab/>
        <w:t>/s/ Kenneth A. Myszkowski</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240" w:top="121" w:right="4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Pharmaceuticals, Inc., certify that:</w:t>
      </w:r>
    </w:p>
    <w:p>
      <w:pPr>
        <w:spacing w:after="0" w:line="77" w:lineRule="exact"/>
        <w:rPr>
          <w:sz w:val="20"/>
          <w:szCs w:val="20"/>
          <w:color w:val="auto"/>
        </w:rPr>
      </w:pPr>
    </w:p>
    <w:p>
      <w:pPr>
        <w:ind w:left="700" w:hanging="17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ind w:left="520" w:right="460" w:firstLine="499"/>
        <w:spacing w:after="0" w:line="334" w:lineRule="auto"/>
        <w:tabs>
          <w:tab w:leader="none" w:pos="1259"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0" w:firstLine="526"/>
        <w:spacing w:after="0" w:line="306" w:lineRule="auto"/>
        <w:tabs>
          <w:tab w:leader="none" w:pos="69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680" w:firstLine="499"/>
        <w:spacing w:after="0" w:line="306" w:lineRule="auto"/>
        <w:tabs>
          <w:tab w:leader="none" w:pos="1249"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360" w:firstLine="499"/>
        <w:spacing w:after="0" w:line="277" w:lineRule="auto"/>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131" w:lineRule="exact"/>
        <w:rPr>
          <w:sz w:val="20"/>
          <w:szCs w:val="20"/>
          <w:color w:val="auto"/>
        </w:rPr>
      </w:pPr>
    </w:p>
    <w:p>
      <w:pPr>
        <w:jc w:val="center"/>
        <w:ind w:left="462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-130810</wp:posOffset>
            </wp:positionV>
            <wp:extent cx="43135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13555" cy="8890"/>
                    </a:xfrm>
                    <a:prstGeom prst="rect">
                      <a:avLst/>
                    </a:prstGeom>
                    <a:noFill/>
                  </pic:spPr>
                </pic:pic>
              </a:graphicData>
            </a:graphic>
          </wp:anchor>
        </w:drawing>
      </w:r>
    </w:p>
    <w:p>
      <w:pPr>
        <w:spacing w:after="0" w:line="3"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35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Pharmaceuticals, Inc., certify that:</w:t>
      </w:r>
    </w:p>
    <w:p>
      <w:pPr>
        <w:spacing w:after="0" w:line="77" w:lineRule="exact"/>
        <w:rPr>
          <w:sz w:val="20"/>
          <w:szCs w:val="20"/>
          <w:color w:val="auto"/>
        </w:rPr>
      </w:pPr>
    </w:p>
    <w:p>
      <w:pPr>
        <w:ind w:left="700" w:hanging="174"/>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ind w:left="520" w:right="460" w:firstLine="499"/>
        <w:spacing w:after="0" w:line="334" w:lineRule="auto"/>
        <w:tabs>
          <w:tab w:leader="none" w:pos="1259"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0" w:firstLine="526"/>
        <w:spacing w:after="0" w:line="306" w:lineRule="auto"/>
        <w:tabs>
          <w:tab w:leader="none" w:pos="698"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680" w:firstLine="499"/>
        <w:spacing w:after="0" w:line="306" w:lineRule="auto"/>
        <w:tabs>
          <w:tab w:leader="none" w:pos="1249"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360" w:firstLine="499"/>
        <w:spacing w:after="0" w:line="277" w:lineRule="auto"/>
        <w:tabs>
          <w:tab w:leader="none" w:pos="1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131"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-130810</wp:posOffset>
            </wp:positionV>
            <wp:extent cx="43395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3"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35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jc w:val="both"/>
        <w:ind w:right="40" w:firstLine="518"/>
        <w:spacing w:after="0" w:line="302" w:lineRule="auto"/>
        <w:rPr>
          <w:sz w:val="20"/>
          <w:szCs w:val="20"/>
          <w:color w:val="auto"/>
        </w:rPr>
      </w:pPr>
      <w:r>
        <w:rPr>
          <w:rFonts w:ascii="Arial" w:cs="Arial" w:eastAsia="Arial" w:hAnsi="Arial"/>
          <w:sz w:val="16"/>
          <w:szCs w:val="16"/>
          <w:color w:val="auto"/>
        </w:rPr>
        <w:t>I, Christopher Anzalone, Chief Executive Officer of Arrowhead Pharmaceuticals, Inc. (the “Company”), certify, pursuant to Rule 13(a)-14(b) or Rule 15(d)-14(b) of the Securities Exchange Act of 1934 and 18 U.S.C. Section 1350, that (i) the Quarterly Report on Form 10-Q of the Company for the quarterly period ended March 31, 2018,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131"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Executive Officer</w:t>
      </w:r>
    </w:p>
    <w:p>
      <w:pPr>
        <w:spacing w:after="0" w:line="386"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420"/>
          </w:cols>
          <w:pgMar w:left="240" w:top="35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jc w:val="both"/>
        <w:ind w:right="240" w:firstLine="518"/>
        <w:spacing w:after="0" w:line="257" w:lineRule="auto"/>
        <w:rPr>
          <w:sz w:val="20"/>
          <w:szCs w:val="20"/>
          <w:color w:val="auto"/>
        </w:rPr>
      </w:pPr>
      <w:r>
        <w:rPr>
          <w:rFonts w:ascii="Arial" w:cs="Arial" w:eastAsia="Arial" w:hAnsi="Arial"/>
          <w:sz w:val="18"/>
          <w:szCs w:val="18"/>
          <w:color w:val="auto"/>
        </w:rPr>
        <w:t>I, Kenneth A. Myszkowski, Chief Financial Officer of Arrowhead Pharmaceuticals, Inc. (the “Company”), certify, pursuant to Rule 13(a)-14(b) or Rule 15(d)-14(b) of the Securities Exchange Act of 1934 and 18 U.S.C. Section 1350, that (i) the Quarterly Report on Form 10-Q of the Company for the quarterly period ended March 31, 2018,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131"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Financial Officer</w:t>
      </w:r>
    </w:p>
    <w:p>
      <w:pPr>
        <w:spacing w:after="0" w:line="386" w:lineRule="exact"/>
        <w:rPr>
          <w:sz w:val="20"/>
          <w:szCs w:val="20"/>
          <w:color w:val="auto"/>
        </w:rPr>
      </w:pPr>
    </w:p>
    <w:p>
      <w:pPr>
        <w:jc w:val="both"/>
        <w:ind w:right="24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0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2019-12-28T22:22:05Z</dcterms:created>
  <dcterms:modified xsi:type="dcterms:W3CDTF">2019-12-28T22:22:05Z</dcterms:modified>
</cp:coreProperties>
</file>