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148590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60"/>
          </w:cols>
          <w:pgMar w:left="240" w:top="382" w:right="31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20"/>
          </w:cols>
          <w:pgMar w:left="240" w:top="382" w:right="319" w:bottom="1440" w:gutter="0" w:footer="0" w:header="0"/>
          <w:type w:val="continuous"/>
        </w:sectPr>
      </w:pP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147955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type w:val="continuous"/>
        </w:sectPr>
      </w:pPr>
    </w:p>
    <w:p>
      <w:pPr>
        <w:spacing w:after="0" w:line="200" w:lineRule="exact"/>
        <w:rPr>
          <w:sz w:val="24"/>
          <w:szCs w:val="24"/>
          <w:color w:val="auto"/>
        </w:rPr>
      </w:pPr>
    </w:p>
    <w:p>
      <w:pPr>
        <w:spacing w:after="0" w:line="222"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20" w:type="dxa"/>
            <w:vAlign w:val="bottom"/>
          </w:tcPr>
          <w:p>
            <w:pPr>
              <w:spacing w:after="0"/>
              <w:rPr>
                <w:sz w:val="20"/>
                <w:szCs w:val="20"/>
                <w:color w:val="auto"/>
              </w:rPr>
            </w:pPr>
            <w:r>
              <w:rPr>
                <w:rFonts w:ascii="Arial" w:cs="Arial" w:eastAsia="Arial" w:hAnsi="Arial"/>
                <w:sz w:val="18"/>
                <w:szCs w:val="18"/>
                <w:color w:val="auto"/>
              </w:rPr>
              <w:t>Large accelerated</w:t>
            </w:r>
          </w:p>
        </w:tc>
        <w:tc>
          <w:tcPr>
            <w:tcW w:w="206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6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87"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tbl>
      <w:tblPr>
        <w:tblLayout w:type="fixed"/>
        <w:tblInd w:w="48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3760" w:type="dxa"/>
            <w:vAlign w:val="bottom"/>
            <w:gridSpan w:val="4"/>
          </w:tcPr>
          <w:p>
            <w:pPr>
              <w:jc w:val="center"/>
              <w:ind w:left="12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440" w:type="dxa"/>
            <w:vAlign w:val="bottom"/>
          </w:tcPr>
          <w:p>
            <w:pPr>
              <w:spacing w:after="0"/>
              <w:rPr>
                <w:sz w:val="16"/>
                <w:szCs w:val="16"/>
                <w:color w:val="auto"/>
              </w:rPr>
            </w:pPr>
          </w:p>
        </w:tc>
      </w:tr>
      <w:tr>
        <w:trPr>
          <w:trHeight w:val="350"/>
        </w:trPr>
        <w:tc>
          <w:tcPr>
            <w:tcW w:w="326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Title of each class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0"/>
        </w:trPr>
        <w:tc>
          <w:tcPr>
            <w:tcW w:w="3260" w:type="dxa"/>
            <w:vAlign w:val="bottom"/>
            <w:tcBorders>
              <w:top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ARWR</w:t>
            </w:r>
          </w:p>
        </w:tc>
        <w:tc>
          <w:tcPr>
            <w:tcW w:w="42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21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number of shares of the registrant’s common stock outstanding as of May 6, 2019 was 94,814,086.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20" w:type="dxa"/>
            <w:vAlign w:val="bottom"/>
            <w:gridSpan w:val="9"/>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620" w:type="dxa"/>
            <w:vAlign w:val="bottom"/>
            <w:gridSpan w:val="9"/>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1"/>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Statements of Operations and Comprehensive Loss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40" w:type="dxa"/>
            <w:vAlign w:val="bottom"/>
            <w:tcBorders>
              <w:top w:val="single" w:sz="8" w:color="0000EE"/>
            </w:tcBorders>
            <w:gridSpan w:val="1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590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1"/>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Consolidated Statements of Cash Flows</w:t>
              </w:r>
            </w:hyperlink>
          </w:p>
        </w:tc>
        <w:tc>
          <w:tcPr>
            <w:tcW w:w="704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8">
              <w:r>
                <w:rPr>
                  <w:rFonts w:ascii="Arial" w:cs="Arial" w:eastAsia="Arial" w:hAnsi="Arial"/>
                  <w:sz w:val="17"/>
                  <w:szCs w:val="17"/>
                  <w:color w:val="0000EE"/>
                  <w:w w:val="90"/>
                </w:rPr>
                <w:t>Notes to Consolidated Financial Statements</w:t>
              </w:r>
            </w:hyperlink>
          </w:p>
        </w:tc>
        <w:tc>
          <w:tcPr>
            <w:tcW w:w="7340" w:type="dxa"/>
            <w:vAlign w:val="bottom"/>
            <w:gridSpan w:val="8"/>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6"/>
          </w:tcPr>
          <w:p>
            <w:pPr>
              <w:spacing w:after="0"/>
              <w:rPr>
                <w:rFonts w:ascii="Arial" w:cs="Arial" w:eastAsia="Arial" w:hAnsi="Arial"/>
                <w:sz w:val="17"/>
                <w:szCs w:val="17"/>
                <w:color w:val="0000EE"/>
                <w:w w:val="97"/>
              </w:rPr>
            </w:pPr>
            <w:hyperlink w:anchor="page22">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33">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PART II — OTHER INFORMATION</w:t>
              </w:r>
            </w:hyperlink>
          </w:p>
        </w:tc>
        <w:tc>
          <w:tcPr>
            <w:tcW w:w="762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4">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1"/>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5"/>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4">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4"/>
          </w:tcPr>
          <w:p>
            <w:pPr>
              <w:spacing w:after="0"/>
              <w:rPr>
                <w:sz w:val="24"/>
                <w:szCs w:val="24"/>
                <w:color w:val="auto"/>
              </w:rPr>
            </w:pPr>
          </w:p>
        </w:tc>
        <w:tc>
          <w:tcPr>
            <w:tcW w:w="712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5">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w w:val="91"/>
              </w:rPr>
              <w:t>Arrowhead Pharmaceuticals, Inc.</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700" w:type="dxa"/>
            <w:vAlign w:val="bottom"/>
          </w:tcPr>
          <w:p>
            <w:pPr>
              <w:spacing w:after="0"/>
              <w:rPr>
                <w:sz w:val="5"/>
                <w:szCs w:val="5"/>
                <w:color w:val="auto"/>
              </w:rPr>
            </w:pPr>
          </w:p>
        </w:tc>
        <w:tc>
          <w:tcPr>
            <w:tcW w:w="7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161,639,208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30,133,213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13,422,340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327,375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1,757,928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1,267,717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Other current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1,590,195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640,117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Short term investments</w:t>
            </w:r>
          </w:p>
        </w:tc>
        <w:tc>
          <w:tcPr>
            <w:tcW w:w="2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56,560,674</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46,400,176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234,970,345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78,768,598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13,378,321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13,935,425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17,913,795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18,764,010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 term investments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67,536,054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1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141,918</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333,940,433</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111,609,951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4,062,189</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2,806,098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5,718,774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5,043,087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payroll and benefits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967,674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3,937,605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173,952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307,334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90,889,801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223,820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101,812,390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12,364,951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LONG-TERM LIABILITIES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 net of current portion</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1,754,869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1,702,801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revenue, net of current portion</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29,732,938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 net of current portion</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2,101,198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LONG-TERM LIABILITIES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31,487,807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4,003,999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Commitments and contingencies (Note 7)</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82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94,665,718 and 88,505,302 shares</w:t>
            </w:r>
          </w:p>
        </w:tc>
        <w:tc>
          <w:tcPr>
            <w:tcW w:w="2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issued and outstanding as of March 31, 2019 and September 30, 2018, respectively</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187,035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180,875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652,411,876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582,902,694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(71,906)</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(451,331,581)</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(487,265,816)</w:t>
            </w:r>
          </w:p>
        </w:tc>
        <w:tc>
          <w:tcPr>
            <w:tcW w:w="0" w:type="dxa"/>
            <w:vAlign w:val="bottom"/>
          </w:tcPr>
          <w:p>
            <w:pPr>
              <w:spacing w:after="0"/>
              <w:rPr>
                <w:sz w:val="1"/>
                <w:szCs w:val="1"/>
                <w:color w:val="auto"/>
              </w:rPr>
            </w:pPr>
          </w:p>
        </w:tc>
      </w:tr>
      <w:tr>
        <w:trPr>
          <w:trHeight w:val="169"/>
        </w:trPr>
        <w:tc>
          <w:tcPr>
            <w:tcW w:w="782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0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201,195,424</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95,796,189</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Noncontrolling interest</w:t>
            </w:r>
          </w:p>
        </w:tc>
        <w:tc>
          <w:tcPr>
            <w:tcW w:w="20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71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200,640,236</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95,241,001</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333,940,433</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111,609,951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7"/>
              </w:rPr>
              <w:t>Three Months Ended March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9"/>
              </w:rPr>
              <w:t>Six Months Ended March 31,</w:t>
            </w:r>
          </w:p>
        </w:tc>
        <w:tc>
          <w:tcPr>
            <w:tcW w:w="0" w:type="dxa"/>
            <w:vAlign w:val="bottom"/>
          </w:tcPr>
          <w:p>
            <w:pPr>
              <w:spacing w:after="0"/>
              <w:rPr>
                <w:sz w:val="1"/>
                <w:szCs w:val="1"/>
                <w:color w:val="auto"/>
              </w:rPr>
            </w:pPr>
          </w:p>
        </w:tc>
      </w:tr>
      <w:tr>
        <w:trPr>
          <w:trHeight w:val="219"/>
        </w:trPr>
        <w:tc>
          <w:tcPr>
            <w:tcW w:w="5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48,148,275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650,125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82,806,171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4,159,946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20,798,628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12,002,354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38,370,671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24,921,972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5,338,955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3,681,830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11,478,664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8,085,381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26,137,583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15,684,184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49,849,335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33,007,353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22,010,692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(15,034,059)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32,956,836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(28,847,407)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1,886,290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168,346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2,977,399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value of derivatives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(18,598)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1,886,290</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149,748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2,977,399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764,218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23,896,982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(14,884,311)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35,934,235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(28,083,189)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23,896,982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(14,884,311)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35,934,235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(28,083,189)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 PER SHARE - DILUTED</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94,155,407</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84,083,937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92,623,615</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79,406,838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98,082,644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84,083,937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97,214,546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79,406,838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(28,162)</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(50,342)</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23,868,820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(14,882,750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35,883,893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(28,091,156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restart"/>
            <w:shd w:val="clear" w:color="auto" w:fill="CFF0FC"/>
          </w:tcPr>
          <w:p>
            <w:pPr>
              <w:jc w:val="center"/>
              <w:ind w:right="239"/>
              <w:spacing w:after="0"/>
              <w:rPr>
                <w:sz w:val="20"/>
                <w:szCs w:val="20"/>
                <w:color w:val="auto"/>
              </w:rPr>
            </w:pPr>
            <w:r>
              <w:rPr>
                <w:rFonts w:ascii="Arial" w:cs="Arial" w:eastAsia="Arial" w:hAnsi="Arial"/>
                <w:sz w:val="14"/>
                <w:szCs w:val="14"/>
                <w:b w:val="1"/>
                <w:bCs w:val="1"/>
                <w:color w:val="auto"/>
              </w:rPr>
              <w:t>Non-</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center"/>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92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center"/>
              <w:ind w:right="239"/>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74,917,876</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167,287</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$ 516,577,723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23,704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(446,014,216)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70,199,310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1,456,813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1,456,813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79,374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193,046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 of warrants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86,023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218,130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218,217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Common stock- Restricted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Units 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987,125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987</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(55,655)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(54,668)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Common stock issued for cash at</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9"/>
              </w:rPr>
              <w:t>$5.25 per share, net of offering costs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11,500,000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56,573,535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56,585,035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1,561</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Net income (loss) for the three</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months ended March 31, 2018</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rPr>
              <w:t>(14,884,311)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98"/>
              </w:rPr>
              <w:t>(14,884,311)</w:t>
            </w: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March 31, 2018</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87,570,398</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179,940</w:t>
            </w:r>
          </w:p>
        </w:tc>
        <w:tc>
          <w:tcPr>
            <w:tcW w:w="1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$ 574,963,592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25,265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(460,898,527</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113,715,082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center"/>
              <w:ind w:right="239"/>
              <w:spacing w:after="0"/>
              <w:rPr>
                <w:sz w:val="20"/>
                <w:szCs w:val="20"/>
                <w:color w:val="auto"/>
              </w:rPr>
            </w:pPr>
            <w:r>
              <w:rPr>
                <w:rFonts w:ascii="Arial" w:cs="Arial" w:eastAsia="Arial" w:hAnsi="Arial"/>
                <w:sz w:val="14"/>
                <w:szCs w:val="14"/>
                <w:b w:val="1"/>
                <w:bCs w:val="1"/>
                <w:color w:val="auto"/>
              </w:rPr>
              <w:t>Non-</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center"/>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92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center"/>
              <w:ind w:right="239"/>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92,591,457</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184,961</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$ 647,142,565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(43,744)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(475,228,563)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171,500,031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2,601,348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2,601,348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535,915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2,669,501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2,670,037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Common stock- Restricted Stock</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Units vesting</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1,538,346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(1,538)</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Common stock issued for cash</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(28,162)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(28,162)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Net income (loss) for the three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months ended March 31, 2019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23,896,982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23,896,982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94,665,718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8"/>
              </w:rPr>
              <w:t>187,035</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$ 652,411,876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(71,906)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(451,331,581</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6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200,640,236</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center"/>
              <w:ind w:right="239"/>
              <w:spacing w:after="0"/>
              <w:rPr>
                <w:sz w:val="20"/>
                <w:szCs w:val="20"/>
                <w:color w:val="auto"/>
              </w:rPr>
            </w:pPr>
            <w:r>
              <w:rPr>
                <w:rFonts w:ascii="Arial" w:cs="Arial" w:eastAsia="Arial" w:hAnsi="Arial"/>
                <w:sz w:val="14"/>
                <w:szCs w:val="14"/>
                <w:b w:val="1"/>
                <w:bCs w:val="1"/>
                <w:color w:val="auto"/>
              </w:rPr>
              <w:t>Non-</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center"/>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92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center"/>
              <w:ind w:right="239"/>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September 30, 2017</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74,785,426</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167,155</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$ 514,037,301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33,232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(432,815,338)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80,867,162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3,549,354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3,549,354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79,374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193,046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 of warrants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208,473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666,021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666,230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Common stock- Restricted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Units 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997,125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997</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(55,665)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(54,668)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Common stock issued for cash at</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9"/>
              </w:rPr>
              <w:t>$5.25 per share, net of offering costs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11,500,000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56,573,535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56,585,035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(7,967)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(7,967)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Net income (loss) for the six months</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ended March 31, 2018</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rPr>
              <w:t>(28,083,189)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98"/>
              </w:rPr>
              <w:t>(28,083,189)</w:t>
            </w: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March 31, 2018</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87,570,398</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179,940</w:t>
            </w:r>
          </w:p>
        </w:tc>
        <w:tc>
          <w:tcPr>
            <w:tcW w:w="1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$ 574,963,592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25,265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(460,898,527</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113,715,082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380" w:top="121" w:right="1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rPr>
              <w:t>Non-</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Common</w:t>
            </w:r>
          </w:p>
        </w:tc>
        <w:tc>
          <w:tcPr>
            <w:tcW w:w="1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shd w:val="clear" w:color="auto" w:fill="CFF0FC"/>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860" w:type="dxa"/>
            <w:vAlign w:val="bottom"/>
            <w:gridSpan w:val="4"/>
            <w:shd w:val="clear" w:color="auto" w:fill="CFF0FC"/>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18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center"/>
              <w:ind w:right="79"/>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center"/>
              <w:ind w:right="179"/>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September 30, 2018</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88,505,302</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180,875</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$ 582,902,694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(21,564)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(487,265,816)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95,241,001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5,318,882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5,318,882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702,242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3,674,029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3,674,731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Common stock- Restricted Stock</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Units vesting</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2,197,305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2,197</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(2,197)</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Common stock issued for cash</w:t>
            </w:r>
          </w:p>
        </w:tc>
        <w:tc>
          <w:tcPr>
            <w:tcW w:w="740" w:type="dxa"/>
            <w:vAlign w:val="bottom"/>
          </w:tcPr>
          <w:p>
            <w:pPr>
              <w:jc w:val="right"/>
              <w:spacing w:after="0"/>
              <w:rPr>
                <w:sz w:val="20"/>
                <w:szCs w:val="20"/>
                <w:color w:val="auto"/>
              </w:rPr>
            </w:pPr>
            <w:r>
              <w:rPr>
                <w:rFonts w:ascii="Arial" w:cs="Arial" w:eastAsia="Arial" w:hAnsi="Arial"/>
                <w:sz w:val="14"/>
                <w:szCs w:val="14"/>
                <w:color w:val="auto"/>
              </w:rPr>
              <w:t>3,260,869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3,261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60,518,468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60,521,729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(50,342)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(50,342)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Net income (loss) for the six months</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ended March 31, 2019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35,934,235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35,934,235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94,665,718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8"/>
              </w:rPr>
              <w:t>187,035</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$ 652,411,876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(71,906)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(451,331,581</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200,640,236</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380" w:top="118"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 March 31,</w:t>
            </w:r>
          </w:p>
        </w:tc>
      </w:tr>
      <w:tr>
        <w:trPr>
          <w:trHeight w:val="188"/>
        </w:trPr>
        <w:tc>
          <w:tcPr>
            <w:tcW w:w="6120" w:type="dxa"/>
            <w:vAlign w:val="bottom"/>
            <w:tcBorders>
              <w:bottom w:val="single" w:sz="8" w:color="CFF0FC"/>
            </w:tcBorders>
          </w:tcPr>
          <w:p>
            <w:pPr>
              <w:spacing w:after="0"/>
              <w:rPr>
                <w:sz w:val="16"/>
                <w:szCs w:val="16"/>
                <w:color w:val="auto"/>
              </w:rPr>
            </w:pPr>
          </w:p>
        </w:tc>
        <w:tc>
          <w:tcPr>
            <w:tcW w:w="17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r>
      <w:tr>
        <w:trPr>
          <w:trHeight w:val="156"/>
        </w:trPr>
        <w:tc>
          <w:tcPr>
            <w:tcW w:w="61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7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20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35,934,235</w:t>
            </w:r>
          </w:p>
        </w:tc>
        <w:tc>
          <w:tcPr>
            <w:tcW w:w="30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(28,083,189)</w:t>
            </w:r>
          </w:p>
        </w:tc>
      </w:tr>
      <w:tr>
        <w:trPr>
          <w:trHeight w:val="176"/>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17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(432,141)</w:t>
            </w:r>
          </w:p>
        </w:tc>
      </w:tr>
      <w:tr>
        <w:trPr>
          <w:trHeight w:val="176"/>
        </w:trPr>
        <w:tc>
          <w:tcPr>
            <w:tcW w:w="61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5,318,882</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3,549,354</w:t>
            </w:r>
          </w:p>
        </w:tc>
        <w:tc>
          <w:tcPr>
            <w:tcW w:w="100" w:type="dxa"/>
            <w:vAlign w:val="bottom"/>
          </w:tcPr>
          <w:p>
            <w:pPr>
              <w:spacing w:after="0"/>
              <w:rPr>
                <w:sz w:val="15"/>
                <w:szCs w:val="15"/>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2,353,319</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2,294,639</w:t>
            </w: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330,229</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346,339</w:t>
            </w:r>
          </w:p>
        </w:tc>
        <w:tc>
          <w:tcPr>
            <w:tcW w:w="100" w:type="dxa"/>
            <w:vAlign w:val="bottom"/>
          </w:tcPr>
          <w:p>
            <w:pPr>
              <w:spacing w:after="0"/>
              <w:rPr>
                <w:sz w:val="14"/>
                <w:szCs w:val="14"/>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(13,094,965)</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51,510</w:t>
            </w:r>
          </w:p>
        </w:tc>
        <w:tc>
          <w:tcPr>
            <w:tcW w:w="100" w:type="dxa"/>
            <w:vAlign w:val="bottom"/>
          </w:tcPr>
          <w:p>
            <w:pPr>
              <w:spacing w:after="0"/>
              <w:rPr>
                <w:sz w:val="14"/>
                <w:szCs w:val="14"/>
                <w:color w:val="auto"/>
              </w:rPr>
            </w:pP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(1,440,287)</w:t>
            </w: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1,225,562</w:t>
            </w: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Deferred revenue</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120,622,138</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(3,704,740)</w:t>
            </w: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1,256,092</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(2,266,082)</w:t>
            </w: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(2,340,651)</w:t>
            </w: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(2,918,752)</w:t>
            </w: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(240,737)</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(196,434)</w:t>
            </w:r>
          </w:p>
        </w:tc>
      </w:tr>
      <w:tr>
        <w:trPr>
          <w:trHeight w:val="156"/>
        </w:trPr>
        <w:tc>
          <w:tcPr>
            <w:tcW w:w="612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7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148,698,255</w:t>
            </w:r>
          </w:p>
        </w:tc>
        <w:tc>
          <w:tcPr>
            <w:tcW w:w="3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(30,133,934)</w:t>
            </w:r>
          </w:p>
        </w:tc>
        <w:tc>
          <w:tcPr>
            <w:tcW w:w="100" w:type="dxa"/>
            <w:vAlign w:val="bottom"/>
          </w:tcPr>
          <w:p>
            <w:pPr>
              <w:spacing w:after="0"/>
              <w:rPr>
                <w:sz w:val="13"/>
                <w:szCs w:val="13"/>
                <w:color w:val="auto"/>
              </w:rPr>
            </w:pPr>
          </w:p>
        </w:tc>
      </w:tr>
      <w:tr>
        <w:trPr>
          <w:trHeight w:val="162"/>
        </w:trPr>
        <w:tc>
          <w:tcPr>
            <w:tcW w:w="61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(946,788)</w:t>
            </w: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(513,719)</w:t>
            </w: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marketable securities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(90,266,001)</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(5,018,040)</w:t>
            </w:r>
          </w:p>
        </w:tc>
      </w:tr>
      <w:tr>
        <w:trPr>
          <w:trHeight w:val="162"/>
        </w:trPr>
        <w:tc>
          <w:tcPr>
            <w:tcW w:w="61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12,239,219</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23,704,420</w:t>
            </w:r>
          </w:p>
        </w:tc>
        <w:tc>
          <w:tcPr>
            <w:tcW w:w="100" w:type="dxa"/>
            <w:vAlign w:val="bottom"/>
            <w:tcBorders>
              <w:bottom w:val="single" w:sz="8" w:color="CFF0FC"/>
            </w:tcBorders>
          </w:tcPr>
          <w:p>
            <w:pPr>
              <w:spacing w:after="0"/>
              <w:rPr>
                <w:sz w:val="14"/>
                <w:szCs w:val="14"/>
                <w:color w:val="auto"/>
              </w:rPr>
            </w:pPr>
          </w:p>
        </w:tc>
      </w:tr>
      <w:tr>
        <w:trPr>
          <w:trHeight w:val="156"/>
        </w:trPr>
        <w:tc>
          <w:tcPr>
            <w:tcW w:w="61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7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(78,973,570)</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18,172,661</w:t>
            </w:r>
          </w:p>
        </w:tc>
        <w:tc>
          <w:tcPr>
            <w:tcW w:w="100" w:type="dxa"/>
            <w:vAlign w:val="bottom"/>
            <w:shd w:val="clear" w:color="auto" w:fill="CFF0FC"/>
          </w:tcPr>
          <w:p>
            <w:pPr>
              <w:spacing w:after="0"/>
              <w:rPr>
                <w:sz w:val="13"/>
                <w:szCs w:val="13"/>
                <w:color w:val="auto"/>
              </w:rPr>
            </w:pPr>
          </w:p>
        </w:tc>
      </w:tr>
      <w:tr>
        <w:trPr>
          <w:trHeight w:val="162"/>
        </w:trPr>
        <w:tc>
          <w:tcPr>
            <w:tcW w:w="612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notes payable</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(2,415,150)</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(102,406)</w:t>
            </w: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(54,667)</w:t>
            </w: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warrants and stock options</w:t>
            </w:r>
          </w:p>
        </w:tc>
        <w:tc>
          <w:tcPr>
            <w:tcW w:w="17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3,674,731</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499,861</w:t>
            </w:r>
          </w:p>
        </w:tc>
        <w:tc>
          <w:tcPr>
            <w:tcW w:w="100" w:type="dxa"/>
            <w:vAlign w:val="bottom"/>
            <w:shd w:val="clear" w:color="auto" w:fill="CFF0FC"/>
          </w:tcPr>
          <w:p>
            <w:pPr>
              <w:spacing w:after="0"/>
              <w:rPr>
                <w:sz w:val="14"/>
                <w:szCs w:val="14"/>
                <w:color w:val="auto"/>
              </w:rPr>
            </w:pPr>
          </w:p>
        </w:tc>
      </w:tr>
      <w:tr>
        <w:trPr>
          <w:trHeight w:val="162"/>
        </w:trPr>
        <w:tc>
          <w:tcPr>
            <w:tcW w:w="61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1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60,521,729</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56,585,035</w:t>
            </w:r>
          </w:p>
        </w:tc>
        <w:tc>
          <w:tcPr>
            <w:tcW w:w="100" w:type="dxa"/>
            <w:vAlign w:val="bottom"/>
            <w:tcBorders>
              <w:bottom w:val="single" w:sz="8" w:color="CFF0FC"/>
            </w:tcBorders>
          </w:tcPr>
          <w:p>
            <w:pPr>
              <w:spacing w:after="0"/>
              <w:rPr>
                <w:sz w:val="14"/>
                <w:szCs w:val="14"/>
                <w:color w:val="auto"/>
              </w:rPr>
            </w:pPr>
          </w:p>
        </w:tc>
      </w:tr>
      <w:tr>
        <w:trPr>
          <w:trHeight w:val="156"/>
        </w:trPr>
        <w:tc>
          <w:tcPr>
            <w:tcW w:w="61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7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61,781,310</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56,927,823</w:t>
            </w:r>
          </w:p>
        </w:tc>
        <w:tc>
          <w:tcPr>
            <w:tcW w:w="100" w:type="dxa"/>
            <w:vAlign w:val="bottom"/>
            <w:shd w:val="clear" w:color="auto" w:fill="CFF0FC"/>
          </w:tcPr>
          <w:p>
            <w:pPr>
              <w:spacing w:after="0"/>
              <w:rPr>
                <w:sz w:val="13"/>
                <w:szCs w:val="13"/>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131,505,995</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44,966,550</w:t>
            </w:r>
          </w:p>
        </w:tc>
        <w:tc>
          <w:tcPr>
            <w:tcW w:w="100" w:type="dxa"/>
            <w:vAlign w:val="bottom"/>
          </w:tcPr>
          <w:p>
            <w:pPr>
              <w:spacing w:after="0"/>
              <w:rPr>
                <w:sz w:val="14"/>
                <w:szCs w:val="14"/>
                <w:color w:val="auto"/>
              </w:rPr>
            </w:pPr>
          </w:p>
        </w:tc>
      </w:tr>
      <w:tr>
        <w:trPr>
          <w:trHeight w:val="162"/>
        </w:trPr>
        <w:tc>
          <w:tcPr>
            <w:tcW w:w="61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BEGINNING OF PERIOD</w:t>
            </w:r>
          </w:p>
        </w:tc>
        <w:tc>
          <w:tcPr>
            <w:tcW w:w="170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30,133,213</w:t>
            </w:r>
          </w:p>
        </w:tc>
        <w:tc>
          <w:tcPr>
            <w:tcW w:w="30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100" w:type="dxa"/>
            <w:vAlign w:val="bottom"/>
            <w:shd w:val="clear" w:color="auto" w:fill="CFF0FC"/>
          </w:tcPr>
          <w:p>
            <w:pPr>
              <w:spacing w:after="0"/>
              <w:rPr>
                <w:sz w:val="14"/>
                <w:szCs w:val="14"/>
                <w:color w:val="auto"/>
              </w:rPr>
            </w:pPr>
          </w:p>
        </w:tc>
      </w:tr>
      <w:tr>
        <w:trPr>
          <w:trHeight w:val="196"/>
        </w:trPr>
        <w:tc>
          <w:tcPr>
            <w:tcW w:w="612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7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161,639,208</w:t>
            </w:r>
          </w:p>
        </w:tc>
        <w:tc>
          <w:tcPr>
            <w:tcW w:w="3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69,805,117</w:t>
            </w:r>
          </w:p>
        </w:tc>
        <w:tc>
          <w:tcPr>
            <w:tcW w:w="100" w:type="dxa"/>
            <w:vAlign w:val="bottom"/>
            <w:tcBorders>
              <w:bottom w:val="single" w:sz="8" w:color="CFF0FC"/>
            </w:tcBorders>
          </w:tcPr>
          <w:p>
            <w:pPr>
              <w:spacing w:after="0"/>
              <w:rPr>
                <w:sz w:val="17"/>
                <w:szCs w:val="17"/>
                <w:color w:val="auto"/>
              </w:rPr>
            </w:pPr>
          </w:p>
        </w:tc>
      </w:tr>
      <w:tr>
        <w:trPr>
          <w:trHeight w:val="143"/>
        </w:trPr>
        <w:tc>
          <w:tcPr>
            <w:tcW w:w="61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17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20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(27,437)</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(88,537)</w:t>
            </w: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Taxes Paid</w:t>
            </w:r>
          </w:p>
        </w:tc>
        <w:tc>
          <w:tcPr>
            <w:tcW w:w="2060" w:type="dxa"/>
            <w:vAlign w:val="bottom"/>
            <w:gridSpan w:val="2"/>
            <w:shd w:val="clear" w:color="auto" w:fill="CFF0FC"/>
          </w:tcPr>
          <w:p>
            <w:pPr>
              <w:jc w:val="right"/>
              <w:ind w:right="24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(2,400)</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(2,400)</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30"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right="60" w:firstLine="518"/>
        <w:spacing w:after="0" w:line="271"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ARO-ENaC for cystic fibrosis, and ARO-HIF2 for renal cell carcinoma. AMG-890 (ARO-LPA) for cardiovascular disease was out-licensed to Amgen Inc. in 2016. ARO-AMG1 for an undisclosed genetically validated cardiovascular target is under a license and collaboration agreement with Amgen Inc. JNJ-3989 (ARO-HBV) for chronic hepatitis B virus was out-licensed to Janssen Pharmaceuticals, Inc. in October 2018.</w:t>
      </w:r>
    </w:p>
    <w:p>
      <w:pPr>
        <w:spacing w:after="0" w:line="17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fiscal 2019, the Company has continued to develop its pipeline and partnered candidates. In April 2019, the Company presented clinical data for JNJ-3989 (ARO-HBV) and ARO-AAT at the International Liver Congress, and in April 2019, the Company received FDA clearance to commence a Phase 2/3 study of ARO-AAT that has the potential to serve as a pivotal registrational study. In December 2018 and January 2019, Clinical Trial Applications (CTAs) were filed for ARO-ANG3 and ARO-APOC3, respectively, and dosing has commenced for both trials. The Company also continues to work on optimizing its other extra-hepatic preclinical pipeline candidates including ARO-ENaC and ARO-HIF2. The Company delivered the Arrowhead Deliverable, as defined in its collaboration agreement, to Amgen for ARO-AMG1 in August 2018, and Amgen is currently progressing its phase 1 clinical study of AMG-890 (ARO-LPA).</w:t>
      </w:r>
    </w:p>
    <w:p>
      <w:pPr>
        <w:spacing w:after="0" w:line="18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Company also made significant progress on the business development and partnership front.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right="240"/>
        <w:spacing w:after="0" w:line="277" w:lineRule="auto"/>
        <w:rPr>
          <w:sz w:val="20"/>
          <w:szCs w:val="20"/>
          <w:color w:val="auto"/>
        </w:rPr>
      </w:pPr>
      <w:r>
        <w:rPr>
          <w:rFonts w:ascii="Arial" w:cs="Arial" w:eastAsia="Arial" w:hAnsi="Arial"/>
          <w:sz w:val="18"/>
          <w:szCs w:val="18"/>
          <w:color w:val="auto"/>
        </w:rPr>
        <w:t>Company’s ongoing Phase 1 / 2 study of JNJ-3989 (ARO-HBV). The revenue recognition for this milestone payment and the Janssen License Agreement and the Janssen Collaboration Agreement are discussed further in Note 2 below.</w:t>
      </w:r>
    </w:p>
    <w:p>
      <w:pPr>
        <w:spacing w:after="0" w:line="170"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6"/>
          <w:szCs w:val="16"/>
          <w:color w:val="auto"/>
        </w:rPr>
        <w:t>The Company’s collaboration agreements with Amgen for AMG 890 (ARO-LPA) and ARO-AMG1 continue to progress.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Agreement. On August 1, 2018, the Company announced that it had earned a $10 million milestone payment from Amgen following the administration of the first dose of AMG 890 (ARO-LPA) in a phase 1 clinical study. This milestone payment was recognized as revenue during the year ended September 30,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At March 31, 2019, the Company had $161.6 million in cash and cash equivalents, $56.6 million in short-term investments, and $67.5 million in long-term investments to fund operations. During the six months ended March 31, 2019, the Company’s cash and investments balance increased by $209.2 million, which was primarily the result of the $75 million equity investment and $175 million upfront payment from JJDC and Janssen, respectively, as discussed further in Note 2 below. These cash inflows were partially offset by cash outflows related to operating activities.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These condensed consolidated financial statements should be read in conjunction with the Company’s consolidated financial statements and the notes thereto contained in our Annual Report on Form 10-K for the year ended September 30, 2018.</w:t>
      </w:r>
    </w:p>
    <w:p>
      <w:pPr>
        <w:spacing w:after="0" w:line="16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March 31, 2019 and September 30, 2018.</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Concentration of Credit Risk—The Company maintains several bank accounts primarily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81"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 money market accounts, government-sponsored enterprise securities, corporate bonds and/or commercial paper. The Company accounts for its investment in marketable securities in accordance with FASB ASC 320, Investments – Debt and Equity Securities. This statement requires debt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 w:name="page10"/>
    <w:bookmarkEnd w:id="9"/>
    <w:p>
      <w:pPr>
        <w:ind w:left="520" w:right="560"/>
        <w:spacing w:after="0" w:line="277" w:lineRule="auto"/>
        <w:rPr>
          <w:sz w:val="20"/>
          <w:szCs w:val="20"/>
          <w:color w:val="auto"/>
        </w:rPr>
      </w:pPr>
      <w:r>
        <w:rPr>
          <w:rFonts w:ascii="Arial" w:cs="Arial" w:eastAsia="Arial" w:hAnsi="Arial"/>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 During the three and six months ended March 31, 2019 and 2018, respectively, all the Company’s investments were classified as held-to-maturity.</w:t>
      </w:r>
    </w:p>
    <w:p>
      <w:pPr>
        <w:spacing w:after="0" w:line="124"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Contingent Consideration - 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March 31, 2019 and September 30, 2018.</w:t>
      </w:r>
    </w:p>
    <w:p>
      <w:pPr>
        <w:spacing w:after="0" w:line="172" w:lineRule="exact"/>
        <w:rPr>
          <w:sz w:val="20"/>
          <w:szCs w:val="20"/>
          <w:color w:val="auto"/>
        </w:rPr>
      </w:pPr>
    </w:p>
    <w:p>
      <w:pPr>
        <w:jc w:val="both"/>
        <w:ind w:firstLine="588"/>
        <w:spacing w:after="0" w:line="297" w:lineRule="auto"/>
        <w:rPr>
          <w:sz w:val="20"/>
          <w:szCs w:val="20"/>
          <w:color w:val="auto"/>
        </w:rPr>
      </w:pPr>
      <w:r>
        <w:rPr>
          <w:rFonts w:ascii="Arial" w:cs="Arial" w:eastAsia="Arial" w:hAnsi="Arial"/>
          <w:sz w:val="16"/>
          <w:szCs w:val="16"/>
          <w:color w:val="auto"/>
        </w:rPr>
        <w:t>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and Janssen, and the analysis of the impact of this guidance on those agreements is discussed further in Note 2 below.</w:t>
      </w:r>
    </w:p>
    <w:p>
      <w:pPr>
        <w:spacing w:after="0" w:line="158" w:lineRule="exact"/>
        <w:rPr>
          <w:sz w:val="20"/>
          <w:szCs w:val="20"/>
          <w:color w:val="auto"/>
        </w:rPr>
      </w:pPr>
    </w:p>
    <w:p>
      <w:pPr>
        <w:jc w:val="both"/>
        <w:ind w:firstLine="588"/>
        <w:spacing w:after="0" w:line="288" w:lineRule="auto"/>
        <w:rPr>
          <w:sz w:val="20"/>
          <w:szCs w:val="20"/>
          <w:color w:val="auto"/>
        </w:rPr>
      </w:pPr>
      <w:r>
        <w:rPr>
          <w:rFonts w:ascii="Arial" w:cs="Arial" w:eastAsia="Arial" w:hAnsi="Arial"/>
          <w:sz w:val="16"/>
          <w:szCs w:val="16"/>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w:t>
      </w:r>
    </w:p>
    <w:p>
      <w:pPr>
        <w:jc w:val="both"/>
        <w:ind w:firstLine="8"/>
        <w:spacing w:after="0" w:line="271" w:lineRule="auto"/>
        <w:tabs>
          <w:tab w:leader="none" w:pos="227" w:val="left"/>
        </w:tabs>
        <w:numPr>
          <w:ilvl w:val="0"/>
          <w:numId w:val="3"/>
        </w:numPr>
        <w:rPr>
          <w:rFonts w:ascii="Arial" w:cs="Arial" w:eastAsia="Arial" w:hAnsi="Arial"/>
          <w:sz w:val="17"/>
          <w:szCs w:val="17"/>
          <w:color w:val="auto"/>
        </w:rPr>
      </w:pPr>
      <w:r>
        <w:rPr>
          <w:rFonts w:ascii="Arial" w:cs="Arial" w:eastAsia="Arial" w:hAnsi="Arial"/>
          <w:sz w:val="17"/>
          <w:szCs w:val="17"/>
          <w:color w:val="auto"/>
        </w:rPr>
        <w:t>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73" w:lineRule="exact"/>
        <w:rPr>
          <w:sz w:val="20"/>
          <w:szCs w:val="20"/>
          <w:color w:val="auto"/>
        </w:rPr>
      </w:pPr>
    </w:p>
    <w:p>
      <w:pPr>
        <w:jc w:val="both"/>
        <w:ind w:firstLine="588"/>
        <w:spacing w:after="0" w:line="254" w:lineRule="auto"/>
        <w:rPr>
          <w:sz w:val="20"/>
          <w:szCs w:val="20"/>
          <w:color w:val="auto"/>
        </w:rPr>
      </w:pPr>
      <w:r>
        <w:rPr>
          <w:rFonts w:ascii="Arial" w:cs="Arial" w:eastAsia="Arial" w:hAnsi="Arial"/>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92" w:lineRule="exact"/>
        <w:rPr>
          <w:sz w:val="20"/>
          <w:szCs w:val="20"/>
          <w:color w:val="auto"/>
        </w:rPr>
      </w:pPr>
    </w:p>
    <w:p>
      <w:pPr>
        <w:jc w:val="both"/>
        <w:ind w:firstLine="588"/>
        <w:spacing w:after="0" w:line="286" w:lineRule="auto"/>
        <w:rPr>
          <w:sz w:val="20"/>
          <w:szCs w:val="20"/>
          <w:color w:val="auto"/>
        </w:rPr>
      </w:pPr>
      <w:r>
        <w:rPr>
          <w:rFonts w:ascii="Arial" w:cs="Arial" w:eastAsia="Arial" w:hAnsi="Arial"/>
          <w:sz w:val="16"/>
          <w:szCs w:val="16"/>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Thus, the milestone or royalty payments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72"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color w:val="auto"/>
        </w:rPr>
        <w:t>The new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87" w:lineRule="exact"/>
        <w:rPr>
          <w:sz w:val="20"/>
          <w:szCs w:val="20"/>
          <w:color w:val="auto"/>
        </w:rPr>
      </w:pPr>
    </w:p>
    <w:p>
      <w:pPr>
        <w:jc w:val="both"/>
        <w:ind w:firstLine="588"/>
        <w:spacing w:after="0" w:line="293" w:lineRule="auto"/>
        <w:rPr>
          <w:sz w:val="20"/>
          <w:szCs w:val="20"/>
          <w:color w:val="auto"/>
        </w:rPr>
      </w:pPr>
      <w:r>
        <w:rPr>
          <w:rFonts w:ascii="Arial" w:cs="Arial" w:eastAsia="Arial" w:hAnsi="Arial"/>
          <w:sz w:val="16"/>
          <w:szCs w:val="16"/>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5" w:lineRule="exact"/>
        <w:rPr>
          <w:sz w:val="20"/>
          <w:szCs w:val="20"/>
          <w:color w:val="auto"/>
        </w:rPr>
      </w:pPr>
    </w:p>
    <w:p>
      <w:pPr>
        <w:jc w:val="both"/>
        <w:ind w:firstLine="588"/>
        <w:spacing w:after="0" w:line="255" w:lineRule="auto"/>
        <w:rPr>
          <w:sz w:val="20"/>
          <w:szCs w:val="20"/>
          <w:color w:val="auto"/>
        </w:rPr>
      </w:pPr>
      <w:r>
        <w:rPr>
          <w:rFonts w:ascii="Arial" w:cs="Arial" w:eastAsia="Arial" w:hAnsi="Arial"/>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Labor hours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93" w:lineRule="exact"/>
        <w:rPr>
          <w:sz w:val="20"/>
          <w:szCs w:val="20"/>
          <w:color w:val="auto"/>
        </w:rPr>
      </w:pPr>
    </w:p>
    <w:p>
      <w:pPr>
        <w:jc w:val="both"/>
        <w:ind w:firstLine="588"/>
        <w:spacing w:after="0" w:line="276" w:lineRule="auto"/>
        <w:rPr>
          <w:sz w:val="20"/>
          <w:szCs w:val="20"/>
          <w:color w:val="auto"/>
        </w:rPr>
      </w:pPr>
      <w:r>
        <w:rPr>
          <w:rFonts w:ascii="Arial" w:cs="Arial" w:eastAsia="Arial" w:hAnsi="Arial"/>
          <w:sz w:val="17"/>
          <w:szCs w:val="17"/>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Income (Loss) per Share—Basic net income (loss) per share is computed using the weighted-average number of common shares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 Diluted net income (loss) per share are computed using the weighted-average number of common shares and dilutive potential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during the period. Dilutive potential common shares primarily consist of stock options and restricted stock units issued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employees. During the three months ended March 31, 2019 and 2018, the calculation of the effect of dilutive stock options and restricted stock units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3,927,237 shares and 0 shares, respectively. During the six months ended March 31, 2019 and 2018, the calculation of the effect of dilutive stock options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was 4,590,931 shares and 0 shares, respectively. During the three months ended March 31, 2019 the calculation of the effect of dilutive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and restricted stock units excluded 917,175 stock options and 2,000 restricted stock units due to their anti-dilutive effect.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2019 the calculation of the effect of dilutive stock options and restricted stock units excluded 989,175 stock options and 2,000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units due to their anti-dilutive effect. During the three and six months ended March 31, 2018, the calculation of the effect of dilutive stock options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units excluded all stock options and restricted stock units granted and outstanding during the period due to their anti-dilutive effect.</w:t>
      </w:r>
    </w:p>
    <w:p>
      <w:pPr>
        <w:spacing w:after="0" w:line="22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fiscal 2019. In April 2016, the FASB issued an amendment to ASU No. 2014-09 with update ASU No. 2016-10 which provided more specific guidance around the identification of performance obligations and licensing arrangements. On October 1, 2018, the Company adopted this standard using the modified retrospective method. The Company’s implementation approach included reviewing the status of each of its ongoing collaboration agreements and designing appropriate internal controls to enable the preparation of financial information. The Company has completed its assessment of the impact of the new revenue recognition guidance and determined that there will be no material impact. The Company’s existing performance obligations under its ongoing licensing and collaboration agreements as of October 1, 2018 were substantially completed prior to September 30, 2018. Any future option, milestone or royalty payments received will be accounted for under the sales-based royalty exception provided for under this new revenue recognition guidance. Additionally, there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will be no impact to cash from or used in operating, financing or investing activities on the Company’s Consolidated Statement of Cash Flows as a result of the adoption of the new standard.</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2017, the FASB issued ASU No. 2017-09, which is an update to Topic 718, Compensation - Stock Compensation. The update</w:t>
      </w:r>
    </w:p>
    <w:p>
      <w:pPr>
        <w:spacing w:after="0" w:line="23"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color w:val="auto"/>
        </w:rPr>
        <w:t>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adoption of this update has not had a material impact on the Company's results of operations and Consolidated Financial Statements.</w:t>
      </w:r>
    </w:p>
    <w:p>
      <w:pPr>
        <w:spacing w:after="0" w:line="173"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 ASU 2018-18 becomes effective for the Company in the first quarter of fiscal 2021 with early adoption permitted. The Company does not expect the adoption of this update to have a material effect on its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Common Stock Purchase Agreement, the Company has sold 3,002,793 shares of Common Stock to Amgen at a price of $7.16 per share. Subject to Amgen’s exercise of the Option, as defined in the ARO-AMG1 Agreement, Amgen has agreed to purchase, and the Company has agreed to sell, an additional $5 million worth of shares of Common Stock based on a 30 trading day formula surrounding the date of the Option exercise. 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w:t>
      </w:r>
    </w:p>
    <w:p>
      <w:pPr>
        <w:spacing w:after="0" w:line="175"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During the year ended September 30, 2018, the Company substantially completed its performance obligations under the AMG 890 (ARO-LPA) Agreement and the ARO-AMG1 Agreement. Future milestones and royalties achieved will be recognized in their entirety when earned. During the three months ended March 31, 2019 and 2018, the Company recognized $0.3 million and $0.7 million of Revenue associated with its agreements with Amgen, respectively. During the six months ended March 31, 2019 and 2018, the Company recognized $0.3 million and $4.2 million of Revenue associated with its agreements with Amgen, respectively. As of March 31, 2019, there were $0.1 million of contract assets, and $0 million of contract liabilities recorded as current deferred revenue on the Company’s Consolidated Balance Sheets.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ind w:right="40" w:firstLine="8"/>
        <w:spacing w:after="0" w:line="254"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ind w:right="20"/>
        <w:spacing w:after="0" w:line="289" w:lineRule="auto"/>
        <w:rPr>
          <w:sz w:val="20"/>
          <w:szCs w:val="20"/>
          <w:color w:val="auto"/>
        </w:rPr>
      </w:pPr>
      <w:r>
        <w:rPr>
          <w:rFonts w:ascii="Arial" w:cs="Arial" w:eastAsia="Arial" w:hAnsi="Arial"/>
          <w:sz w:val="16"/>
          <w:szCs w:val="16"/>
          <w:color w:val="auto"/>
        </w:rPr>
        <w:t>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 ongoing Phase 1 / 2 study of JNJ-3989 (ARO-HBV).</w:t>
      </w:r>
    </w:p>
    <w:p>
      <w:pPr>
        <w:spacing w:after="0" w:line="17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67" w:lineRule="exact"/>
        <w:rPr>
          <w:sz w:val="20"/>
          <w:szCs w:val="20"/>
          <w:color w:val="auto"/>
        </w:rPr>
      </w:pPr>
    </w:p>
    <w:p>
      <w:pPr>
        <w:jc w:val="both"/>
        <w:ind w:right="20" w:firstLine="518"/>
        <w:spacing w:after="0" w:line="275" w:lineRule="auto"/>
        <w:rPr>
          <w:sz w:val="20"/>
          <w:szCs w:val="20"/>
          <w:color w:val="auto"/>
        </w:rPr>
      </w:pPr>
      <w:r>
        <w:rPr>
          <w:rFonts w:ascii="Arial" w:cs="Arial" w:eastAsia="Arial" w:hAnsi="Arial"/>
          <w:sz w:val="17"/>
          <w:szCs w:val="17"/>
          <w:color w:val="auto"/>
        </w:rPr>
        <w:t>The Company determined the transaction price totaled approximately $226.3 million which includes the upfront payment, the premium paid by JJDC for its equity investment in the Company, the first $25 million milestone payment earned and estimated payments for reimbursable Janssen R&amp;D services to be performed. The Company has allocated the total $226.3 million initial 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and six months ended March 31, 2019, the Company recognized approximately $47.9 million and $82.5 million of Revenue associated with its agreements with Janssen and JJDC, respectively. As of March 31, 2019 there were $13.3 million of contract assets recorded as accounts receivable, and $120.6 million of contract liabilities recorded as current deferred revenue and long-term deferred revenue on the Company’s Consolidated Balance Sheets. The $13.3 million of accounts receivable is driven by reimbursable costs incurred for the Janssen R&amp;D Services and the recognition of a portion of the $25 million milestone earned in April 2019 based on performance completed as of March 31, 2019, and the $120.6 million of current and long-term deferred revenue is driven by the upfront payment and premium paid by JJDC for its equity investment in the Company, net of revenue recognized in the period.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March 31, 2019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588,044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Research equipment</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11,021,467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10,751,627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145,802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152,676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7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12,469,048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12,236,150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24,224,361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23,740,787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(10,846,040)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(9,805,362)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13,378,321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13,935,425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00" w:type="dxa"/>
            <w:vAlign w:val="bottom"/>
            <w:vMerge w:val="restart"/>
          </w:tcPr>
          <w:p>
            <w:pPr>
              <w:jc w:val="right"/>
              <w:ind w:right="131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4" w:name="page15"/>
    <w:bookmarkEnd w:id="14"/>
    <w:p>
      <w:pPr>
        <w:jc w:val="both"/>
        <w:ind w:right="440" w:firstLine="518"/>
        <w:spacing w:after="0" w:line="264" w:lineRule="auto"/>
        <w:rPr>
          <w:sz w:val="20"/>
          <w:szCs w:val="20"/>
          <w:color w:val="auto"/>
        </w:rPr>
      </w:pPr>
      <w:r>
        <w:rPr>
          <w:rFonts w:ascii="Arial" w:cs="Arial" w:eastAsia="Arial" w:hAnsi="Arial"/>
          <w:sz w:val="18"/>
          <w:szCs w:val="18"/>
          <w:color w:val="auto"/>
        </w:rPr>
        <w:t>Depreciation and amortization expense for Property and Equipment for the three months ended March 31, 2019 and 2018 and was $750,860 and $728,359, respectively. Depreciation and amortization expense for Property and Equipment for the six months ended March 31, 2019 and 2018 and was $1,503,105 and $1,444,425, respectively.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March 31, 2019 consisted of corporate bonds with maturities remaining of less than 36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March 31, 2019,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short-term and long-term investments as of March 31, 2019, and September 30, 2018.</w:t>
      </w:r>
    </w:p>
    <w:p>
      <w:pPr>
        <w:spacing w:after="0" w:line="325"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As of March 31, 2019</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33"/>
        </w:trPr>
        <w:tc>
          <w:tcPr>
            <w:tcW w:w="42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gridSpan w:val="2"/>
            <w:shd w:val="clear" w:color="auto" w:fill="CCEEFF"/>
          </w:tcPr>
          <w:p>
            <w:pPr>
              <w:ind w:left="240"/>
              <w:spacing w:after="0" w:line="133" w:lineRule="exact"/>
              <w:rPr>
                <w:sz w:val="20"/>
                <w:szCs w:val="20"/>
                <w:color w:val="auto"/>
              </w:rPr>
            </w:pPr>
            <w:r>
              <w:rPr>
                <w:rFonts w:ascii="Arial" w:cs="Arial" w:eastAsia="Arial" w:hAnsi="Arial"/>
                <w:sz w:val="14"/>
                <w:szCs w:val="14"/>
                <w:b w:val="1"/>
                <w:bCs w:val="1"/>
                <w:color w:val="auto"/>
              </w:rPr>
              <w:t>Gross</w:t>
            </w: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gridSpan w:val="3"/>
            <w:shd w:val="clear" w:color="auto" w:fill="CCEEFF"/>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Gains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1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56,560,674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52,189</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56,450,065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three years)</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67,536,054</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703,472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68,239,526</w:t>
            </w:r>
          </w:p>
        </w:tc>
        <w:tc>
          <w:tcPr>
            <w:tcW w:w="8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124,096,728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755,661</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(162,798</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124,689,591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As of September 30, 2018</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Amortized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center"/>
              <w:ind w:right="18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Commercial notes (due within one year)</w:t>
            </w:r>
          </w:p>
        </w:tc>
        <w:tc>
          <w:tcPr>
            <w:tcW w:w="1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46,400,176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(429,050)</w:t>
            </w:r>
          </w:p>
        </w:tc>
        <w:tc>
          <w:tcPr>
            <w:tcW w:w="8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45,971,126</w:t>
            </w:r>
          </w:p>
        </w:tc>
        <w:tc>
          <w:tcPr>
            <w:tcW w:w="80" w:type="dxa"/>
            <w:vAlign w:val="bottom"/>
            <w:tcBorders>
              <w:top w:val="single" w:sz="8" w:color="CFF0FC"/>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three years)</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1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46,400,176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(429,050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gridSpan w:val="3"/>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45,971,126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$605,988. The patents associated with the Novartis RNAi asset acquisition are being amortized over the estimated life remaining at the time of acquisition, which was 14 years, and the accumulated amortization of the assets is approximately $6,337,431. Amortization expense for the three months ended March 31, 2019 and 2018 was $425,108 and $425,107, respectively. Amortization expense for the six months ended March 31, 2019 and 2018 was $850,215 and $850,214, respectively. Amortization expense is expected to be $850,214 for the remainder of fiscal 2019, $1,700,429 in 2020, $1,700,429 in 2021, $1,700,429 in 2022, $1,700,429 in 2023, and $10,261,865 thereafter.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Intangible assets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subject to</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2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18,764,010</w:t>
            </w:r>
          </w:p>
        </w:tc>
        <w:tc>
          <w:tcPr>
            <w:tcW w:w="80" w:type="dxa"/>
            <w:vAlign w:val="bottom"/>
            <w:tcBorders>
              <w:top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Impairment</w:t>
            </w: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(850,215)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ind w:left="2300"/>
              <w:spacing w:after="0"/>
              <w:rPr>
                <w:sz w:val="20"/>
                <w:szCs w:val="20"/>
                <w:color w:val="auto"/>
              </w:rPr>
            </w:pPr>
            <w:r>
              <w:rPr>
                <w:rFonts w:ascii="Arial" w:cs="Arial" w:eastAsia="Arial" w:hAnsi="Arial"/>
                <w:sz w:val="18"/>
                <w:szCs w:val="18"/>
                <w:color w:val="auto"/>
              </w:rPr>
              <w:t>Balance at March 31, 2019</w:t>
            </w:r>
          </w:p>
        </w:tc>
        <w:tc>
          <w:tcPr>
            <w:tcW w:w="2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17,913,795</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80" w:type="dxa"/>
            <w:vAlign w:val="bottom"/>
            <w:vMerge w:val="restart"/>
          </w:tcPr>
          <w:p>
            <w:pPr>
              <w:jc w:val="right"/>
              <w:ind w:right="197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At March 31, 2019,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At March 31, 2019, 94,665,718 shares of Common Stock were outstanding. At March 31, 2019, 7,873,851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14"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In October 2018 the Company sold 3,260,869 shares of Common Stock to JJDC at a price of $23.00 per share as part of the JJDC Stock Purchase Agreement discussed further in Note 2 above. The Company received proceeds of $75.0 million. The portion of these proceeds that were deemed to be a premium were recorded as deferred revenue as discussed further in Note 2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Monthly rental payments are approximately $31,900 per month, increasing approximately 3% annually.</w:t>
      </w:r>
    </w:p>
    <w:p>
      <w:pPr>
        <w:spacing w:after="0" w:line="17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also leases approximately 58,000 square feet of office and laboratory space for its research facility in Madison, Wisconsin. In January 2019, the Company amended its existing lease to add an additional 13,000 square feet of laboratory and office space to the facility. The amended lease will expire in September 2029. As part of this lease, the Company was provided a tenant improvement allowance of $2.1 million which is accounted for as Deferred Rent and an additional tenant improvement allowance of $2.7 million which was accounted for as a note payable on the Company’s Consolidated Balance Sheet. In October 2018, the Company paid off the remaining $2.3 million balance on the note payable. Monthly rental payments are approximately $160,800 per month, increasing approximately 2.5% annually.</w:t>
      </w:r>
    </w:p>
    <w:p>
      <w:pPr>
        <w:spacing w:after="0" w:line="17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Facility rent expense for the three months ended March 31, 2019 and 2018 was $436,000 and $305,000, respectively. Facility rent expense for the six months ended March 31, 2019 and 2018 was $771,000 and $630,000,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future minimum lease payments due in fiscal years under operating leases are as follows:</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932,495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1,192,771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1,246,122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1,277,188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1,308,973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8,570,708</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14,528,257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right="700" w:firstLine="518"/>
        <w:spacing w:after="0" w:line="264" w:lineRule="auto"/>
        <w:rPr>
          <w:sz w:val="20"/>
          <w:szCs w:val="20"/>
          <w:color w:val="auto"/>
        </w:rPr>
      </w:pPr>
      <w:r>
        <w:rPr>
          <w:rFonts w:ascii="Arial" w:cs="Arial" w:eastAsia="Arial" w:hAnsi="Arial"/>
          <w:sz w:val="18"/>
          <w:szCs w:val="18"/>
          <w:color w:val="auto"/>
        </w:rPr>
        <w:t>In April 2019, the Company entered a new lease for its corporate headquarters in Pasadena, California. The new facility lease will be for approximately 24,000 square feet of office space, and this increased space will accommodate increased personnel as the Company’s pipeline of drug candidates expands and moves closer to market. See Note 11 for additional discussion of this lease.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7"/>
          <w:szCs w:val="17"/>
          <w:i w:val="1"/>
          <w:iCs w:val="1"/>
          <w:color w:val="auto"/>
        </w:rPr>
        <w:t>Wang v. Arrowhead Research Corp., et al.</w:t>
      </w:r>
      <w:r>
        <w:rPr>
          <w:rFonts w:ascii="Arial" w:cs="Arial" w:eastAsia="Arial" w:hAnsi="Arial"/>
          <w:sz w:val="17"/>
          <w:szCs w:val="17"/>
          <w:color w:val="auto"/>
        </w:rPr>
        <w:t xml:space="preserve">, No. 2:14-cv-07890 (C.D. Cal., filed Oct. 10, 2014), and </w:t>
      </w:r>
      <w:r>
        <w:rPr>
          <w:rFonts w:ascii="Arial" w:cs="Arial" w:eastAsia="Arial" w:hAnsi="Arial"/>
          <w:sz w:val="17"/>
          <w:szCs w:val="17"/>
          <w:i w:val="1"/>
          <w:iCs w:val="1"/>
          <w:color w:val="auto"/>
        </w:rPr>
        <w:t>Eskinazi v. Arrowhead</w:t>
      </w:r>
      <w:r>
        <w:rPr>
          <w:rFonts w:ascii="Arial" w:cs="Arial" w:eastAsia="Arial" w:hAnsi="Arial"/>
          <w:sz w:val="17"/>
          <w:szCs w:val="17"/>
          <w:color w:val="auto"/>
        </w:rPr>
        <w:t xml:space="preserve"> </w:t>
      </w:r>
      <w:r>
        <w:rPr>
          <w:rFonts w:ascii="Arial" w:cs="Arial" w:eastAsia="Arial" w:hAnsi="Arial"/>
          <w:sz w:val="17"/>
          <w:szCs w:val="17"/>
          <w:i w:val="1"/>
          <w:iCs w:val="1"/>
          <w:color w:val="auto"/>
        </w:rPr>
        <w:t>Research Corp., et al.</w:t>
      </w:r>
      <w:r>
        <w:rPr>
          <w:rFonts w:ascii="Arial" w:cs="Arial" w:eastAsia="Arial" w:hAnsi="Arial"/>
          <w:sz w:val="17"/>
          <w:szCs w:val="17"/>
          <w:color w:val="auto"/>
        </w:rPr>
        <w:t>, No. 2:14-cv-07911 (C.D. Cal., filed Oct. 13, 2014), asserted claims under Sections 10(b) and 20(a) of the Securities Exchange Act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1934 and sought damages in an unspecified amount. Additionally, three putative stockholder derivative actions captioned </w:t>
      </w:r>
      <w:r>
        <w:rPr>
          <w:rFonts w:ascii="Arial" w:cs="Arial" w:eastAsia="Arial" w:hAnsi="Arial"/>
          <w:sz w:val="17"/>
          <w:szCs w:val="17"/>
          <w:i w:val="1"/>
          <w:iCs w:val="1"/>
          <w:color w:val="auto"/>
        </w:rPr>
        <w:t>Weisman v. Anzalone et al</w:t>
      </w:r>
      <w:r>
        <w:rPr>
          <w:rFonts w:ascii="Arial" w:cs="Arial" w:eastAsia="Arial" w:hAnsi="Arial"/>
          <w:sz w:val="17"/>
          <w:szCs w:val="17"/>
          <w:color w:val="auto"/>
        </w:rPr>
        <w:t xml:space="preserve">., No. 2:14-cv-08982 (C.D. Cal., filed Nov. 20, 2014), </w:t>
      </w:r>
      <w:r>
        <w:rPr>
          <w:rFonts w:ascii="Arial" w:cs="Arial" w:eastAsia="Arial" w:hAnsi="Arial"/>
          <w:sz w:val="17"/>
          <w:szCs w:val="17"/>
          <w:i w:val="1"/>
          <w:iCs w:val="1"/>
          <w:color w:val="auto"/>
        </w:rPr>
        <w:t>Bernstein (Backus) v. Anzalone, et al.</w:t>
      </w:r>
      <w:r>
        <w:rPr>
          <w:rFonts w:ascii="Arial" w:cs="Arial" w:eastAsia="Arial" w:hAnsi="Arial"/>
          <w:sz w:val="17"/>
          <w:szCs w:val="17"/>
          <w:color w:val="auto"/>
        </w:rPr>
        <w:t xml:space="preserve">, No. 2:14-cv-09247 (C.D. Cal., filed Dec. 2, 2014); and </w:t>
      </w:r>
      <w:r>
        <w:rPr>
          <w:rFonts w:ascii="Arial" w:cs="Arial" w:eastAsia="Arial" w:hAnsi="Arial"/>
          <w:sz w:val="17"/>
          <w:szCs w:val="17"/>
          <w:i w:val="1"/>
          <w:iCs w:val="1"/>
          <w:color w:val="auto"/>
        </w:rPr>
        <w:t>Johnson v.</w:t>
      </w:r>
      <w:r>
        <w:rPr>
          <w:rFonts w:ascii="Arial" w:cs="Arial" w:eastAsia="Arial" w:hAnsi="Arial"/>
          <w:sz w:val="17"/>
          <w:szCs w:val="17"/>
          <w:color w:val="auto"/>
        </w:rPr>
        <w:t xml:space="preserve"> </w:t>
      </w:r>
      <w:r>
        <w:rPr>
          <w:rFonts w:ascii="Arial" w:cs="Arial" w:eastAsia="Arial" w:hAnsi="Arial"/>
          <w:sz w:val="17"/>
          <w:szCs w:val="17"/>
          <w:i w:val="1"/>
          <w:iCs w:val="1"/>
          <w:color w:val="auto"/>
        </w:rPr>
        <w:t>Anzalone, et al.</w:t>
      </w:r>
      <w:r>
        <w:rPr>
          <w:rFonts w:ascii="Arial" w:cs="Arial" w:eastAsia="Arial" w:hAnsi="Arial"/>
          <w:sz w:val="17"/>
          <w:szCs w:val="17"/>
          <w:color w:val="auto"/>
        </w:rPr>
        <w:t>, No. 2:15-cv-00446 (C.D. Cal., filed Jan. 22, 2015), were filed in the United States District Court for the Central District of California,</w:t>
      </w:r>
      <w:r>
        <w:rPr>
          <w:rFonts w:ascii="Arial" w:cs="Arial" w:eastAsia="Arial" w:hAnsi="Arial"/>
          <w:sz w:val="17"/>
          <w:szCs w:val="17"/>
          <w:i w:val="1"/>
          <w:iCs w:val="1"/>
          <w:color w:val="auto"/>
        </w:rPr>
        <w:t xml:space="preserve"> </w:t>
      </w:r>
      <w:r>
        <w:rPr>
          <w:rFonts w:ascii="Arial" w:cs="Arial" w:eastAsia="Arial" w:hAnsi="Arial"/>
          <w:sz w:val="17"/>
          <w:szCs w:val="17"/>
          <w:color w:val="auto"/>
        </w:rPr>
        <w:t>alleging breach of fiduciary duty by the Company’s Board of Directors in connection with the alleged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6" w:name="page17"/>
    <w:bookmarkEnd w:id="16"/>
    <w:p>
      <w:pPr>
        <w:spacing w:after="0" w:line="284" w:lineRule="auto"/>
        <w:rPr>
          <w:sz w:val="20"/>
          <w:szCs w:val="20"/>
          <w:color w:val="auto"/>
        </w:rPr>
      </w:pPr>
      <w:r>
        <w:rPr>
          <w:rFonts w:ascii="Arial" w:cs="Arial" w:eastAsia="Arial" w:hAnsi="Arial"/>
          <w:sz w:val="16"/>
          <w:szCs w:val="16"/>
          <w:color w:val="auto"/>
        </w:rPr>
        <w:t xml:space="preserve">facts underlying the securities claims. An additional consolidated derivative action asserting similar claims was filed in Los Angeles County Superior Court, initially filed as </w:t>
      </w:r>
      <w:r>
        <w:rPr>
          <w:rFonts w:ascii="Arial" w:cs="Arial" w:eastAsia="Arial" w:hAnsi="Arial"/>
          <w:sz w:val="16"/>
          <w:szCs w:val="16"/>
          <w:i w:val="1"/>
          <w:iCs w:val="1"/>
          <w:color w:val="auto"/>
        </w:rPr>
        <w:t>Bacchus v. Anzalone, et al.</w:t>
      </w:r>
      <w:r>
        <w:rPr>
          <w:rFonts w:ascii="Arial" w:cs="Arial" w:eastAsia="Arial" w:hAnsi="Arial"/>
          <w:sz w:val="16"/>
          <w:szCs w:val="16"/>
          <w:color w:val="auto"/>
        </w:rPr>
        <w:t xml:space="preserve">, (L.A. Super., filed Mar. 5, 2015); and </w:t>
      </w:r>
      <w:r>
        <w:rPr>
          <w:rFonts w:ascii="Arial" w:cs="Arial" w:eastAsia="Arial" w:hAnsi="Arial"/>
          <w:sz w:val="16"/>
          <w:szCs w:val="16"/>
          <w:i w:val="1"/>
          <w:iCs w:val="1"/>
          <w:color w:val="auto"/>
        </w:rPr>
        <w:t>Jackson v. Anzalone, et al.</w:t>
      </w:r>
      <w:r>
        <w:rPr>
          <w:rFonts w:ascii="Arial" w:cs="Arial" w:eastAsia="Arial" w:hAnsi="Arial"/>
          <w:sz w:val="16"/>
          <w:szCs w:val="16"/>
          <w:color w:val="auto"/>
        </w:rPr>
        <w:t xml:space="preserve"> (L.A. Super., filed Mar. 16, 2015). Each of these suits seeks damages in unspecified amounts and some seek various forms of injunctive relief. On October 7, 2016, the federal district court dismissed the consolidated class action with prejudice. Following the dismissal of the consolidated class action, the parties for the Weisman and Johnson actions jointly stipulated to dismiss the actions, with the parties bearing their own fees and costs. The parties to the Bernstein and consolidated derivative action agreed to stay the matters pending the resolution of the Ninth Circuit appeal of the dismissal of the consolidated class action. On February 15, 2018, the Ninth Circuit issued a memorandum affirming the district court’s dismissal of all claims. Plaintiffs in the consolidated derivative action voluntarily dismissed their</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case. The parties to the Bernstein action filed a stipulation to continue the stay of the action pending resolution of the Ninth Circuit appeal in Meller v. Arrowhead Pharmaceuticals, Inc., Case No. 2:16-cv-08505 (C.D. Cal.).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w:t>
      </w:r>
    </w:p>
    <w:p>
      <w:pPr>
        <w:spacing w:after="0" w:line="191" w:lineRule="exact"/>
        <w:rPr>
          <w:sz w:val="20"/>
          <w:szCs w:val="20"/>
          <w:color w:val="auto"/>
        </w:rPr>
      </w:pPr>
    </w:p>
    <w:p>
      <w:pPr>
        <w:ind w:right="100" w:firstLine="518"/>
        <w:spacing w:after="0" w:line="267" w:lineRule="auto"/>
        <w:rPr>
          <w:sz w:val="20"/>
          <w:szCs w:val="20"/>
          <w:color w:val="auto"/>
        </w:rPr>
      </w:pPr>
      <w:r>
        <w:rPr>
          <w:rFonts w:ascii="Arial" w:cs="Arial" w:eastAsia="Arial" w:hAnsi="Arial"/>
          <w:sz w:val="17"/>
          <w:szCs w:val="17"/>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7"/>
          <w:szCs w:val="17"/>
          <w:i w:val="1"/>
          <w:iCs w:val="1"/>
          <w:color w:val="auto"/>
        </w:rPr>
        <w:t>Meller v. Arrowhead Pharmaceuticals, Inc., et al.</w:t>
      </w:r>
      <w:r>
        <w:rPr>
          <w:rFonts w:ascii="Arial" w:cs="Arial" w:eastAsia="Arial" w:hAnsi="Arial"/>
          <w:sz w:val="17"/>
          <w:szCs w:val="17"/>
          <w:color w:val="auto"/>
        </w:rPr>
        <w:t xml:space="preserve">, No. 2:16-cv-08505 (C.D. Cal, filed Nov. 15, 2016 ), </w:t>
      </w:r>
      <w:r>
        <w:rPr>
          <w:rFonts w:ascii="Arial" w:cs="Arial" w:eastAsia="Arial" w:hAnsi="Arial"/>
          <w:sz w:val="17"/>
          <w:szCs w:val="17"/>
          <w:i w:val="1"/>
          <w:iCs w:val="1"/>
          <w:color w:val="auto"/>
        </w:rPr>
        <w:t>Siegel v. Arrowhead</w:t>
      </w:r>
      <w:r>
        <w:rPr>
          <w:rFonts w:ascii="Arial" w:cs="Arial" w:eastAsia="Arial" w:hAnsi="Arial"/>
          <w:sz w:val="17"/>
          <w:szCs w:val="17"/>
          <w:color w:val="auto"/>
        </w:rPr>
        <w:t xml:space="preserve"> </w:t>
      </w:r>
      <w:r>
        <w:rPr>
          <w:rFonts w:ascii="Arial" w:cs="Arial" w:eastAsia="Arial" w:hAnsi="Arial"/>
          <w:sz w:val="17"/>
          <w:szCs w:val="17"/>
          <w:i w:val="1"/>
          <w:iCs w:val="1"/>
          <w:color w:val="auto"/>
        </w:rPr>
        <w:t>Pharmaceuticals, Inc., et al</w:t>
      </w:r>
      <w:r>
        <w:rPr>
          <w:rFonts w:ascii="Arial" w:cs="Arial" w:eastAsia="Arial" w:hAnsi="Arial"/>
          <w:sz w:val="17"/>
          <w:szCs w:val="17"/>
          <w:color w:val="auto"/>
        </w:rPr>
        <w:t>., No. 2:16-cv-8954 (C.D. Cal., filed Dec. 2, 2016), and</w:t>
      </w:r>
      <w:r>
        <w:rPr>
          <w:rFonts w:ascii="Arial" w:cs="Arial" w:eastAsia="Arial" w:hAnsi="Arial"/>
          <w:sz w:val="17"/>
          <w:szCs w:val="17"/>
          <w:i w:val="1"/>
          <w:iCs w:val="1"/>
          <w:color w:val="auto"/>
        </w:rPr>
        <w:t xml:space="preserve"> Unz v. Arrowhead Pharmaceuticals, Inc., et al</w:t>
      </w:r>
      <w:r>
        <w:rPr>
          <w:rFonts w:ascii="Arial" w:cs="Arial" w:eastAsia="Arial" w:hAnsi="Arial"/>
          <w:sz w:val="17"/>
          <w:szCs w:val="17"/>
          <w:color w:val="auto"/>
        </w:rPr>
        <w:t>., No.2:17-cv-00310 (C.D.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Cal., filed Jan. 13, 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7"/>
          <w:szCs w:val="17"/>
          <w:i w:val="1"/>
          <w:iCs w:val="1"/>
          <w:color w:val="auto"/>
        </w:rPr>
        <w:t>Johnson v. Anzalone, et al</w:t>
      </w:r>
      <w:r>
        <w:rPr>
          <w:rFonts w:ascii="Arial" w:cs="Arial" w:eastAsia="Arial" w:hAnsi="Arial"/>
          <w:sz w:val="17"/>
          <w:szCs w:val="17"/>
          <w:color w:val="auto"/>
        </w:rPr>
        <w:t xml:space="preserve">., (Los Angeles County Superior Court, filed January 19, 2017) asserting substantially similar claims is pending in Los Angeles County Superior Court and is stayed pending the related consolidated class action. Two additional putative stockholder derivative actions, captioned </w:t>
      </w:r>
      <w:r>
        <w:rPr>
          <w:rFonts w:ascii="Arial" w:cs="Arial" w:eastAsia="Arial" w:hAnsi="Arial"/>
          <w:sz w:val="17"/>
          <w:szCs w:val="17"/>
          <w:i w:val="1"/>
          <w:iCs w:val="1"/>
          <w:color w:val="auto"/>
        </w:rPr>
        <w:t xml:space="preserve">Lucas v. Anzalone, et al., </w:t>
      </w:r>
      <w:r>
        <w:rPr>
          <w:rFonts w:ascii="Arial" w:cs="Arial" w:eastAsia="Arial" w:hAnsi="Arial"/>
          <w:sz w:val="17"/>
          <w:szCs w:val="17"/>
          <w:color w:val="auto"/>
        </w:rPr>
        <w:t>No. 2:17-cv-03207 (C.D. Cal., filed April 28, 2017), and</w:t>
      </w:r>
      <w:r>
        <w:rPr>
          <w:rFonts w:ascii="Arial" w:cs="Arial" w:eastAsia="Arial" w:hAnsi="Arial"/>
          <w:sz w:val="17"/>
          <w:szCs w:val="17"/>
          <w:i w:val="1"/>
          <w:iCs w:val="1"/>
          <w:color w:val="auto"/>
        </w:rPr>
        <w:t xml:space="preserve"> Singh v. Anzalone, et al</w:t>
      </w:r>
      <w:r>
        <w:rPr>
          <w:rFonts w:ascii="Arial" w:cs="Arial" w:eastAsia="Arial" w:hAnsi="Arial"/>
          <w:sz w:val="17"/>
          <w:szCs w:val="17"/>
          <w:color w:val="auto"/>
        </w:rPr>
        <w:t>., No. 2:17-cv-03160 (C.D. Cal., filed April 27,</w:t>
      </w:r>
      <w:r>
        <w:rPr>
          <w:rFonts w:ascii="Arial" w:cs="Arial" w:eastAsia="Arial" w:hAnsi="Arial"/>
          <w:sz w:val="17"/>
          <w:szCs w:val="17"/>
          <w:i w:val="1"/>
          <w:iCs w:val="1"/>
          <w:color w:val="auto"/>
        </w:rPr>
        <w:t xml:space="preserve"> </w:t>
      </w:r>
      <w:r>
        <w:rPr>
          <w:rFonts w:ascii="Arial" w:cs="Arial" w:eastAsia="Arial" w:hAnsi="Arial"/>
          <w:sz w:val="17"/>
          <w:szCs w:val="17"/>
          <w:color w:val="auto"/>
        </w:rPr>
        <w:t>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On December 21, 2017, the federal district court dismissed the consolidated class action with prejudice. On December 27, 2017 the plaintiffs appealed the dismissal to the United States Court of Appeals for the Ninth Circuit. The Lucas and Singh actions are stayed pending resolution of the Ninth Circuit appeal.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 regard to legal fees, such as attorney fees related to these matters or any other legal matters, the Company recognizes such costs as incurred.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clinical studies. As of March 31, 2019, these future commitments were estimated at approximately $52.1 million, of which approximately $27.1 million is expected to be incurred in fiscal 2019, and $25.0 million is expected to be incurred beyond fiscal 2019.</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20" w:firstLine="518"/>
        <w:spacing w:after="0" w:line="260" w:lineRule="auto"/>
        <w:rPr>
          <w:sz w:val="20"/>
          <w:szCs w:val="20"/>
          <w:color w:val="auto"/>
        </w:rPr>
      </w:pPr>
      <w:r>
        <w:rPr>
          <w:rFonts w:ascii="Arial" w:cs="Arial" w:eastAsia="Arial" w:hAnsi="Arial"/>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and six months ended March 31, 2019 and 2018, the Company did not reach milestones requiring payment. In certain agreements, the Company may be required to make mid to high single-digit percentage royalty payments based on a percentage of the sales of the relevant products.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Arrowhead has two plans that provide for equity-based compensation. Under the 2004 Equity Incentive Plan and 2013 Incentive Plan, as of March 31, 2019, 1,440,218 and 5,654,798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March 31, 2019, there were options granted and outstanding to purchase 1,440,218 and 3,270,048 shares of Common Stock under the 2004 Equity Incentive Plan and the 2013 Incentive Plan, respectively, and there were 2,049,333 restricted stock units granted and outstanding under the 2013 Incentive Plan. Also, as of March 31, 2019, there were 776,834 shares reserved for options and 2,000 shares reserved for restricted stock units issued as inducement grants to new employees outside of equity compensation plans. During the three months ended March 31, 2019, 517,500 options and 1,398,429 restricted stock units were granted under the 2013 Incentive Plan, and 148,000 options and 2,000 restricted stock units were granted as inducement awards to new employees outside of equity incentive plans. During the six months ended March 31, 2019, 517,500 options and 1,401,888 restricted stock units were granted under the 2013 Incentive Plan, and 195,000 options and 2,000 restricted stock units were granted as inducement awards to new employees outside of equity incentive plans.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Per Share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5,524,399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712,500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(47,557)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(702,242)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5,487,100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86"/>
              </w:rPr>
              <w:t>6.0 years</w:t>
            </w:r>
          </w:p>
        </w:tc>
        <w:tc>
          <w:tcPr>
            <w:tcW w:w="2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w w:val="90"/>
              </w:rPr>
              <w:t>61,552,640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Exercisable At March 31, 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4,052,157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19"/>
                <w:szCs w:val="19"/>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w w:val="86"/>
              </w:rPr>
              <w:t>5.0 years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ind w:left="80"/>
              <w:spacing w:after="0"/>
              <w:rPr>
                <w:sz w:val="20"/>
                <w:szCs w:val="20"/>
                <w:color w:val="auto"/>
              </w:rPr>
            </w:pPr>
            <w:r>
              <w:rPr>
                <w:rFonts w:ascii="Arial" w:cs="Arial" w:eastAsia="Arial" w:hAnsi="Arial"/>
                <w:sz w:val="18"/>
                <w:szCs w:val="18"/>
                <w:color w:val="auto"/>
                <w:w w:val="90"/>
              </w:rPr>
              <w:t>49,183,457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Stock-based compensation expense related to stock options for the three months ended March 31, 2019 and 2018 was $1,017,065 and $858,005, respectively. Stock-based compensation expense related to stock options for the six months ended March 31, 2019 and 2018 was $1,807,500 and $1,758,664, respectively. For non-qualified stock options, the expense creates a timing difference, resulting in a deferred tax asset, which is fully reserved by a valuation allowance.</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grant date fair value of the options granted by the Company for the three months ended March 31, 2019 and 2018 was $7,580,360 and $1,944,007, respectively. The grant date fair value of the options granted by the Company for the six months ended March 31, 2019 and 2018 was $8,137,249 and $2,292,906, respectively</w:t>
      </w:r>
    </w:p>
    <w:p>
      <w:pPr>
        <w:spacing w:after="0" w:line="181"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The intrinsic value of the options exercised during the three months ended March 31, 2019 and 2018 was $6,806,594 and $350,674, respectively. The intrinsic value of the options exercised during the six months ended March 31, 2019 and 2018 was $8,122,294 and $350,674, respectively.</w:t>
      </w:r>
    </w:p>
    <w:p>
      <w:pPr>
        <w:spacing w:after="0" w:line="124"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March 31, 2019, the pre-tax compensation expense for all outstanding unvested stock options in the amount of approximately $11,164,000 will be recognized in the Company’s results of operations over a weighted average period of 3.4 years.</w:t>
      </w:r>
    </w:p>
    <w:p>
      <w:pPr>
        <w:spacing w:after="0" w:line="17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3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Six Months Ended March 31,</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2.3 – 3.1%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2.1 – 2.7%</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115%</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$11.42</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$3.47</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Restricted stock units (RSUs), including time-based and performance-based awards, were granted under the Company’s 2013 Incentive Plan and as inducement grants granted outside of the Plan. During the three months ended March 31, 2019, the Company issued 1,398,429 RSUs under the 2013 Incentive Plan and 2,000 RSUs as inducement awards to new employees outside of equity incentive plans. During the six months ended March 31, 2019, the Company issued 1,401,888 RSUs under the 2013 Incentive Plan and 2,000 RSUs as inducement awards to new employees outside of equity incentive plans.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RSUs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2,968,500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1,403,888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(2,197,305)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(123,750)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2,051,333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During the three months ended March 31, 2019 and 2018, the Company recorded $1,584,283 and $598,808 of expense related to RSUs, respectively. During the six months ended March 31, 2019 and 2018, the Company recorded $3,511,381 and $1,790,690 of expense related to RSUs, respectively. Such expense is included in stock-based compensation expense in the Company’s Consolidated Statement of Operations and Comprehensive Loss. For RSUs, the expense creates a timing difference, resulting in a deferred tax asset, which is fully reserved by a valuation allowance.</w:t>
      </w:r>
    </w:p>
    <w:p>
      <w:pPr>
        <w:spacing w:after="0" w:line="154"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March 31, 2019, the pre-tax compensation expense for all unvested RSUs in the amount of approximately $9,551,860 will be recognized in the Company’s results of operations over a weighted average period of 3.3 years.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9" w:name="page20"/>
    <w:bookmarkEnd w:id="19"/>
    <w:p>
      <w:pPr>
        <w:ind w:right="180"/>
        <w:spacing w:after="0" w:line="264" w:lineRule="auto"/>
        <w:rPr>
          <w:sz w:val="20"/>
          <w:szCs w:val="20"/>
          <w:color w:val="auto"/>
        </w:rPr>
      </w:pPr>
      <w:r>
        <w:rPr>
          <w:rFonts w:ascii="Arial" w:cs="Arial" w:eastAsia="Arial" w:hAnsi="Arial"/>
          <w:sz w:val="18"/>
          <w:szCs w:val="18"/>
          <w:color w:val="auto"/>
        </w:rPr>
        <w:t>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summarizes fair value measurements at March 31, 2019 and September 30, 2018 for assets and liabilities measured at fair value on a recurring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161,639,208</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161,639,208</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9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56,450,065</w:t>
            </w:r>
          </w:p>
        </w:tc>
        <w:tc>
          <w:tcPr>
            <w:tcW w:w="3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56,450,065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90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68,239,526</w:t>
            </w:r>
          </w:p>
        </w:tc>
        <w:tc>
          <w:tcPr>
            <w:tcW w:w="34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FF0FC"/>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68,239,526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9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458"/>
        </w:trPr>
        <w:tc>
          <w:tcPr>
            <w:tcW w:w="414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30,133,213</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30,133,213</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90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45,971,126</w:t>
            </w:r>
          </w:p>
        </w:tc>
        <w:tc>
          <w:tcPr>
            <w:tcW w:w="60" w:type="dxa"/>
            <w:vAlign w:val="bottom"/>
          </w:tcPr>
          <w:p>
            <w:pPr>
              <w:spacing w:after="0"/>
              <w:rPr>
                <w:sz w:val="19"/>
                <w:szCs w:val="19"/>
                <w:color w:val="auto"/>
              </w:rPr>
            </w:pP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45,971,126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90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90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of September 30, 2015, 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March 31, 2019 and September 30, 2018.</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There was no provision for income taxes for the three and six months ended March 31, 2019 and 2018, respectively. During the three and six months ended March 31, 2019, the Company generated net income of $23.9 million and $35.9 million, respectively. However, this net income was more than offset by the Company’s existing net operating loss carryforwards. As of March 31, 2019, the Company’s remaining deferred income taxes assets, consisting primarily of net operating loss carryforwards, remain fully offset by a valuation allowance.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SUBSEQUENT EVENTS</w:t>
      </w:r>
    </w:p>
    <w:p>
      <w:pPr>
        <w:spacing w:after="0" w:line="229" w:lineRule="exact"/>
        <w:rPr>
          <w:sz w:val="20"/>
          <w:szCs w:val="20"/>
          <w:color w:val="auto"/>
        </w:rPr>
      </w:pPr>
    </w:p>
    <w:p>
      <w:pPr>
        <w:ind w:right="180" w:firstLine="305"/>
        <w:spacing w:after="0" w:line="277" w:lineRule="auto"/>
        <w:rPr>
          <w:sz w:val="20"/>
          <w:szCs w:val="20"/>
          <w:color w:val="auto"/>
        </w:rPr>
      </w:pPr>
      <w:r>
        <w:rPr>
          <w:rFonts w:ascii="Arial" w:cs="Arial" w:eastAsia="Arial" w:hAnsi="Arial"/>
          <w:sz w:val="18"/>
          <w:szCs w:val="18"/>
          <w:color w:val="auto"/>
        </w:rPr>
        <w:t>In April 2019, the Company entered a new lease for its corporate headquarters in Pasadena, California. The 91 month office building lease between the Company and 177 Colorado Owner, LLC is for approximately 24,000 square feet of office space located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line="264" w:lineRule="auto"/>
        <w:rPr>
          <w:sz w:val="20"/>
          <w:szCs w:val="20"/>
          <w:color w:val="auto"/>
        </w:rPr>
      </w:pPr>
      <w:r>
        <w:rPr>
          <w:rFonts w:ascii="Arial" w:cs="Arial" w:eastAsia="Arial" w:hAnsi="Arial"/>
          <w:sz w:val="18"/>
          <w:szCs w:val="18"/>
          <w:color w:val="auto"/>
        </w:rPr>
        <w:t>177 E. Colorado Blvd, Pasadena, California, and this lease will replace the Company’s current corporate headquarters office lease. The increased capacity of this new office space compared to the Company’s current corporate headquarters will accommodate increased personnel as the Company’s pipeline of drug candidates expands and moves closer to market.</w:t>
      </w:r>
    </w:p>
    <w:p>
      <w:pPr>
        <w:spacing w:after="0" w:line="181" w:lineRule="exact"/>
        <w:rPr>
          <w:sz w:val="20"/>
          <w:szCs w:val="20"/>
          <w:color w:val="auto"/>
        </w:rPr>
      </w:pPr>
    </w:p>
    <w:p>
      <w:pPr>
        <w:ind w:right="160" w:firstLine="305"/>
        <w:spacing w:after="0" w:line="302" w:lineRule="auto"/>
        <w:rPr>
          <w:sz w:val="20"/>
          <w:szCs w:val="20"/>
          <w:color w:val="auto"/>
        </w:rPr>
      </w:pPr>
      <w:r>
        <w:rPr>
          <w:rFonts w:ascii="Arial" w:cs="Arial" w:eastAsia="Arial" w:hAnsi="Arial"/>
          <w:sz w:val="16"/>
          <w:szCs w:val="16"/>
          <w:color w:val="auto"/>
        </w:rPr>
        <w:t>Lease payments will begin on the earlier of November 1, 2019 or when the Company first commences to conduct business in the premises and are estimated to total approximately $8.8 million over the term. The Company expects to pay approximately $4.5 million for leasehold improvements, net of tenant improvement allowances, beginning in the Company’s third quarter of fiscal year 2019. Pursuant to the lease, within twelve to fifteen months of the expiration of the term, the Company has the option to extend the lease for one additional five-year term, with certain annual increases in base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305"/>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297" w:lineRule="exact"/>
        <w:rPr>
          <w:sz w:val="20"/>
          <w:szCs w:val="20"/>
          <w:color w:val="auto"/>
        </w:rPr>
      </w:pPr>
    </w:p>
    <w:p>
      <w:pPr>
        <w:ind w:firstLine="305"/>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ARO-ENaC for cystic fibrosis, and ARO-HIF2 for renal cell carcinoma. ARO-LPA (AMG 890) for cardiovascular disease was out-licensed to Amgen Inc. in 2016. ARO-AMG1 for an undisclosed genetically validated cardiovascular target is under a license and collaboration agreement with Amgen Inc. JNJ-3989 (ARO-HBV) for chronic hepatitis B virus was out-licensed to Janssen Pharmaceuticals, Inc. in October 2018.</w:t>
      </w:r>
    </w:p>
    <w:p>
      <w:pPr>
        <w:spacing w:after="0" w:line="17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firstLine="518"/>
        <w:spacing w:after="0" w:line="207" w:lineRule="auto"/>
        <w:rPr>
          <w:sz w:val="20"/>
          <w:szCs w:val="20"/>
          <w:color w:val="auto"/>
        </w:rPr>
      </w:pPr>
      <w:r>
        <w:rPr>
          <w:rFonts w:ascii="Arial" w:cs="Arial" w:eastAsia="Arial" w:hAnsi="Arial"/>
          <w:sz w:val="18"/>
          <w:szCs w:val="18"/>
          <w:color w:val="auto"/>
        </w:rPr>
        <w:t>Arrowhead has focused its resources on therapeutics that exclusively utilize the company’s Targeted RNAi Molecule (TRiM</w:t>
      </w:r>
      <w:r>
        <w:rPr>
          <w:rFonts w:ascii="Arial" w:cs="Arial" w:eastAsia="Arial" w:hAnsi="Arial"/>
          <w:sz w:val="26"/>
          <w:szCs w:val="26"/>
          <w:color w:val="auto"/>
          <w:vertAlign w:val="superscript"/>
        </w:rPr>
        <w:t>TM</w:t>
      </w:r>
      <w:r>
        <w:rPr>
          <w:rFonts w:ascii="Arial" w:cs="Arial" w:eastAsia="Arial" w:hAnsi="Arial"/>
          <w:sz w:val="18"/>
          <w:szCs w:val="18"/>
          <w:color w:val="auto"/>
        </w:rPr>
        <w:t>) platform technology. Therapeutics built on the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20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During fiscal 2019, the Company has continued to develop its pipeline and partnered candidates. In April 2019, the Company presented clinical data for JNJ-3989 (ARO-HBV) and ARO-AAT at the International Liver Congress, and in April 2019, the Company received FDA clearance to commence a Phase 2/3 study of ARO-AAT that has the potential to serve as a pivotal registrational study. In December 2018 and January 2019, Clinical Trial Applications (CTAs) were filed for ARO-ANG3 and ARO-APOC3, respectively, and dosing has commenced for both trials. The Company also continues to work on optimizing its other extra-hepatic preclinical pipeline candidates including ARO-ENaC and ARO-HIF2. The Company delivered the Arrowhead Deliverable, as defined in its collaboration agreement, to Amgen for ARO-AMG1 in August 2018, and Amgen is currently progressing its phase 1 clinical study of AMG-890 (ARO-LPA).</w:t>
      </w:r>
    </w:p>
    <w:p>
      <w:pPr>
        <w:spacing w:after="0" w:line="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also made significant progress on the business development and partnership front.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ind w:right="60"/>
        <w:spacing w:after="0" w:line="286" w:lineRule="auto"/>
        <w:rPr>
          <w:sz w:val="20"/>
          <w:szCs w:val="20"/>
          <w:color w:val="auto"/>
        </w:rPr>
      </w:pPr>
      <w:r>
        <w:rPr>
          <w:rFonts w:ascii="Arial" w:cs="Arial" w:eastAsia="Arial" w:hAnsi="Arial"/>
          <w:sz w:val="16"/>
          <w:szCs w:val="16"/>
          <w:color w:val="auto"/>
        </w:rPr>
        <w:t>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 ongoing Phase 1 / 2 study of JNJ-3989 (ARO-HBV).</w:t>
      </w:r>
    </w:p>
    <w:p>
      <w:pPr>
        <w:spacing w:after="0" w:line="16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Company’s collaboration agreements with Amgen for AMG 890 (ARO-LPA) and ARO-AMG1 with Amgen continue to progress.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during the year ended September 30, 2018.</w:t>
      </w:r>
    </w:p>
    <w:p>
      <w:pPr>
        <w:spacing w:after="0" w:line="189" w:lineRule="exact"/>
        <w:rPr>
          <w:sz w:val="20"/>
          <w:szCs w:val="20"/>
          <w:color w:val="auto"/>
        </w:rPr>
      </w:pPr>
    </w:p>
    <w:p>
      <w:pPr>
        <w:ind w:right="30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manufacturers when cGMP production is required. The Company engages third-party contract research organizations (CROs) to manage clinical trials and works collaboratively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Net income was $23.9 million for the three months ended March 31, 2019 as compared to a net loss of $14.9 million for the three months ended March 31, 2018. Net income was $35.9 million for the six months ended March 31, 2019 as compared to a net loss of $28.1 million for the six months ended March</w:t>
      </w:r>
    </w:p>
    <w:p>
      <w:pPr>
        <w:ind w:right="80"/>
        <w:spacing w:after="0" w:line="254" w:lineRule="auto"/>
        <w:rPr>
          <w:sz w:val="20"/>
          <w:szCs w:val="20"/>
          <w:color w:val="auto"/>
        </w:rPr>
      </w:pPr>
      <w:r>
        <w:rPr>
          <w:rFonts w:ascii="Arial" w:cs="Arial" w:eastAsia="Arial" w:hAnsi="Arial"/>
          <w:sz w:val="18"/>
          <w:szCs w:val="18"/>
          <w:color w:val="auto"/>
        </w:rPr>
        <w:t>31, 2018. Net income per share – diluted was $0.24 for the three months ended March 31, 2019 as compared to net loss per share - diluted of $0.18 for the three months ended March 31, 2018. Net income per share – diluted was $0.37 for the six months ended March 31, 2019 as compared to net loss per share - diluted of $0.35 for the six months ended March 31, 2018. An increase in revenue from the license and collaboration agreements with Janssen was the driver of the increase in net income and net income per share, as discussed further below.</w:t>
      </w:r>
    </w:p>
    <w:p>
      <w:pPr>
        <w:spacing w:after="0" w:line="19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Additionally, the Company strengthened its liquidity and financial position through the Janssen License Agreement, Janssen Collaboration Agreement and JJDC Stock Purchase Agreement, executed in October 2018. Under the terms of the agreements taken together, the Company has received $175 million as an upfront payment, $75 million in the form of an equity investment by JJDC in Arrowhead common stock. Additionally, in April 2019, the Company earned a $25 million milestone payment from Janssen following the initiation of dosing in a new triple combination cohort (cohort 12) in the Company’s ongoing Phase 1 / 2 study of JNJ-3989 (ARO-HBV). These cash proceeds secure the funding needed to continue to advance our pipeline candidates. The Company had $161.6 million of cash and cash equivalents, $56.6 million in short-term investments, $67.5 million of long term investments and $333.9 million of total assets as of March 31, 2019, as compared to $30.1 million, $46.4 million, $0 million and $111.6 million as of September 30, 2018, respectively. Based upon the Company’s current cash and investment resources and operating plan, the Company expects to have sufficient liquidity to fund operations for at least the next twelve months.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ind w:left="28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588"/>
        <w:spacing w:after="0" w:line="297" w:lineRule="auto"/>
        <w:rPr>
          <w:sz w:val="20"/>
          <w:szCs w:val="20"/>
          <w:color w:val="auto"/>
        </w:rPr>
      </w:pPr>
      <w:r>
        <w:rPr>
          <w:rFonts w:ascii="Arial" w:cs="Arial" w:eastAsia="Arial" w:hAnsi="Arial"/>
          <w:sz w:val="16"/>
          <w:szCs w:val="16"/>
          <w:color w:val="auto"/>
        </w:rPr>
        <w:t>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and Janssen, and the analysis of the impact of this guidance on those agreements is discussed further below.</w:t>
      </w:r>
    </w:p>
    <w:p>
      <w:pPr>
        <w:spacing w:after="0" w:line="158" w:lineRule="exact"/>
        <w:rPr>
          <w:sz w:val="20"/>
          <w:szCs w:val="20"/>
          <w:color w:val="auto"/>
        </w:rPr>
      </w:pPr>
    </w:p>
    <w:p>
      <w:pPr>
        <w:jc w:val="both"/>
        <w:ind w:firstLine="588"/>
        <w:spacing w:after="0" w:line="288" w:lineRule="auto"/>
        <w:rPr>
          <w:sz w:val="20"/>
          <w:szCs w:val="20"/>
          <w:color w:val="auto"/>
        </w:rPr>
      </w:pPr>
      <w:r>
        <w:rPr>
          <w:rFonts w:ascii="Arial" w:cs="Arial" w:eastAsia="Arial" w:hAnsi="Arial"/>
          <w:sz w:val="16"/>
          <w:szCs w:val="16"/>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w:t>
      </w:r>
    </w:p>
    <w:p>
      <w:pPr>
        <w:jc w:val="both"/>
        <w:ind w:firstLine="8"/>
        <w:spacing w:after="0" w:line="288" w:lineRule="auto"/>
        <w:tabs>
          <w:tab w:leader="none" w:pos="227"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61" w:lineRule="exact"/>
        <w:rPr>
          <w:sz w:val="20"/>
          <w:szCs w:val="20"/>
          <w:color w:val="auto"/>
        </w:rPr>
      </w:pPr>
    </w:p>
    <w:p>
      <w:pPr>
        <w:jc w:val="both"/>
        <w:ind w:firstLine="588"/>
        <w:spacing w:after="0" w:line="254" w:lineRule="auto"/>
        <w:rPr>
          <w:sz w:val="20"/>
          <w:szCs w:val="20"/>
          <w:color w:val="auto"/>
        </w:rPr>
      </w:pPr>
      <w:r>
        <w:rPr>
          <w:rFonts w:ascii="Arial" w:cs="Arial" w:eastAsia="Arial" w:hAnsi="Arial"/>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92" w:lineRule="exact"/>
        <w:rPr>
          <w:sz w:val="20"/>
          <w:szCs w:val="20"/>
          <w:color w:val="auto"/>
        </w:rPr>
      </w:pPr>
    </w:p>
    <w:p>
      <w:pPr>
        <w:jc w:val="both"/>
        <w:ind w:firstLine="588"/>
        <w:spacing w:after="0" w:line="286" w:lineRule="auto"/>
        <w:rPr>
          <w:sz w:val="20"/>
          <w:szCs w:val="20"/>
          <w:color w:val="auto"/>
        </w:rPr>
      </w:pPr>
      <w:r>
        <w:rPr>
          <w:rFonts w:ascii="Arial" w:cs="Arial" w:eastAsia="Arial" w:hAnsi="Arial"/>
          <w:sz w:val="16"/>
          <w:szCs w:val="16"/>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Thus, the milestone or royalty payments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jc w:val="both"/>
        <w:ind w:firstLine="588"/>
        <w:spacing w:after="0" w:line="259" w:lineRule="auto"/>
        <w:rPr>
          <w:sz w:val="20"/>
          <w:szCs w:val="20"/>
          <w:color w:val="auto"/>
        </w:rPr>
      </w:pPr>
      <w:r>
        <w:rPr>
          <w:rFonts w:ascii="Arial" w:cs="Arial" w:eastAsia="Arial" w:hAnsi="Arial"/>
          <w:sz w:val="18"/>
          <w:szCs w:val="18"/>
          <w:color w:val="auto"/>
        </w:rPr>
        <w:t>The new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87" w:lineRule="exact"/>
        <w:rPr>
          <w:sz w:val="20"/>
          <w:szCs w:val="20"/>
          <w:color w:val="auto"/>
        </w:rPr>
      </w:pPr>
    </w:p>
    <w:p>
      <w:pPr>
        <w:jc w:val="both"/>
        <w:ind w:firstLine="588"/>
        <w:spacing w:after="0" w:line="293" w:lineRule="auto"/>
        <w:rPr>
          <w:sz w:val="20"/>
          <w:szCs w:val="20"/>
          <w:color w:val="auto"/>
        </w:rPr>
      </w:pPr>
      <w:r>
        <w:rPr>
          <w:rFonts w:ascii="Arial" w:cs="Arial" w:eastAsia="Arial" w:hAnsi="Arial"/>
          <w:sz w:val="16"/>
          <w:szCs w:val="16"/>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5" w:lineRule="exact"/>
        <w:rPr>
          <w:sz w:val="20"/>
          <w:szCs w:val="20"/>
          <w:color w:val="auto"/>
        </w:rPr>
      </w:pPr>
    </w:p>
    <w:p>
      <w:pPr>
        <w:jc w:val="both"/>
        <w:ind w:firstLine="588"/>
        <w:spacing w:after="0" w:line="255" w:lineRule="auto"/>
        <w:rPr>
          <w:sz w:val="20"/>
          <w:szCs w:val="20"/>
          <w:color w:val="auto"/>
        </w:rPr>
      </w:pPr>
      <w:r>
        <w:rPr>
          <w:rFonts w:ascii="Arial" w:cs="Arial" w:eastAsia="Arial" w:hAnsi="Arial"/>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Labor hours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93" w:lineRule="exact"/>
        <w:rPr>
          <w:sz w:val="20"/>
          <w:szCs w:val="20"/>
          <w:color w:val="auto"/>
        </w:rPr>
      </w:pPr>
    </w:p>
    <w:p>
      <w:pPr>
        <w:jc w:val="both"/>
        <w:ind w:firstLine="588"/>
        <w:spacing w:after="0" w:line="276" w:lineRule="auto"/>
        <w:rPr>
          <w:sz w:val="20"/>
          <w:szCs w:val="20"/>
          <w:color w:val="auto"/>
        </w:rPr>
      </w:pPr>
      <w:r>
        <w:rPr>
          <w:rFonts w:ascii="Arial" w:cs="Arial" w:eastAsia="Arial" w:hAnsi="Arial"/>
          <w:sz w:val="17"/>
          <w:szCs w:val="17"/>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Intangible assets consist of a license agreement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left="28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2019</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2018</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48,148,275</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650,125</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22,010,692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(15,034,059)</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23,896,982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(14,884,311)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(0.18)</w:t>
            </w:r>
          </w:p>
        </w:tc>
      </w:tr>
      <w:tr>
        <w:trPr>
          <w:trHeight w:val="368"/>
        </w:trPr>
        <w:tc>
          <w:tcPr>
            <w:tcW w:w="3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2019</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2018</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82,806,171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4,159,946</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32,956,836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(28,847,407)</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35,934,235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(28,083,189)</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0.37</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(0.35)</w:t>
            </w:r>
          </w:p>
        </w:tc>
      </w:tr>
    </w:tbl>
    <w:p>
      <w:pPr>
        <w:spacing w:after="0" w:line="200" w:lineRule="exact"/>
        <w:rPr>
          <w:sz w:val="20"/>
          <w:szCs w:val="20"/>
          <w:color w:val="auto"/>
        </w:rPr>
      </w:pPr>
    </w:p>
    <w:p>
      <w:pPr>
        <w:spacing w:after="0" w:line="25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increase in our Revenue during the three and six months ended March 31, 2019 was driven by the revenue recognized from our agreements with Janssen and JJDC which were executed in October 2018. This increase in Revenue was also the key driver of the increase in our Operating Income, Net Income and Net Income per Share.</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Total revenue was $48,148,275 for the three months ended March 31, 2019 and $650,125 for the three months ended March 31, 2018. Total revenue was $82,806,171 for the six months ended March 31, 2019 and $4,159,946 for the six months ended March 31, 2018. Revenue in the current period is primarily related to the recognition of a portion of the $226.3 million initial transaction price associated with our agreements with Janssen and JJDC as we achieved progress toward completing our performance obligations within those agreements. Revenue in the previous period was primarily related to the upfront payments received from Amgen in 2016 that we recognized as Revenue as performance was completed for the AMG 890 (ARO-LPA) and ARO-AMG1 Agreements.</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Common Stock Purchase Agreement, the Company has sold 3,002,793 shares of Common Stock to Amgen at a price of $7.16 per share. Subject to Amgen’s exercise of the Option, as defined in the ARO-AMG1 Agreement, Amgen has agreed to purchase, and the Company has agreed to sell, an additional $5 million worth of shares of Common Stock based on a 30 trading day formula surrounding the date of the Option exercise. 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w:t>
      </w:r>
    </w:p>
    <w:p>
      <w:pPr>
        <w:spacing w:after="0" w:line="17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During the year ended September 30, 2018, the Company substantially completed its performance obligations under the AMG 890 (ARO-LPA) Agreement and the ARO-AMG1 Agreement. Future milestones and royalties achieved will be recognized in their entirety when earned. During the three months ended March 31, 2019 and 2018, the Company recognized $0.3 million and $0.7 million of Revenue associated with its agreements with Amgen, respectively. During the six months ended March 31, 2019 and 2018, the Company recognized $0.3 million and $4.2 million of Revenue associated with its agreements with Amgen, respectively. As of March 31, 2019 there was $0.1 million of contract assets, and $0 million of contract liabilities recorded as current deferred revenue on the Company’s Consolidated Balance Sheets.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w:t>
      </w:r>
    </w:p>
    <w:p>
      <w:pPr>
        <w:ind w:right="20" w:firstLine="8"/>
        <w:spacing w:after="0" w:line="284" w:lineRule="auto"/>
        <w:tabs>
          <w:tab w:leader="none" w:pos="185" w:val="left"/>
        </w:tabs>
        <w:numPr>
          <w:ilvl w:val="0"/>
          <w:numId w:val="6"/>
        </w:numPr>
        <w:rPr>
          <w:rFonts w:ascii="Arial" w:cs="Arial" w:eastAsia="Arial" w:hAnsi="Arial"/>
          <w:sz w:val="16"/>
          <w:szCs w:val="16"/>
          <w:color w:val="auto"/>
        </w:rPr>
      </w:pPr>
      <w:r>
        <w:rPr>
          <w:rFonts w:ascii="Arial" w:cs="Arial" w:eastAsia="Arial" w:hAnsi="Arial"/>
          <w:sz w:val="16"/>
          <w:szCs w:val="16"/>
          <w:color w:val="auto"/>
        </w:rPr>
        <w:t>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In April 2019, the Company earned a $25 million milestone payment from Janssen following the initiation of dosing in a new triple combination cohort (cohort 12) in the Company’s ongoing Phase 1 / 2 study of JNJ-3989 (ARO-HBV).</w:t>
      </w:r>
    </w:p>
    <w:p>
      <w:pPr>
        <w:spacing w:after="0" w:line="17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JNJ-3989 (ARO-HBV) and the Company’s responsibility to ensure certain manufacturing of ARO-HBV drug product 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7" w:name="page28"/>
    <w:bookmarkEnd w:id="27"/>
    <w:p>
      <w:pPr>
        <w:ind w:right="100"/>
        <w:spacing w:after="0" w:line="279" w:lineRule="auto"/>
        <w:rPr>
          <w:sz w:val="20"/>
          <w:szCs w:val="20"/>
          <w:color w:val="auto"/>
        </w:rPr>
      </w:pPr>
      <w:r>
        <w:rPr>
          <w:rFonts w:ascii="Arial" w:cs="Arial" w:eastAsia="Arial" w:hAnsi="Arial"/>
          <w:sz w:val="17"/>
          <w:szCs w:val="17"/>
          <w:color w:val="auto"/>
        </w:rPr>
        <w:t>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71" w:lineRule="exact"/>
        <w:rPr>
          <w:sz w:val="20"/>
          <w:szCs w:val="20"/>
          <w:color w:val="auto"/>
        </w:rPr>
      </w:pPr>
    </w:p>
    <w:p>
      <w:pPr>
        <w:jc w:val="both"/>
        <w:ind w:right="20" w:firstLine="518"/>
        <w:spacing w:after="0" w:line="275" w:lineRule="auto"/>
        <w:rPr>
          <w:sz w:val="20"/>
          <w:szCs w:val="20"/>
          <w:color w:val="auto"/>
        </w:rPr>
      </w:pPr>
      <w:r>
        <w:rPr>
          <w:rFonts w:ascii="Arial" w:cs="Arial" w:eastAsia="Arial" w:hAnsi="Arial"/>
          <w:sz w:val="17"/>
          <w:szCs w:val="17"/>
          <w:color w:val="auto"/>
        </w:rPr>
        <w:t>The Company determined the transaction price totaled approximately $226.3 million which includes the upfront payment, the premium paid by JJDC for its equity investment in the Company, the first $25 million milestone payment earned and estimated payments for reimbursable Janssen R&amp;D services to be performed. The Company has allocated the total $226.3 million initial transaction price to its one distinct performance obligation for the JNJ-3989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and six months ended March 31, 2019, the Company recognized approximately $47.9 million and $82.5 million of Revenue associated with its agreements with Janssen and JJDC, respectively. As of March 31, 2019 there were $13.3 million of contract assets recorded as accounts receivable, and $120.6 million of contract liabilities recorded as current deferred revenue and long-term deferred revenue on the Company’s Consolidated Balance Sheets. The $13.3 million of accounts receivable is driven by reimbursable costs incurred for the Janssen R&amp;D Services and the recognition of a portion of the $25 million milestone earned in April 2019 based on performance completed as of March 31, 2019, and the $120.6 million of current and long-term deferred revenue is driven by the upfront payment and premium paid by JJDC for its equity investment in the Company, net of revenue recognized in the period.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and six months ended March 31, 2019 and 2018 are shown in the tables below.</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 for the periods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2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00" w:type="dxa"/>
            <w:vAlign w:val="bottom"/>
            <w:tcBorders>
              <w:bottom w:val="single" w:sz="8" w:color="B6EAFC"/>
            </w:tcBorders>
          </w:tcPr>
          <w:p>
            <w:pPr>
              <w:spacing w:after="0"/>
              <w:rPr>
                <w:sz w:val="14"/>
                <w:szCs w:val="14"/>
                <w:color w:val="auto"/>
              </w:rPr>
            </w:pPr>
          </w:p>
        </w:tc>
        <w:tc>
          <w:tcPr>
            <w:tcW w:w="84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840" w:type="dxa"/>
            <w:vAlign w:val="bottom"/>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2,812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Stock compensation</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84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(366)</w:t>
            </w: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Drug manufacturing</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2,540</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4,890</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84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1,372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Clinical trials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2,124</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84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Facilities related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84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 R&amp;D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1,089</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840" w:type="dxa"/>
            <w:vAlign w:val="bottom"/>
            <w:vMerge w:val="restart"/>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B6EAFC"/>
          </w:tcPr>
          <w:p>
            <w:pPr>
              <w:spacing w:after="0" w:line="20" w:lineRule="exact"/>
              <w:rPr>
                <w:sz w:val="1"/>
                <w:szCs w:val="1"/>
                <w:color w:val="auto"/>
              </w:rPr>
            </w:pPr>
          </w:p>
        </w:tc>
        <w:tc>
          <w:tcPr>
            <w:tcW w:w="14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000" w:type="dxa"/>
            <w:vAlign w:val="bottom"/>
            <w:vMerge w:val="continue"/>
            <w:shd w:val="clear" w:color="auto" w:fill="B6EAFC"/>
          </w:tcPr>
          <w:p>
            <w:pPr>
              <w:spacing w:after="0"/>
              <w:rPr>
                <w:sz w:val="19"/>
                <w:szCs w:val="19"/>
                <w:color w:val="auto"/>
              </w:rPr>
            </w:pPr>
          </w:p>
        </w:tc>
        <w:tc>
          <w:tcPr>
            <w:tcW w:w="84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20,799</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12,002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8,797</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Six</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Six</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6,664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5,623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1,041</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1,459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(563)</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Drug manufacturing</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13,234</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7,242</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4,821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3,256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1,565</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3,551</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2,342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2,278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R&amp;D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38,371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24,922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13,449</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Salaries expense increased by $575,000 from $2,812,000 during the three months ended March 31, 2018 to $3,387,000 during the current</w:t>
      </w:r>
    </w:p>
    <w:p>
      <w:pPr>
        <w:spacing w:after="0" w:line="3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period. Salaries expense increased by $1,041,000 from $5,623,000 during the six months ended March 31, 2018 to $6,664,000 during the current period. The increase in the expense is primarily due to an increase in R&amp;D headcount that has occurred as the Company has expanded its pipeline of candidates.</w:t>
      </w:r>
    </w:p>
    <w:p>
      <w:pPr>
        <w:spacing w:after="0" w:line="13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Stock compensation expense, a non-cash expense, increased by $233,000 from $648,000 during the three months ended March 31, 2018 to $881,000 during the current period. Stock compensation expense, a non-cash expense, increased by $330,000 from $1,192,000 during the six months ended March 31, 2018 to $1,522,000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increased headcount discussed above and a mix of higher grant date fair values of awards amortizing during the periods due to the Company’s stock price at the time of the grants.</w:t>
      </w:r>
    </w:p>
    <w:p>
      <w:pPr>
        <w:spacing w:after="0" w:line="178"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color w:val="auto"/>
        </w:rPr>
        <w:t>In vivo studies expense decreased by $366,000 from $779,000 during the three months ended March 31, 2018 to $413,000 during the current period. In vivo studies expense decreased by $563,000 from $1,459,000 during the six months ended March 31, 2018 to $896,000 during the current period. In vivo studies expense can vary depending on the stage of preclinical candidates, the nature and amount of testing required and the cost variation of different in vivo testing models. The decrease in in vivo studies expense is a result of the timing of discovery studies being completed in the prior period.</w:t>
      </w:r>
    </w:p>
    <w:p>
      <w:pPr>
        <w:spacing w:after="0" w:line="154"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Drug manufacturing expense increased by $4,890,000 from $2,540,000 during the three months ended March 31, 2018 to $7,430,000 during the current period. Drug manufacturing expense increased by $7,242,000 from $5,992,000 during the six months ended March 31, 2018 to $13,234,000 during the current period. The increase in the expense primarily relates to the timing of manufacturing campaigns for JNJ-3989 (ARO-HBV), ARO-ANG3 and ARO-APOC3 clinical trials and toxicology studies. We anticipate this expense to increase as the volume of candidates in our pipeline increases and as each candidate progresses through clinical trial phases.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9" w:name="page30"/>
    <w:bookmarkEnd w:id="29"/>
    <w:p>
      <w:pPr>
        <w:ind w:right="220" w:firstLine="518"/>
        <w:spacing w:after="0" w:line="255" w:lineRule="auto"/>
        <w:rPr>
          <w:sz w:val="20"/>
          <w:szCs w:val="20"/>
          <w:color w:val="auto"/>
        </w:rPr>
      </w:pPr>
      <w:r>
        <w:rPr>
          <w:rFonts w:ascii="Arial" w:cs="Arial" w:eastAsia="Arial" w:hAnsi="Arial"/>
          <w:sz w:val="18"/>
          <w:szCs w:val="18"/>
          <w:color w:val="auto"/>
        </w:rPr>
        <w:t>Toxicity/efficacy studies expense increased by $1,038,000 from $1,372,000 during the three months ended March 31, 2018 to $2,410,000 during the current period. Toxicity/efficacy studies expense increased by $1,565,000 from $3,256,000 during the six months ended March 31, 2018 to $4,821,000 during the current period. This category includes IND-enabling toxicology studies as well as post-IND toxicology studies, such as long-term toxicology studies, and other efficacy studies. The increase in the expense primarily relates to toxicology studies for ARO-AAT, JNJ-3989 (ARO-HBV), ARO-ANG3 and ARO-APOC3 as each candidate progresses through and into clinical trials. We anticipate this expense to increase as we prepare to enter clinical trials with our other drug candidates.</w:t>
      </w:r>
    </w:p>
    <w:p>
      <w:pPr>
        <w:spacing w:after="0" w:line="19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Clinical trials expense increased by $2,124,000 from $1,081,000 during the three months ended March 31, 2018 to $3,205,000 during the current period. Clinical trials expense increased by $3,551,000 from $1,896,000 during the six months ended March 31, 2018 to $5,447,000 during the current period. The increase in the expense is primarily due to the ongoing ARO-AAT and JNJ-3989 (ARO-HBV) clinical trials, and the start up of the ARO-ANG3 and ARO-APOC3 clinical trials. We anticipate this expense to increase as ARO-AAT progresses through clinical trials and as we enter clinical trials with our other drug candidates.</w:t>
      </w:r>
    </w:p>
    <w:p>
      <w:pPr>
        <w:spacing w:after="0" w:line="18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License, royalty and milestones expense was minor in both periods. This category includes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Facilities expense increased by $250,000 from $533,000 during the three months ended March 31, 2018 to $783,000 during the current</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period. Facilities expense increased by $238,000 from $1,128,000 during the six months ended March 31, 2018 to $1,366,000 during the current period. This category includes rental costs for our research and development facility in Madison, Wisconsin. The increase in the expense is primarily due to increased maintenance costs for our research equipment.</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a non-cash expense, was consistent at $1,145,000 during the three months ended March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$1,170,000 during the current period. Depreciation and amortization expense, a non-cash expense, was consistent at $2,278,000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$2,342,000 during the current period. The majority of depreciation and amortization expense relates to depreciation on lab equipment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Madison research facility. In addition, the Company records depreciation on leasehold improvements at its Madison research facility.</w:t>
      </w:r>
    </w:p>
    <w:p>
      <w:pPr>
        <w:spacing w:after="0" w:line="21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Other research expense was consistent at $1,089,000 during the three months ended March 31, 2018 to $1,120,000 during the current period. Other research expense was consistent at $2,076,000 during the six months ended March 31, 2018 to $2,079,000 during the current period. This category includes the following costs to support discovery efforts and the advancement of current drug candidates: in-house laboratory supplies, outsourced labs services, and other miscellaneous research and development expenses.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1,579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1,720</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1,362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1,035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5,339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3,682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1,657</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Six</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Six</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3,667</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2,505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1,162</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1,440</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2,581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2,181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11,479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8,085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3,394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Salaries expense increased by $249,000 from $1,330,000 during the three months ended March 31, 2018 to $1,579,000 during the current</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period. Salaries expense increased by $1,162,000 from $2,505,000 during the six months ended March 31, 2018 to $3,667,000 during the current period. The increase in the expense is primarily driven by annual merit increases, performance bonuses and increased headcount.</w:t>
      </w:r>
    </w:p>
    <w:p>
      <w:pPr>
        <w:spacing w:after="0" w:line="184"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Stock compensation expense, a non-cash expense, increased by $911,000 from $809,000 during the three months ended March 31, 2018 to $1,720,000 during the current period. Stock compensation expense, a non-cash expense, increased by $1,440,000 from $2,357,000 during the six months ended March 31, 2018 to $3,797,000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a mix of higher grant date fair values of awards amortizing during the periods due to the Company’s stock price at the time of the grants and the achievement of certain performance-based awards during the current period.</w:t>
      </w:r>
    </w:p>
    <w:p>
      <w:pPr>
        <w:spacing w:after="0" w:line="16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 by the Company. Professional/outside services expense increased by $327,000 from $1,035,000 during the three months ended March 31, 2018 to $1,362,000 during the current period. Professional/outside services expense increased by $400,000 from $2,181,000 during the six months ended March 31, 2018 to $2,581,000 during the current period. The increase in the expense is primarily related to recruiting fees for increased headcount.</w:t>
      </w:r>
    </w:p>
    <w:p>
      <w:pPr>
        <w:spacing w:after="0" w:line="154" w:lineRule="exact"/>
        <w:rPr>
          <w:sz w:val="20"/>
          <w:szCs w:val="20"/>
          <w:color w:val="auto"/>
        </w:rPr>
      </w:pPr>
    </w:p>
    <w:p>
      <w:pPr>
        <w:ind w:right="700" w:firstLine="518"/>
        <w:spacing w:after="0" w:line="279" w:lineRule="auto"/>
        <w:rPr>
          <w:sz w:val="20"/>
          <w:szCs w:val="20"/>
          <w:color w:val="auto"/>
        </w:rPr>
      </w:pPr>
      <w:r>
        <w:rPr>
          <w:rFonts w:ascii="Arial" w:cs="Arial" w:eastAsia="Arial" w:hAnsi="Arial"/>
          <w:sz w:val="17"/>
          <w:szCs w:val="17"/>
          <w:color w:val="auto"/>
        </w:rPr>
        <w:t>Facilities-related expense increased $93,000 from $172,000 during the three months ended March 31, 2018 to $265,000 during the current period. Facilities-related expense increased $213,000 from $350,000 during the six months ended March 31, 2018 to $563,000 during the current period. This category primarily includes rental costs for our corporate headquarters in Pasadena, California. However, the increase in the expense is primarily related to miscellaneous office expenses driven by our increased headcount.</w:t>
      </w:r>
    </w:p>
    <w:p>
      <w:pPr>
        <w:spacing w:after="0" w:line="17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Depreciation and amortization expense, a noncash expense, was minor in each of the periods. The majority of general and administrative depreciation and amortization expense relates to depreciation on leasehold improvements at our Pasadena headquarters.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Other G&amp;A expense increased by $79,000 from $328,000 during the three months ended March 31, 2018 to $407,000 during the current period. Other G&amp;A expense increased by $184,000 from $676,000 during the six months ended March 31, 2018 to $860,000 during the current period. This category consists primarily of travel, communication and technology, office expenses, and franchise and property tax expenses. The increase in the expense was due to various travel and communication and technology expenses.</w:t>
      </w: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 expense was income of $1,886,290 and $149,748 during the three months ended March 31, 2019 and 2018, respectively. Other income</w:t>
      </w:r>
    </w:p>
    <w:p>
      <w:pPr>
        <w:spacing w:after="0" w:line="46" w:lineRule="exact"/>
        <w:rPr>
          <w:sz w:val="20"/>
          <w:szCs w:val="20"/>
          <w:color w:val="auto"/>
        </w:rPr>
      </w:pPr>
    </w:p>
    <w:p>
      <w:pPr>
        <w:ind w:right="200" w:firstLine="8"/>
        <w:spacing w:after="0" w:line="273" w:lineRule="auto"/>
        <w:tabs>
          <w:tab w:leader="none" w:pos="95"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expense was income of $2,977,399 and $764,218 during the six months ended March 31, 2019 and 2018, respectively. The largest component of other income / expense in the current periods was interest income earned on the Company’s investments. The largest component of other income / expense in the previous period was $0.4 million in other income due to the change in the value of derivative liabilities related to certain warrants with a price adjustment feature, which required derivative accounting. These warrants expired during the year ended September 30,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700" w:firstLine="518"/>
        <w:spacing w:after="0" w:line="342" w:lineRule="auto"/>
        <w:rPr>
          <w:sz w:val="20"/>
          <w:szCs w:val="20"/>
          <w:color w:val="auto"/>
        </w:rPr>
      </w:pPr>
      <w:r>
        <w:rPr>
          <w:rFonts w:ascii="Arial" w:cs="Arial" w:eastAsia="Arial" w:hAnsi="Arial"/>
          <w:sz w:val="16"/>
          <w:szCs w:val="16"/>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At March 31, 2019, the Company had cash on hand of approximately $161.6 million as compared to $30.1 million at September 30, 2018. Excess cash invested in short-term fixed income securities was $56.6 million at March 31, 2019, compared to $46.4 million at September 30, 2018. Excess cash invested in long-term fixed income securities was $67.5 million at March 31, 2019, compared to $0 million at September 30, 2018. The Company believes its current financial resources are sufficient to fund its operations through at least the next twelve months.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six months ended March 31, 2019 and 2018 is as follows: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Six Months Ended March 31,</w:t>
            </w:r>
          </w:p>
        </w:tc>
        <w:tc>
          <w:tcPr>
            <w:tcW w:w="120" w:type="dxa"/>
            <w:vAlign w:val="bottom"/>
          </w:tcPr>
          <w:p>
            <w:pPr>
              <w:spacing w:after="0"/>
              <w:rPr>
                <w:sz w:val="14"/>
                <w:szCs w:val="14"/>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Six Months Ended March</w:t>
            </w:r>
          </w:p>
        </w:tc>
      </w:tr>
      <w:tr>
        <w:trPr>
          <w:trHeight w:val="171"/>
        </w:trPr>
        <w:tc>
          <w:tcPr>
            <w:tcW w:w="2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31, 2018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148,698,255</w:t>
            </w:r>
          </w:p>
        </w:tc>
        <w:tc>
          <w:tcPr>
            <w:tcW w:w="160" w:type="dxa"/>
            <w:vAlign w:val="bottom"/>
          </w:tcPr>
          <w:p>
            <w:pPr>
              <w:spacing w:after="0"/>
              <w:rPr>
                <w:sz w:val="19"/>
                <w:szCs w:val="19"/>
                <w:color w:val="auto"/>
              </w:rPr>
            </w:pP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(30,133,934)</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(78,973,570)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18,172,661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61,781,310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56,927,823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131,505,995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44,966,550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30,133,213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24,838,567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161,639,208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69,805,117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During the six months ended March 31, 2019, the Company generated $148.7 million in cash from operating activities, which was primarily related to the $175.0 million upfront payment received from Janssen and the premium JJDC paid on the Company’s common stock during the period. These inflows were partially offset by approximately $41 million of cash used for the ongoing expenses of the Company’s research and development programs and general and administrative expenses. Cash used in investing activities was $79.0 million, which was primarily related to purchases of fixed-income investments of $90.3 million. Cash provided by financing activities of $61.8 million was driven by the equity investment the Company received from JJDC during the period.</w:t>
      </w:r>
    </w:p>
    <w:p>
      <w:pPr>
        <w:spacing w:after="0" w:line="19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During the six months ended March 31, 2018, the Company used $30.1 million in cash from operating activities for the on-going expenses of its research and development programs and general and administrative expenses. Cash provided by investing activities was $18.2 million, which was primarily related to maturities of fixed-income investments of $23.7 million offset by purchases of fixed-income securities of $5.0 million. Cash provided by financing activities of $56.9 million was driven by the $56.6 million of cash generated from the fully underwritten public offering in January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2018, filed with the Securities and Exchange Commission on December 11, 2018.</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2018. For an update to those disclosures, see Note 7 to the Consolidated Financial Statements under the heading “Litigation” in Part I, Item 1.</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2018. Please carefully consider the information set forth in this Quarterly Report on Form 10-Q and the risk factors discussed in Part I, “Item 1A. Risk Factors” in our Annual Report on Form 10-K for the year ended September 30, 2018,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7"/>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tcBorders>
              <w:top w:val="single" w:sz="8" w:color="auto"/>
            </w:tcBorders>
            <w:gridSpan w:val="7"/>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 pursuant to Rule 13a-14(a)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of the Sarbanes-Oxley Act of 2002*</w:t>
              </w:r>
            </w:hyperlink>
          </w:p>
        </w:tc>
        <w:tc>
          <w:tcPr>
            <w:tcW w:w="778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Financial Officer pursuant to Rule 13a-14(a) of the Securities Exchange Act of 1934, as Adopted Pursuant to Section 302</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of the Sarbanes-Oxley Act of 2002*</w:t>
              </w:r>
            </w:hyperlink>
          </w:p>
        </w:tc>
        <w:tc>
          <w:tcPr>
            <w:tcW w:w="7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20" w:right="20" w:hanging="912"/>
        <w:spacing w:after="0" w:line="286"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materials from Registrant’s Quarterly Report on Form 10-Q for the quarter ended March 31, 2019,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706120</wp:posOffset>
            </wp:positionV>
            <wp:extent cx="9690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2019</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590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121" w:right="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31"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-130810</wp:posOffset>
            </wp:positionV>
            <wp:extent cx="43135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3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-130810</wp:posOffset>
            </wp:positionV>
            <wp:extent cx="43395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March 31, 2019,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March 31, 2019,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131"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jc w:val="both"/>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amp;"/>
      <w:numFmt w:val="bullet"/>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amp;"/>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2019-12-28T12:48:18Z</dcterms:created>
  <dcterms:modified xsi:type="dcterms:W3CDTF">2019-12-28T12:48:18Z</dcterms:modified>
</cp:coreProperties>
</file>