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7"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September 30, 2016.</w:t>
      </w:r>
    </w:p>
    <w:p>
      <w:pPr>
        <w:spacing w:after="0" w:line="12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24" w:lineRule="exact"/>
        <w:rPr>
          <w:sz w:val="24"/>
          <w:szCs w:val="24"/>
          <w:color w:val="auto"/>
        </w:rPr>
      </w:pPr>
    </w:p>
    <w:p>
      <w:pPr>
        <w:ind w:left="412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ARROWHEAD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20" w:type="dxa"/>
            <w:vAlign w:val="bottom"/>
          </w:tcPr>
          <w:p>
            <w:pPr>
              <w:jc w:val="center"/>
              <w:ind w:left="164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400" w:type="dxa"/>
            <w:vAlign w:val="bottom"/>
            <w:gridSpan w:val="5"/>
          </w:tcPr>
          <w:p>
            <w:pPr>
              <w:jc w:val="center"/>
              <w:ind w:left="1705"/>
              <w:spacing w:after="0"/>
              <w:rPr>
                <w:sz w:val="20"/>
                <w:szCs w:val="20"/>
                <w:color w:val="auto"/>
              </w:rPr>
            </w:pPr>
            <w:r>
              <w:rPr>
                <w:rFonts w:ascii="Times New Roman" w:cs="Times New Roman" w:eastAsia="Times New Roman" w:hAnsi="Times New Roman"/>
                <w:sz w:val="16"/>
                <w:szCs w:val="16"/>
                <w:b w:val="1"/>
                <w:bCs w:val="1"/>
                <w:color w:val="auto"/>
              </w:rPr>
              <w:t>46-0408024</w:t>
            </w:r>
          </w:p>
        </w:tc>
      </w:tr>
      <w:tr>
        <w:trPr>
          <w:trHeight w:val="166"/>
        </w:trPr>
        <w:tc>
          <w:tcPr>
            <w:tcW w:w="4020" w:type="dxa"/>
            <w:vAlign w:val="bottom"/>
          </w:tcPr>
          <w:p>
            <w:pPr>
              <w:jc w:val="center"/>
              <w:ind w:left="1646"/>
              <w:spacing w:after="0"/>
              <w:rPr>
                <w:sz w:val="20"/>
                <w:szCs w:val="20"/>
                <w:color w:val="auto"/>
              </w:rPr>
            </w:pPr>
            <w:r>
              <w:rPr>
                <w:rFonts w:ascii="Times New Roman" w:cs="Times New Roman" w:eastAsia="Times New Roman" w:hAnsi="Times New Roman"/>
                <w:sz w:val="13"/>
                <w:szCs w:val="13"/>
                <w:b w:val="1"/>
                <w:bCs w:val="1"/>
                <w:color w:val="auto"/>
                <w:w w:val="96"/>
              </w:rPr>
              <w:t>(State of incorporation)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80" w:type="dxa"/>
            <w:vAlign w:val="bottom"/>
          </w:tcPr>
          <w:p>
            <w:pPr>
              <w:jc w:val="center"/>
              <w:ind w:right="951"/>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43"/>
        </w:trPr>
        <w:tc>
          <w:tcPr>
            <w:tcW w:w="4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60" w:type="dxa"/>
            <w:vAlign w:val="bottom"/>
            <w:gridSpan w:val="4"/>
          </w:tcPr>
          <w:p>
            <w:pPr>
              <w:jc w:val="center"/>
              <w:ind w:right="4471"/>
              <w:spacing w:after="0"/>
              <w:rPr>
                <w:sz w:val="20"/>
                <w:szCs w:val="20"/>
                <w:color w:val="auto"/>
              </w:rPr>
            </w:pPr>
            <w:r>
              <w:rPr>
                <w:rFonts w:ascii="Times New Roman" w:cs="Times New Roman" w:eastAsia="Times New Roman" w:hAnsi="Times New Roman"/>
                <w:sz w:val="16"/>
                <w:szCs w:val="16"/>
                <w:b w:val="1"/>
                <w:bCs w:val="1"/>
                <w:color w:val="auto"/>
              </w:rPr>
              <w:t>225 S. Lake Avenue, Suite 1050</w:t>
            </w:r>
          </w:p>
        </w:tc>
      </w:tr>
      <w:tr>
        <w:trPr>
          <w:trHeight w:val="203"/>
        </w:trPr>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60" w:type="dxa"/>
            <w:vAlign w:val="bottom"/>
            <w:gridSpan w:val="4"/>
          </w:tcPr>
          <w:p>
            <w:pPr>
              <w:jc w:val="center"/>
              <w:ind w:right="4471"/>
              <w:spacing w:after="0"/>
              <w:rPr>
                <w:sz w:val="20"/>
                <w:szCs w:val="20"/>
                <w:color w:val="auto"/>
              </w:rPr>
            </w:pPr>
            <w:r>
              <w:rPr>
                <w:rFonts w:ascii="Times New Roman" w:cs="Times New Roman" w:eastAsia="Times New Roman" w:hAnsi="Times New Roman"/>
                <w:sz w:val="16"/>
                <w:szCs w:val="16"/>
                <w:b w:val="1"/>
                <w:bCs w:val="1"/>
                <w:color w:val="auto"/>
              </w:rPr>
              <w:t>Pasadena, California 91101</w:t>
            </w:r>
          </w:p>
        </w:tc>
      </w:tr>
      <w:tr>
        <w:trPr>
          <w:trHeight w:val="198"/>
        </w:trPr>
        <w:tc>
          <w:tcPr>
            <w:tcW w:w="4020" w:type="dxa"/>
            <w:vAlign w:val="bottom"/>
          </w:tcPr>
          <w:p>
            <w:pPr>
              <w:spacing w:after="0"/>
              <w:rPr>
                <w:sz w:val="17"/>
                <w:szCs w:val="17"/>
                <w:color w:val="auto"/>
              </w:rPr>
            </w:pPr>
          </w:p>
        </w:tc>
        <w:tc>
          <w:tcPr>
            <w:tcW w:w="2820" w:type="dxa"/>
            <w:vAlign w:val="bottom"/>
            <w:gridSpan w:val="4"/>
          </w:tcPr>
          <w:p>
            <w:pPr>
              <w:jc w:val="center"/>
              <w:ind w:left="485"/>
              <w:spacing w:after="0"/>
              <w:rPr>
                <w:sz w:val="20"/>
                <w:szCs w:val="20"/>
                <w:color w:val="auto"/>
              </w:rPr>
            </w:pPr>
            <w:r>
              <w:rPr>
                <w:rFonts w:ascii="Times New Roman" w:cs="Times New Roman" w:eastAsia="Times New Roman" w:hAnsi="Times New Roman"/>
                <w:sz w:val="16"/>
                <w:szCs w:val="16"/>
                <w:b w:val="1"/>
                <w:bCs w:val="1"/>
                <w:color w:val="auto"/>
              </w:rPr>
              <w:t>(626) 304-3400</w:t>
            </w:r>
          </w:p>
        </w:tc>
        <w:tc>
          <w:tcPr>
            <w:tcW w:w="4580" w:type="dxa"/>
            <w:vAlign w:val="bottom"/>
          </w:tcPr>
          <w:p>
            <w:pPr>
              <w:spacing w:after="0"/>
              <w:rPr>
                <w:sz w:val="17"/>
                <w:szCs w:val="17"/>
                <w:color w:val="auto"/>
              </w:rPr>
            </w:pPr>
          </w:p>
        </w:tc>
      </w:tr>
      <w:tr>
        <w:trPr>
          <w:trHeight w:val="166"/>
        </w:trPr>
        <w:tc>
          <w:tcPr>
            <w:tcW w:w="4020" w:type="dxa"/>
            <w:vAlign w:val="bottom"/>
          </w:tcPr>
          <w:p>
            <w:pPr>
              <w:spacing w:after="0"/>
              <w:rPr>
                <w:sz w:val="14"/>
                <w:szCs w:val="14"/>
                <w:color w:val="auto"/>
              </w:rPr>
            </w:pPr>
          </w:p>
        </w:tc>
        <w:tc>
          <w:tcPr>
            <w:tcW w:w="7400" w:type="dxa"/>
            <w:vAlign w:val="bottom"/>
            <w:gridSpan w:val="5"/>
          </w:tcPr>
          <w:p>
            <w:pPr>
              <w:jc w:val="center"/>
              <w:ind w:right="3931"/>
              <w:spacing w:after="0"/>
              <w:rPr>
                <w:sz w:val="20"/>
                <w:szCs w:val="20"/>
                <w:color w:val="auto"/>
              </w:rPr>
            </w:pPr>
            <w:r>
              <w:rPr>
                <w:rFonts w:ascii="Times New Roman" w:cs="Times New Roman" w:eastAsia="Times New Roman" w:hAnsi="Times New Roman"/>
                <w:sz w:val="13"/>
                <w:szCs w:val="13"/>
                <w:b w:val="1"/>
                <w:bCs w:val="1"/>
                <w:color w:val="auto"/>
                <w:w w:val="96"/>
              </w:rPr>
              <w:t>(Address and telephone number of principal executive offices)</w:t>
            </w:r>
          </w:p>
        </w:tc>
      </w:tr>
      <w:tr>
        <w:trPr>
          <w:trHeight w:val="84"/>
        </w:trPr>
        <w:tc>
          <w:tcPr>
            <w:tcW w:w="4560" w:type="dxa"/>
            <w:vAlign w:val="bottom"/>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r>
      <w:tr>
        <w:trPr>
          <w:trHeight w:val="298"/>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Exchange Act:</w:t>
            </w:r>
          </w:p>
        </w:tc>
      </w:tr>
      <w:tr>
        <w:trPr>
          <w:trHeight w:val="182"/>
        </w:trPr>
        <w:tc>
          <w:tcPr>
            <w:tcW w:w="4020" w:type="dxa"/>
            <w:vAlign w:val="bottom"/>
            <w:tcBorders>
              <w:bottom w:val="single" w:sz="8" w:color="auto"/>
            </w:tcBorders>
          </w:tcPr>
          <w:p>
            <w:pPr>
              <w:jc w:val="center"/>
              <w:ind w:left="1646"/>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center"/>
              <w:ind w:right="971"/>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6"/>
        </w:trPr>
        <w:tc>
          <w:tcPr>
            <w:tcW w:w="4020" w:type="dxa"/>
            <w:vAlign w:val="bottom"/>
          </w:tcPr>
          <w:p>
            <w:pPr>
              <w:jc w:val="center"/>
              <w:ind w:left="1626"/>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80" w:type="dxa"/>
            <w:vAlign w:val="bottom"/>
          </w:tcPr>
          <w:p>
            <w:pPr>
              <w:jc w:val="center"/>
              <w:ind w:right="951"/>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ind w:left="520" w:right="2280"/>
        <w:spacing w:after="0" w:line="283"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a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34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30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50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82" w:lineRule="exact"/>
        <w:rPr>
          <w:sz w:val="24"/>
          <w:szCs w:val="24"/>
          <w:color w:val="auto"/>
        </w:rPr>
      </w:pPr>
    </w:p>
    <w:p>
      <w:pPr>
        <w:ind w:right="220" w:firstLine="518"/>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line="184" w:lineRule="exact"/>
        <w:tabs>
          <w:tab w:leader="none" w:pos="2880" w:val="left"/>
          <w:tab w:leader="none" w:pos="5120" w:val="left"/>
          <w:tab w:leader="none" w:pos="786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right="100" w:firstLine="518"/>
        <w:spacing w:after="0" w:line="275" w:lineRule="auto"/>
        <w:rPr>
          <w:sz w:val="20"/>
          <w:szCs w:val="20"/>
          <w:color w:val="auto"/>
        </w:rPr>
      </w:pPr>
      <w:r>
        <w:rPr>
          <w:rFonts w:ascii="Times New Roman" w:cs="Times New Roman" w:eastAsia="Times New Roman" w:hAnsi="Times New Roman"/>
          <w:sz w:val="16"/>
          <w:szCs w:val="16"/>
          <w:color w:val="auto"/>
        </w:rPr>
        <w:t>The aggregate market value of issuer’s voting and non-voting outstanding Common Stock held by non-affiliates was approximately $290 million based upon the closing stock price of issuer’s Common Stock on March 31, 2016.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December 12, 2016, 74,173,484 shares of the issuer’s Common Stock were issued and outstanding.</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120" w:firstLine="571"/>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to be filed for Arrowhead Pharmaceuticals Inc.’s 2016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w:t>
            </w:r>
          </w:p>
        </w:tc>
        <w:tc>
          <w:tcPr>
            <w:tcW w:w="97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w:t>
              </w:r>
              <w:r>
                <w:rPr>
                  <w:rFonts w:ascii="Times New Roman" w:cs="Times New Roman" w:eastAsia="Times New Roman" w:hAnsi="Times New Roman"/>
                  <w:sz w:val="13"/>
                  <w:szCs w:val="13"/>
                  <w:color w:val="0000EE"/>
                </w:rPr>
                <w:t>USINESS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1A.</w:t>
            </w:r>
          </w:p>
        </w:tc>
        <w:tc>
          <w:tcPr>
            <w:tcW w:w="1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w:t>
              </w:r>
              <w:r>
                <w:rPr>
                  <w:rFonts w:ascii="Times New Roman" w:cs="Times New Roman" w:eastAsia="Times New Roman" w:hAnsi="Times New Roman"/>
                  <w:sz w:val="13"/>
                  <w:szCs w:val="13"/>
                  <w:color w:val="0000EE"/>
                  <w:w w:val="99"/>
                </w:rPr>
                <w:t>ISK</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3"/>
                  <w:szCs w:val="13"/>
                  <w:color w:val="0000EE"/>
                  <w:w w:val="99"/>
                </w:rPr>
                <w:t>ACTORS</w:t>
              </w:r>
            </w:hyperlink>
          </w:p>
        </w:tc>
        <w:tc>
          <w:tcPr>
            <w:tcW w:w="87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1B.</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w:t>
              </w:r>
              <w:r>
                <w:rPr>
                  <w:rFonts w:ascii="Times New Roman" w:cs="Times New Roman" w:eastAsia="Times New Roman" w:hAnsi="Times New Roman"/>
                  <w:sz w:val="13"/>
                  <w:szCs w:val="13"/>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OMMENTS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2.</w:t>
            </w:r>
          </w:p>
        </w:tc>
        <w:tc>
          <w:tcPr>
            <w:tcW w:w="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P</w:t>
              </w:r>
              <w:r>
                <w:rPr>
                  <w:rFonts w:ascii="Times New Roman" w:cs="Times New Roman" w:eastAsia="Times New Roman" w:hAnsi="Times New Roman"/>
                  <w:sz w:val="13"/>
                  <w:szCs w:val="13"/>
                  <w:color w:val="0000EE"/>
                  <w:w w:val="98"/>
                </w:rPr>
                <w:t>ROPERTIES</w:t>
              </w:r>
            </w:hyperlink>
          </w:p>
        </w:tc>
        <w:tc>
          <w:tcPr>
            <w:tcW w:w="1400" w:type="dxa"/>
            <w:vAlign w:val="bottom"/>
            <w:tcBorders>
              <w:top w:val="single" w:sz="8" w:color="0000EE"/>
            </w:tcBorders>
            <w:gridSpan w:val="6"/>
          </w:tcPr>
          <w:p>
            <w:pPr>
              <w:spacing w:after="0"/>
              <w:rPr>
                <w:sz w:val="17"/>
                <w:szCs w:val="17"/>
                <w:color w:val="auto"/>
              </w:rPr>
            </w:pPr>
          </w:p>
        </w:tc>
        <w:tc>
          <w:tcPr>
            <w:tcW w:w="75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3.</w:t>
            </w:r>
          </w:p>
        </w:tc>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w:t>
              </w:r>
              <w:r>
                <w:rPr>
                  <w:rFonts w:ascii="Times New Roman" w:cs="Times New Roman" w:eastAsia="Times New Roman" w:hAnsi="Times New Roman"/>
                  <w:sz w:val="13"/>
                  <w:szCs w:val="13"/>
                  <w:color w:val="0000EE"/>
                </w:rPr>
                <w:t>EGAL</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ROCEEDINGS</w:t>
              </w:r>
            </w:hyperlink>
          </w:p>
        </w:tc>
        <w:tc>
          <w:tcPr>
            <w:tcW w:w="83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4.</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5.</w:t>
            </w:r>
          </w:p>
        </w:tc>
        <w:tc>
          <w:tcPr>
            <w:tcW w:w="9760" w:type="dxa"/>
            <w:vAlign w:val="bottom"/>
            <w:gridSpan w:val="1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ARKET FOR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3"/>
                  <w:szCs w:val="13"/>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OMMON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3"/>
                  <w:szCs w:val="13"/>
                  <w:color w:val="0000EE"/>
                </w:rPr>
                <w:t>QUITY</w:t>
              </w:r>
              <w:r>
                <w:rPr>
                  <w:rFonts w:ascii="Times New Roman" w:cs="Times New Roman" w:eastAsia="Times New Roman" w:hAnsi="Times New Roman"/>
                  <w:sz w:val="18"/>
                  <w:szCs w:val="18"/>
                  <w:color w:val="0000EE"/>
                </w:rPr>
                <w:t>,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TOCKHOLDER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ATTERS AND</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SSUER</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3"/>
                  <w:szCs w:val="13"/>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ECURITIES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6.</w:t>
            </w:r>
          </w:p>
        </w:tc>
        <w:tc>
          <w:tcPr>
            <w:tcW w:w="93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w:t>
              </w:r>
              <w:r>
                <w:rPr>
                  <w:rFonts w:ascii="Times New Roman" w:cs="Times New Roman" w:eastAsia="Times New Roman" w:hAnsi="Times New Roman"/>
                  <w:sz w:val="13"/>
                  <w:szCs w:val="13"/>
                  <w:color w:val="0000EE"/>
                </w:rPr>
                <w:t>ELECTED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ATA</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w:t>
            </w:r>
          </w:p>
        </w:tc>
        <w:tc>
          <w:tcPr>
            <w:tcW w:w="7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w:t>
              </w:r>
              <w:r>
                <w:rPr>
                  <w:rFonts w:ascii="Times New Roman" w:cs="Times New Roman" w:eastAsia="Times New Roman" w:hAnsi="Times New Roman"/>
                  <w:sz w:val="13"/>
                  <w:szCs w:val="13"/>
                  <w:color w:val="0000EE"/>
                </w:rPr>
                <w:t>ANAGEMENT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3"/>
                  <w:szCs w:val="13"/>
                  <w:color w:val="0000EE"/>
                </w:rPr>
                <w:t>S</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ISCUSSION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NALYSIS OF</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ONDITION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ESULTS OF</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PERATIONS</w:t>
              </w:r>
            </w:hyperlink>
          </w:p>
        </w:tc>
        <w:tc>
          <w:tcPr>
            <w:tcW w:w="27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7A.</w:t>
            </w: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Q</w:t>
              </w:r>
              <w:r>
                <w:rPr>
                  <w:rFonts w:ascii="Times New Roman" w:cs="Times New Roman" w:eastAsia="Times New Roman" w:hAnsi="Times New Roman"/>
                  <w:sz w:val="13"/>
                  <w:szCs w:val="13"/>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3"/>
                  <w:szCs w:val="13"/>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ISK</w:t>
              </w:r>
            </w:hyperlink>
          </w:p>
        </w:tc>
        <w:tc>
          <w:tcPr>
            <w:tcW w:w="49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8.</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TATEMENTS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UPPLEMENTARY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ATA</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w:t>
            </w: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HANGES IN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ISAGREEMENTS WITH</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CCOUNTANTS ON</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ISCLOSURE</w:t>
              </w:r>
            </w:hyperlink>
          </w:p>
        </w:tc>
        <w:tc>
          <w:tcPr>
            <w:tcW w:w="2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9A.</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3"/>
                  <w:szCs w:val="13"/>
                  <w:color w:val="0000EE"/>
                </w:rPr>
                <w:t>ROCEDURES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9B.</w:t>
            </w:r>
          </w:p>
        </w:tc>
        <w:tc>
          <w:tcPr>
            <w:tcW w:w="20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w:t>
              </w:r>
              <w:r>
                <w:rPr>
                  <w:rFonts w:ascii="Times New Roman" w:cs="Times New Roman" w:eastAsia="Times New Roman" w:hAnsi="Times New Roman"/>
                  <w:sz w:val="13"/>
                  <w:szCs w:val="13"/>
                  <w:color w:val="0000EE"/>
                </w:rPr>
                <w:t>THER</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NFORMATION</w:t>
              </w:r>
            </w:hyperlink>
          </w:p>
        </w:tc>
        <w:tc>
          <w:tcPr>
            <w:tcW w:w="7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10.</w:t>
            </w:r>
          </w:p>
        </w:tc>
        <w:tc>
          <w:tcPr>
            <w:tcW w:w="4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w:t>
              </w:r>
              <w:r>
                <w:rPr>
                  <w:rFonts w:ascii="Times New Roman" w:cs="Times New Roman" w:eastAsia="Times New Roman" w:hAnsi="Times New Roman"/>
                  <w:sz w:val="13"/>
                  <w:szCs w:val="13"/>
                  <w:color w:val="0000EE"/>
                </w:rPr>
                <w:t>IRECTORS</w:t>
              </w:r>
              <w:r>
                <w:rPr>
                  <w:rFonts w:ascii="Times New Roman" w:cs="Times New Roman" w:eastAsia="Times New Roman" w:hAnsi="Times New Roman"/>
                  <w:sz w:val="18"/>
                  <w:szCs w:val="18"/>
                  <w:color w:val="0000EE"/>
                </w:rPr>
                <w:t>, E</w:t>
              </w:r>
              <w:r>
                <w:rPr>
                  <w:rFonts w:ascii="Times New Roman" w:cs="Times New Roman" w:eastAsia="Times New Roman" w:hAnsi="Times New Roman"/>
                  <w:sz w:val="13"/>
                  <w:szCs w:val="13"/>
                  <w:color w:val="0000EE"/>
                </w:rPr>
                <w:t>XECUTIVE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FFICERS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3"/>
                  <w:szCs w:val="13"/>
                  <w:color w:val="0000EE"/>
                </w:rPr>
                <w:t>AND</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3"/>
                  <w:szCs w:val="13"/>
                  <w:color w:val="0000EE"/>
                </w:rPr>
                <w:t>OVERNANCE</w:t>
              </w:r>
            </w:hyperlink>
          </w:p>
        </w:tc>
        <w:tc>
          <w:tcPr>
            <w:tcW w:w="5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11.</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w:t>
              </w:r>
              <w:r>
                <w:rPr>
                  <w:rFonts w:ascii="Times New Roman" w:cs="Times New Roman" w:eastAsia="Times New Roman" w:hAnsi="Times New Roman"/>
                  <w:sz w:val="13"/>
                  <w:szCs w:val="13"/>
                  <w:color w:val="0000EE"/>
                </w:rPr>
                <w:t>XECUTIVE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OMPENSATION</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12.</w:t>
            </w: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w:t>
              </w:r>
              <w:r>
                <w:rPr>
                  <w:rFonts w:ascii="Times New Roman" w:cs="Times New Roman" w:eastAsia="Times New Roman" w:hAnsi="Times New Roman"/>
                  <w:sz w:val="13"/>
                  <w:szCs w:val="13"/>
                  <w:color w:val="0000EE"/>
                </w:rPr>
                <w:t>ECURITY</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WNERSHIP OF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3"/>
                  <w:szCs w:val="13"/>
                  <w:color w:val="0000EE"/>
                </w:rPr>
                <w:t>ERTAIN</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3"/>
                  <w:szCs w:val="13"/>
                  <w:color w:val="0000EE"/>
                </w:rPr>
                <w:t>ENEFICIAL</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3"/>
                  <w:szCs w:val="13"/>
                  <w:color w:val="0000EE"/>
                </w:rPr>
                <w:t>WNERS AND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3"/>
                  <w:szCs w:val="13"/>
                  <w:color w:val="0000EE"/>
                </w:rPr>
                <w:t>ANAGEMENT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TOCKHOLDERS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13.</w:t>
            </w:r>
          </w:p>
        </w:tc>
        <w:tc>
          <w:tcPr>
            <w:tcW w:w="7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w:t>
              </w:r>
              <w:r>
                <w:rPr>
                  <w:rFonts w:ascii="Times New Roman" w:cs="Times New Roman" w:eastAsia="Times New Roman" w:hAnsi="Times New Roman"/>
                  <w:sz w:val="13"/>
                  <w:szCs w:val="13"/>
                  <w:color w:val="0000EE"/>
                </w:rPr>
                <w:t>ERTAIN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3"/>
                  <w:szCs w:val="13"/>
                  <w:color w:val="0000EE"/>
                </w:rPr>
                <w:t>ELATIONSHIPS</w:t>
              </w:r>
              <w:r>
                <w:rPr>
                  <w:rFonts w:ascii="Times New Roman" w:cs="Times New Roman" w:eastAsia="Times New Roman" w:hAnsi="Times New Roman"/>
                  <w:sz w:val="18"/>
                  <w:szCs w:val="18"/>
                  <w:color w:val="0000EE"/>
                </w:rPr>
                <w:t>, R</w:t>
              </w:r>
              <w:r>
                <w:rPr>
                  <w:rFonts w:ascii="Times New Roman" w:cs="Times New Roman" w:eastAsia="Times New Roman" w:hAnsi="Times New Roman"/>
                  <w:sz w:val="13"/>
                  <w:szCs w:val="13"/>
                  <w:color w:val="0000EE"/>
                </w:rPr>
                <w:t>ELATED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3"/>
                  <w:szCs w:val="13"/>
                  <w:color w:val="0000EE"/>
                </w:rPr>
                <w:t>RANSACTIONS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3"/>
                  <w:szCs w:val="13"/>
                  <w:color w:val="0000EE"/>
                </w:rPr>
                <w:t>IRECTORS</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3"/>
                  <w:szCs w:val="13"/>
                  <w:color w:val="0000EE"/>
                </w:rPr>
                <w:t>NDEPENDENCE</w:t>
              </w:r>
            </w:hyperlink>
          </w:p>
        </w:tc>
        <w:tc>
          <w:tcPr>
            <w:tcW w:w="2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14.</w:t>
            </w:r>
          </w:p>
        </w:tc>
        <w:tc>
          <w:tcPr>
            <w:tcW w:w="57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w:t>
              </w:r>
              <w:r>
                <w:rPr>
                  <w:rFonts w:ascii="Times New Roman" w:cs="Times New Roman" w:eastAsia="Times New Roman" w:hAnsi="Times New Roman"/>
                  <w:sz w:val="13"/>
                  <w:szCs w:val="13"/>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3"/>
                  <w:szCs w:val="13"/>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ERVICES</w:t>
              </w:r>
            </w:hyperlink>
          </w:p>
        </w:tc>
        <w:tc>
          <w:tcPr>
            <w:tcW w:w="40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15.</w:t>
            </w:r>
          </w:p>
        </w:tc>
        <w:tc>
          <w:tcPr>
            <w:tcW w:w="34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w:t>
              </w:r>
              <w:r>
                <w:rPr>
                  <w:rFonts w:ascii="Times New Roman" w:cs="Times New Roman" w:eastAsia="Times New Roman" w:hAnsi="Times New Roman"/>
                  <w:sz w:val="13"/>
                  <w:szCs w:val="13"/>
                  <w:color w:val="0000EE"/>
                </w:rPr>
                <w:t>XHIBITS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3"/>
                  <w:szCs w:val="13"/>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TATEMENT</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3"/>
                  <w:szCs w:val="13"/>
                  <w:color w:val="0000EE"/>
                </w:rPr>
                <w:t>CHEDULES</w:t>
              </w:r>
            </w:hyperlink>
          </w:p>
        </w:tc>
        <w:tc>
          <w:tcPr>
            <w:tcW w:w="6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8"/>
        </w:trPr>
        <w:tc>
          <w:tcPr>
            <w:tcW w:w="1076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SIGNATURE</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760" w:type="dxa"/>
            <w:vAlign w:val="bottom"/>
            <w:gridSpan w:val="20"/>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INDEX TO FINANCIAL STATEMENTS AND SCHEDULES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1000"/>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3" w:right="2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formerly known as Arrowhead Research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18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305"/>
        <w:spacing w:after="0" w:line="258" w:lineRule="auto"/>
        <w:rPr>
          <w:sz w:val="20"/>
          <w:szCs w:val="20"/>
          <w:color w:val="auto"/>
        </w:rPr>
      </w:pPr>
      <w:r>
        <w:rPr>
          <w:rFonts w:ascii="Times New Roman" w:cs="Times New Roman" w:eastAsia="Times New Roman" w:hAnsi="Times New Roman"/>
          <w:sz w:val="18"/>
          <w:szCs w:val="18"/>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Stage Drug Candidates</w:t>
      </w:r>
    </w:p>
    <w:p>
      <w:pPr>
        <w:spacing w:after="0" w:line="121" w:lineRule="exact"/>
        <w:rPr>
          <w:sz w:val="20"/>
          <w:szCs w:val="20"/>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Subcutaneous:</w:t>
      </w:r>
    </w:p>
    <w:p>
      <w:pPr>
        <w:spacing w:after="0" w:line="117" w:lineRule="exact"/>
        <w:rPr>
          <w:rFonts w:ascii="Times New Roman" w:cs="Times New Roman" w:eastAsia="Times New Roman" w:hAnsi="Times New Roman"/>
          <w:sz w:val="18"/>
          <w:szCs w:val="18"/>
          <w:color w:val="auto"/>
        </w:rPr>
      </w:pPr>
    </w:p>
    <w:p>
      <w:pPr>
        <w:ind w:left="2200" w:right="200" w:hanging="679"/>
        <w:spacing w:after="0" w:line="282" w:lineRule="auto"/>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ARO-HBV is being developed to treat chronic hepatitis B virus infection by reducing the expression and release of new viral particles and key viral proteins with the goal of achieving a functional cure.</w:t>
      </w:r>
    </w:p>
    <w:p>
      <w:pPr>
        <w:spacing w:after="0" w:line="53" w:lineRule="exact"/>
        <w:rPr>
          <w:rFonts w:ascii="Times New Roman" w:cs="Times New Roman" w:eastAsia="Times New Roman" w:hAnsi="Times New Roman"/>
          <w:sz w:val="18"/>
          <w:szCs w:val="18"/>
          <w:color w:val="auto"/>
        </w:rPr>
      </w:pPr>
    </w:p>
    <w:p>
      <w:pPr>
        <w:ind w:left="2200" w:right="20" w:hanging="679"/>
        <w:spacing w:after="0" w:line="289" w:lineRule="auto"/>
        <w:tabs>
          <w:tab w:leader="none" w:pos="2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ARO-AAT is being developed to treat liver disease associated with alpha-1 antitrypsin deficiency (AATD), a rare genetic disease that can severely damage the liver and lungs of affected individuals. The goal of treatment with ARO- AAT is to reduce the production of the mutant Z-AAT protein to prevent and potentially reverse accumulation-related liver injury and fibrosis.</w:t>
      </w:r>
    </w:p>
    <w:p>
      <w:pPr>
        <w:spacing w:after="0" w:line="50" w:lineRule="exact"/>
        <w:rPr>
          <w:rFonts w:ascii="Times New Roman" w:cs="Times New Roman" w:eastAsia="Times New Roman" w:hAnsi="Times New Roman"/>
          <w:sz w:val="17"/>
          <w:szCs w:val="17"/>
          <w:color w:val="auto"/>
        </w:rPr>
      </w:pPr>
    </w:p>
    <w:p>
      <w:pPr>
        <w:ind w:left="2200" w:right="20" w:hanging="679"/>
        <w:spacing w:after="0" w:line="266" w:lineRule="auto"/>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ARO-LPA is designed to reduce production of apolipoprotein A, a key component of lipoprotein(a), which has been genetically linked with increased risk of cardiovascular diseases, independent of cholesterol and LDL levels. Amgen, Inc. (“Amgen”) acquired a worldwide, exclusive license in September 2016 to develop and commercialize ARO-LPA.</w:t>
      </w:r>
    </w:p>
    <w:p>
      <w:pPr>
        <w:spacing w:after="0" w:line="68" w:lineRule="exact"/>
        <w:rPr>
          <w:rFonts w:ascii="Times New Roman" w:cs="Times New Roman" w:eastAsia="Times New Roman" w:hAnsi="Times New Roman"/>
          <w:sz w:val="18"/>
          <w:szCs w:val="18"/>
          <w:color w:val="auto"/>
        </w:rPr>
      </w:pPr>
    </w:p>
    <w:p>
      <w:pPr>
        <w:ind w:left="2200" w:right="680" w:hanging="679"/>
        <w:spacing w:after="0" w:line="282" w:lineRule="auto"/>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ARO-AMG1 is being developed against an undisclosed genetically validated cardiovascular target under a license and collaboration agreement with Amgen.</w:t>
      </w:r>
    </w:p>
    <w:p>
      <w:pPr>
        <w:spacing w:after="0" w:line="53" w:lineRule="exact"/>
        <w:rPr>
          <w:rFonts w:ascii="Times New Roman" w:cs="Times New Roman" w:eastAsia="Times New Roman" w:hAnsi="Times New Roman"/>
          <w:sz w:val="18"/>
          <w:szCs w:val="18"/>
          <w:color w:val="auto"/>
        </w:rPr>
      </w:pPr>
    </w:p>
    <w:p>
      <w:pPr>
        <w:ind w:left="2200" w:right="500" w:hanging="679"/>
        <w:spacing w:after="0" w:line="266" w:lineRule="auto"/>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ARO-F12 is in preclinical development as a potential treatment for factor 12 (F12) mediated diseases such as hereditary angioedema (HAE) and thromboembolic disorders. Factor 12 initiates the intrinsic coagulation pathway, and reducing its production using Arrowhead’s RNAi technology may present opportunities in both disease areas.</w:t>
      </w:r>
    </w:p>
    <w:p>
      <w:pPr>
        <w:spacing w:after="0" w:line="6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Extra-Hepatic:</w:t>
      </w:r>
    </w:p>
    <w:p>
      <w:pPr>
        <w:spacing w:after="0" w:line="117" w:lineRule="exact"/>
        <w:rPr>
          <w:rFonts w:ascii="Times New Roman" w:cs="Times New Roman" w:eastAsia="Times New Roman" w:hAnsi="Times New Roman"/>
          <w:sz w:val="18"/>
          <w:szCs w:val="18"/>
          <w:color w:val="auto"/>
        </w:rPr>
      </w:pPr>
    </w:p>
    <w:p>
      <w:pPr>
        <w:ind w:left="2200" w:right="100" w:hanging="679"/>
        <w:spacing w:after="0" w:line="256" w:lineRule="auto"/>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ARO-HIF2 is being developed as a new drug candidate for the treatment of clear cell renal cell carcinoma (ccRCC). ARO-HIF2 is designed to inhibit the production of HIF-2α, which has been linked to tumor progression and metastasis in ccRCC. Arrowhead believes it is an attractive target for intervention because over 90% of ccRCC tumors express a mutant form of the Von Hippel-Landau protein that is unable to degrade HIF-2α, leading to its accumulation during tumor hypoxia and promoting tumor growth. ARO-HIF2 is Arrowhead’s first drug candidate using a new delivery vehicle designed to target tissues outside of the liver.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Arrowhead made announcements throughout fiscal 2016 discussing progress towards the company’s goals as well as key developments. The following are highlights of those developments:</w:t>
      </w:r>
    </w:p>
    <w:p>
      <w:pPr>
        <w:spacing w:after="0" w:line="158" w:lineRule="exact"/>
        <w:rPr>
          <w:sz w:val="20"/>
          <w:szCs w:val="20"/>
          <w:color w:val="auto"/>
        </w:rPr>
      </w:pPr>
    </w:p>
    <w:p>
      <w:pPr>
        <w:ind w:left="1140" w:hanging="37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Discontinued development of ARC-520, ARC-521 and ARC-AAT in November 2016</w:t>
      </w:r>
    </w:p>
    <w:p>
      <w:pPr>
        <w:spacing w:after="0" w:line="337" w:lineRule="exact"/>
        <w:rPr>
          <w:rFonts w:ascii="Times New Roman" w:cs="Times New Roman" w:eastAsia="Times New Roman" w:hAnsi="Times New Roman"/>
          <w:sz w:val="18"/>
          <w:szCs w:val="18"/>
          <w:color w:val="auto"/>
        </w:rPr>
      </w:pPr>
    </w:p>
    <w:p>
      <w:pPr>
        <w:ind w:left="2200" w:right="60" w:hanging="679"/>
        <w:spacing w:after="0" w:line="266" w:lineRule="auto"/>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that it would be discontinuing these clinical programs, which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and redeploying its resources and focus toward utilizing the Company’s new proprietary subcutaneous and extra-hepatic delivery systems.</w:t>
      </w:r>
    </w:p>
    <w:p>
      <w:pPr>
        <w:spacing w:after="0" w:line="284"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discontinue development of EX1-containing programs was based primarily on two factors.</w:t>
      </w:r>
    </w:p>
    <w:p>
      <w:pPr>
        <w:spacing w:after="0" w:line="333" w:lineRule="exact"/>
        <w:rPr>
          <w:rFonts w:ascii="Times New Roman" w:cs="Times New Roman" w:eastAsia="Times New Roman" w:hAnsi="Times New Roman"/>
          <w:sz w:val="18"/>
          <w:szCs w:val="18"/>
          <w:color w:val="auto"/>
        </w:rPr>
      </w:pPr>
    </w:p>
    <w:p>
      <w:pPr>
        <w:ind w:left="2660" w:right="140" w:hanging="370"/>
        <w:spacing w:after="0" w:line="261" w:lineRule="auto"/>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exploring doses of EX1 higher than those planned to be used in humans.</w:t>
      </w:r>
    </w:p>
    <w:p>
      <w:pPr>
        <w:spacing w:after="0" w:line="288" w:lineRule="exact"/>
        <w:rPr>
          <w:rFonts w:ascii="Times New Roman" w:cs="Times New Roman" w:eastAsia="Times New Roman" w:hAnsi="Times New Roman"/>
          <w:sz w:val="18"/>
          <w:szCs w:val="18"/>
          <w:color w:val="auto"/>
        </w:rPr>
      </w:pPr>
    </w:p>
    <w:p>
      <w:pPr>
        <w:ind w:left="2660" w:right="560" w:hanging="370"/>
        <w:spacing w:after="0" w:line="282" w:lineRule="auto"/>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substantial advances in RNA chemistry and targeting resulting in large potency gains for subcutaneous administered and extra-hepatic RNAi-based development programs.</w:t>
      </w:r>
    </w:p>
    <w:p>
      <w:pPr>
        <w:spacing w:after="0" w:line="269" w:lineRule="exact"/>
        <w:rPr>
          <w:rFonts w:ascii="Times New Roman" w:cs="Times New Roman" w:eastAsia="Times New Roman" w:hAnsi="Times New Roman"/>
          <w:sz w:val="18"/>
          <w:szCs w:val="18"/>
          <w:color w:val="auto"/>
        </w:rPr>
      </w:pPr>
    </w:p>
    <w:p>
      <w:pPr>
        <w:ind w:left="2200" w:right="340" w:hanging="679"/>
        <w:spacing w:after="0" w:line="266" w:lineRule="auto"/>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discontinuation of its existing clinical programs, the Company also reduced its workforce by approximately 30%, while maintaining resources necessary to support current and potential partner-based programs and the Company’s pipeline.</w:t>
      </w:r>
    </w:p>
    <w:p>
      <w:pPr>
        <w:spacing w:after="0" w:line="280"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Entered into two collaboration and license agreements with Amgen, Inc. (“Amgen”)</w:t>
      </w:r>
    </w:p>
    <w:p>
      <w:pPr>
        <w:spacing w:after="0" w:line="337"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deal value of up to $673.5 million</w:t>
      </w:r>
    </w:p>
    <w:p>
      <w:pPr>
        <w:spacing w:after="0" w:line="333"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Arrowhead received $56.5 million upfront:</w:t>
      </w:r>
    </w:p>
    <w:p>
      <w:pPr>
        <w:spacing w:after="0" w:line="333" w:lineRule="exact"/>
        <w:rPr>
          <w:rFonts w:ascii="Times New Roman" w:cs="Times New Roman" w:eastAsia="Times New Roman" w:hAnsi="Times New Roman"/>
          <w:sz w:val="18"/>
          <w:szCs w:val="18"/>
          <w:color w:val="auto"/>
        </w:rPr>
      </w:pPr>
    </w:p>
    <w:p>
      <w:pPr>
        <w:ind w:left="2660" w:hanging="370"/>
        <w:spacing w:after="0"/>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 upfront cash payments, $21.5 million equity investment</w:t>
      </w:r>
    </w:p>
    <w:p>
      <w:pPr>
        <w:spacing w:after="0" w:line="333"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low double-digit royalties for ARO-LPA and single-digit royalties for the undisclosed target, ARO- AMG1</w:t>
      </w:r>
    </w:p>
    <w:p>
      <w:pPr>
        <w:spacing w:after="0" w:line="333"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Amgen receives:</w:t>
      </w:r>
    </w:p>
    <w:p>
      <w:pPr>
        <w:spacing w:after="0" w:line="333" w:lineRule="exact"/>
        <w:rPr>
          <w:rFonts w:ascii="Times New Roman" w:cs="Times New Roman" w:eastAsia="Times New Roman" w:hAnsi="Times New Roman"/>
          <w:sz w:val="18"/>
          <w:szCs w:val="18"/>
          <w:color w:val="auto"/>
        </w:rPr>
      </w:pPr>
    </w:p>
    <w:p>
      <w:pPr>
        <w:ind w:left="2660" w:hanging="370"/>
        <w:spacing w:after="0"/>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license to ARO-LPA program</w:t>
      </w:r>
    </w:p>
    <w:p>
      <w:pPr>
        <w:spacing w:after="0" w:line="333" w:lineRule="exact"/>
        <w:rPr>
          <w:rFonts w:ascii="Times New Roman" w:cs="Times New Roman" w:eastAsia="Times New Roman" w:hAnsi="Times New Roman"/>
          <w:sz w:val="18"/>
          <w:szCs w:val="18"/>
          <w:color w:val="auto"/>
        </w:rPr>
      </w:pPr>
    </w:p>
    <w:p>
      <w:pPr>
        <w:ind w:left="2660" w:hanging="370"/>
        <w:spacing w:after="0"/>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for an additional candidate against an undisclosed target, ARO-AMG1</w:t>
      </w:r>
    </w:p>
    <w:p>
      <w:pPr>
        <w:spacing w:after="0" w:line="333"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Amgen will be wholly responsible for funding and conducting all clinical development and commercialization</w:t>
      </w:r>
    </w:p>
    <w:p>
      <w:pPr>
        <w:spacing w:after="0" w:line="3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progress on preclinical candidates including ARO-HBV, ARO-AAT, ARO-F12, ARO-LPA and ARO-HIF2</w:t>
      </w:r>
    </w:p>
    <w:p>
      <w:pPr>
        <w:spacing w:after="0" w:line="337"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ARO-F12 and ARO-LPA:</w:t>
      </w:r>
    </w:p>
    <w:p>
      <w:pPr>
        <w:spacing w:after="0" w:line="333" w:lineRule="exact"/>
        <w:rPr>
          <w:rFonts w:ascii="Times New Roman" w:cs="Times New Roman" w:eastAsia="Times New Roman" w:hAnsi="Times New Roman"/>
          <w:sz w:val="18"/>
          <w:szCs w:val="18"/>
          <w:color w:val="auto"/>
        </w:rPr>
      </w:pPr>
    </w:p>
    <w:p>
      <w:pPr>
        <w:ind w:left="2660" w:right="160" w:hanging="370"/>
        <w:spacing w:after="0" w:line="282" w:lineRule="auto"/>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preclinical data at the American Heart Association’s Scientific Sessions 2016 for two development programs using Arrowhead’s proprietary subcutaneous delivery platform:</w:t>
      </w:r>
    </w:p>
    <w:p>
      <w:pPr>
        <w:spacing w:after="0" w:line="269" w:lineRule="exact"/>
        <w:rPr>
          <w:rFonts w:ascii="Times New Roman" w:cs="Times New Roman" w:eastAsia="Times New Roman" w:hAnsi="Times New Roman"/>
          <w:sz w:val="18"/>
          <w:szCs w:val="18"/>
          <w:color w:val="auto"/>
        </w:rPr>
      </w:pPr>
    </w:p>
    <w:p>
      <w:pPr>
        <w:ind w:left="2660" w:hanging="370"/>
        <w:spacing w:after="0"/>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RNAi triggers against Factor 12 (F12) showed dose dependent reductions in serum F12</w:t>
      </w:r>
    </w:p>
    <w:p>
      <w:pPr>
        <w:spacing w:after="0" w:line="333" w:lineRule="exact"/>
        <w:rPr>
          <w:rFonts w:ascii="Times New Roman" w:cs="Times New Roman" w:eastAsia="Times New Roman" w:hAnsi="Times New Roman"/>
          <w:sz w:val="18"/>
          <w:szCs w:val="18"/>
          <w:color w:val="auto"/>
        </w:rPr>
      </w:pPr>
    </w:p>
    <w:p>
      <w:pPr>
        <w:ind w:left="2660" w:right="20" w:hanging="370"/>
        <w:spacing w:after="0" w:line="282" w:lineRule="auto"/>
        <w:tabs>
          <w:tab w:leader="none" w:pos="26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reduction (p=0.002) in thrombus weight was observed at greater than 95% F12 knockdown in a rat arterio-venous shunt model</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5" w:name="page6"/>
    <w:bookmarkEnd w:id="5"/>
    <w:p>
      <w:pPr>
        <w:ind w:left="2660" w:hanging="370"/>
        <w:spacing w:after="0"/>
        <w:tabs>
          <w:tab w:leader="none" w:pos="2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increased bleeding risk in ARO- F12-treated mice, even with greater than 99% knockdown of F12 levels</w:t>
      </w:r>
    </w:p>
    <w:p>
      <w:pPr>
        <w:spacing w:after="0" w:line="333" w:lineRule="exact"/>
        <w:rPr>
          <w:rFonts w:ascii="Times New Roman" w:cs="Times New Roman" w:eastAsia="Times New Roman" w:hAnsi="Times New Roman"/>
          <w:sz w:val="18"/>
          <w:szCs w:val="18"/>
          <w:color w:val="auto"/>
        </w:rPr>
      </w:pPr>
    </w:p>
    <w:p>
      <w:pPr>
        <w:ind w:left="2660" w:right="140" w:hanging="370"/>
        <w:spacing w:after="0" w:line="282" w:lineRule="auto"/>
        <w:tabs>
          <w:tab w:leader="none" w:pos="2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RNAi triggers against Lipoprotein (a) [Lp(a)] led to greater than 98% maximum knockdown after a single 3 mg/kg SQ dose in Transgenic mice</w:t>
      </w:r>
    </w:p>
    <w:p>
      <w:pPr>
        <w:spacing w:after="0" w:line="269" w:lineRule="exact"/>
        <w:rPr>
          <w:rFonts w:ascii="Times New Roman" w:cs="Times New Roman" w:eastAsia="Times New Roman" w:hAnsi="Times New Roman"/>
          <w:sz w:val="18"/>
          <w:szCs w:val="18"/>
          <w:color w:val="auto"/>
        </w:rPr>
      </w:pPr>
    </w:p>
    <w:p>
      <w:pPr>
        <w:ind w:left="2660" w:right="560" w:hanging="370"/>
        <w:spacing w:after="0" w:line="282" w:lineRule="auto"/>
        <w:tabs>
          <w:tab w:leader="none" w:pos="2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atherosclerosis model, data suggest that RNAi triggers can be effectively delivered to a fatty liver using the subcutaneous delivery platform</w:t>
      </w:r>
    </w:p>
    <w:p>
      <w:pPr>
        <w:spacing w:after="0" w:line="269"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ARO-HIF2</w:t>
      </w:r>
    </w:p>
    <w:p>
      <w:pPr>
        <w:spacing w:after="0" w:line="333" w:lineRule="exact"/>
        <w:rPr>
          <w:rFonts w:ascii="Times New Roman" w:cs="Times New Roman" w:eastAsia="Times New Roman" w:hAnsi="Times New Roman"/>
          <w:sz w:val="18"/>
          <w:szCs w:val="18"/>
          <w:color w:val="auto"/>
        </w:rPr>
      </w:pPr>
    </w:p>
    <w:p>
      <w:pPr>
        <w:ind w:left="2660" w:hanging="370"/>
        <w:spacing w:after="0" w:line="282" w:lineRule="auto"/>
        <w:tabs>
          <w:tab w:leader="none" w:pos="2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preclinical data showing that ARO-HIF2 inhibited renal cell carcinoma growth and promoted tumor cell death in its preclinical studies.</w:t>
      </w:r>
    </w:p>
    <w:p>
      <w:pPr>
        <w:spacing w:after="0" w:line="26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Strengthened the Company’s balance sheet with August 2016 private offering and Amgen agreement upfronts</w:t>
      </w:r>
    </w:p>
    <w:p>
      <w:pPr>
        <w:spacing w:after="0" w:line="337" w:lineRule="exact"/>
        <w:rPr>
          <w:rFonts w:ascii="Times New Roman" w:cs="Times New Roman" w:eastAsia="Times New Roman" w:hAnsi="Times New Roman"/>
          <w:sz w:val="18"/>
          <w:szCs w:val="18"/>
          <w:color w:val="auto"/>
        </w:rPr>
      </w:pPr>
    </w:p>
    <w:p>
      <w:pPr>
        <w:ind w:left="2200" w:right="400" w:hanging="679"/>
        <w:spacing w:after="0" w:line="282" w:lineRule="auto"/>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sold 7.6 million shares of Common Stock to certain institutional investors and received net proceeds of approximately $43.2 million.</w:t>
      </w:r>
    </w:p>
    <w:p>
      <w:pPr>
        <w:spacing w:after="0" w:line="161" w:lineRule="exact"/>
        <w:rPr>
          <w:rFonts w:ascii="Times New Roman" w:cs="Times New Roman" w:eastAsia="Times New Roman" w:hAnsi="Times New Roman"/>
          <w:sz w:val="18"/>
          <w:szCs w:val="18"/>
          <w:color w:val="auto"/>
        </w:rPr>
      </w:pPr>
    </w:p>
    <w:p>
      <w:pPr>
        <w:ind w:left="2200" w:right="20" w:hanging="679"/>
        <w:spacing w:after="0" w:line="266" w:lineRule="auto"/>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collaboration and license agreements as well as a Common Stock Purchase Agreement with Amgen, $14 million of the total $56.5 million upfront cash payments and equity investments were received in September 2016, and the remaining $42.5 million was received in November 2016.</w:t>
      </w:r>
    </w:p>
    <w:p>
      <w:pPr>
        <w:spacing w:after="0" w:line="172"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progress of on former drug candidates prior to the discontinuations</w:t>
      </w:r>
    </w:p>
    <w:p>
      <w:pPr>
        <w:spacing w:after="0" w:line="337"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preclinical and clinical data on former drug candidate ARC-AAT at the Liver Meeting</w:t>
      </w:r>
    </w:p>
    <w:p>
      <w:pPr>
        <w:spacing w:after="0" w:line="333" w:lineRule="exact"/>
        <w:rPr>
          <w:rFonts w:ascii="Times New Roman" w:cs="Times New Roman" w:eastAsia="Times New Roman" w:hAnsi="Times New Roman"/>
          <w:sz w:val="18"/>
          <w:szCs w:val="18"/>
          <w:color w:val="auto"/>
        </w:rPr>
      </w:pPr>
    </w:p>
    <w:p>
      <w:pPr>
        <w:ind w:left="2200" w:right="340" w:hanging="679"/>
        <w:spacing w:after="0" w:line="282" w:lineRule="auto"/>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first-in-human clinical study, ARC-AAT was well tolerated and induced deep and durable reduction of the target AAT protein</w:t>
      </w:r>
    </w:p>
    <w:p>
      <w:pPr>
        <w:spacing w:after="0" w:line="269"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data suggest a possible improvement of liver health and arrest of further damage from treatment with ARC-</w:t>
      </w:r>
    </w:p>
    <w:p>
      <w:pPr>
        <w:spacing w:after="0" w:line="27" w:lineRule="exact"/>
        <w:rPr>
          <w:rFonts w:ascii="Times New Roman" w:cs="Times New Roman" w:eastAsia="Times New Roman" w:hAnsi="Times New Roman"/>
          <w:sz w:val="18"/>
          <w:szCs w:val="18"/>
          <w:color w:val="auto"/>
        </w:rPr>
      </w:pP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AAT</w:t>
      </w:r>
    </w:p>
    <w:p>
      <w:pPr>
        <w:spacing w:after="0" w:line="314"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former drug candidate ARC-521 into a Phase 1/2 study</w:t>
      </w:r>
    </w:p>
    <w:p>
      <w:pPr>
        <w:spacing w:after="0" w:line="333" w:lineRule="exact"/>
        <w:rPr>
          <w:rFonts w:ascii="Times New Roman" w:cs="Times New Roman" w:eastAsia="Times New Roman" w:hAnsi="Times New Roman"/>
          <w:sz w:val="18"/>
          <w:szCs w:val="18"/>
          <w:color w:val="auto"/>
        </w:rPr>
      </w:pPr>
    </w:p>
    <w:p>
      <w:pPr>
        <w:ind w:left="2200" w:hanging="679"/>
        <w:spacing w:after="0"/>
        <w:tabs>
          <w:tab w:leader="none" w:pos="2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multiple dose and combination studies of former drug candidate ARC-520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Roche and Novartis RNAi assets</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 last five years have brought substantial change to Arrowhead’s research and development (R&amp;D) capabilities and strategy. We are now an integrated RNAi therapeutics company, developing novel drugs that silence disease-causing genes based on our broad RNAi technology platform.</w:t>
      </w:r>
    </w:p>
    <w:p>
      <w:pPr>
        <w:spacing w:after="0" w:line="16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most significant step in this transition was our 2011 acquisition of the RNAi therapeutics business of Hoffmann-La Roche, Inc. and F. Hoffmann-La Roche Ltd. (collectively, “Roche”). Roche built this business unit in a manner that only a large pharmaceutical company is capable of: backed by expansive capital resources, Roche systematically acquired technologies, licensed expansive intellectual property rights, attracted leading scientists, and developed new technologies internally. At a time when the markets were questioning whether RNAi could become a viable therapeutic modality, we saw great promise in the technology broadly and the quality of what Roche built specifically. The acquisition provided us with two primary sources of value:</w:t>
      </w:r>
    </w:p>
    <w:p>
      <w:pPr>
        <w:spacing w:after="0" w:line="76" w:lineRule="exact"/>
        <w:rPr>
          <w:sz w:val="20"/>
          <w:szCs w:val="20"/>
          <w:color w:val="auto"/>
        </w:rPr>
      </w:pPr>
    </w:p>
    <w:p>
      <w:pPr>
        <w:ind w:left="900" w:right="380" w:hanging="379"/>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freedom to operate with respect to key patents directed to the primary RNAi-trigger formats: canonical, UNA, meroduplex, and dicer substrate structures;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team of scientists experienced in RNAi and oligonucleotide delivery.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 w:name="page7"/>
    <w:bookmarkEnd w:id="6"/>
    <w:p>
      <w:pPr>
        <w:ind w:firstLine="305"/>
        <w:spacing w:after="0" w:line="266" w:lineRule="auto"/>
        <w:rPr>
          <w:sz w:val="20"/>
          <w:szCs w:val="20"/>
          <w:color w:val="auto"/>
        </w:rPr>
      </w:pPr>
      <w:r>
        <w:rPr>
          <w:rFonts w:ascii="Times New Roman" w:cs="Times New Roman" w:eastAsia="Times New Roman" w:hAnsi="Times New Roman"/>
          <w:sz w:val="18"/>
          <w:szCs w:val="18"/>
          <w:color w:val="auto"/>
        </w:rPr>
        <w:t>In addition, in March 2015 we acquired the entire RNAi research and development portfolio and associated assets of Novartis. Novartis had been working in the RNAi field for over a decade and made some very important advancements in their developments of proprietary oligonucleotide formatting and modifications. Key aspects of the acquisition include the following:</w:t>
      </w:r>
    </w:p>
    <w:p>
      <w:pPr>
        <w:spacing w:after="0" w:line="176" w:lineRule="exact"/>
        <w:rPr>
          <w:sz w:val="20"/>
          <w:szCs w:val="20"/>
          <w:color w:val="auto"/>
        </w:rPr>
      </w:pPr>
    </w:p>
    <w:p>
      <w:pPr>
        <w:ind w:left="760" w:right="80" w:hanging="374"/>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patent families covering RNAi-trigger design rules and modifications that fall outside of key patents controlled by competitors, which we believe provides freedom to operate for any target and indication;</w:t>
      </w:r>
    </w:p>
    <w:p>
      <w:pPr>
        <w:spacing w:after="0" w:line="161"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intracellular targeting ligands that enhance the activity of RNAi-triggers by targeting the RNA-induced silencing complex (RISC) more effectively and improving stability once RISC is loaded;</w:t>
      </w:r>
    </w:p>
    <w:p>
      <w:pPr>
        <w:spacing w:after="0" w:line="161" w:lineRule="exact"/>
        <w:rPr>
          <w:rFonts w:ascii="Times New Roman" w:cs="Times New Roman" w:eastAsia="Times New Roman" w:hAnsi="Times New Roman"/>
          <w:sz w:val="18"/>
          <w:szCs w:val="18"/>
          <w:color w:val="auto"/>
        </w:rPr>
      </w:pPr>
    </w:p>
    <w:p>
      <w:pPr>
        <w:ind w:left="760" w:right="280" w:hanging="374"/>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of Novartis' license from Alnylam Pharmaceuticals, Inc. (“Alnylam”) granting Arrowhead access to certain Alnylam intellectual property, excluding delivery, for 30 gene targets; and</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pipeline of three candidates initiated by Novartis for which Novartis has developed varying amounts of preclinical data.</w:t>
      </w:r>
    </w:p>
    <w:p>
      <w:pPr>
        <w:spacing w:after="0" w:line="225"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see the Roche and Novartis acquisitions as a powerful combination of intellectual property, R&amp;D infrastructure, and RNAi delivery experts. We believe we are the only company with access to all primary RNAi-trigger structures now including additional novel structures discovered by Novartis. This enables us to optimize our drug candidates on a target-by-target basis and use the structure and modifications that yield the most potent RNAi trigger. Our R&amp;D team and facility enable rapid innovation and drive to the clinic.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Interference &amp; the Benefits of RNAi Therapeutics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142875</wp:posOffset>
            </wp:positionV>
            <wp:extent cx="4587875" cy="3027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8787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F81BD"/>
        </w:rPr>
        <w:t>Figure 1: Mechanism of RNA interference</w:t>
      </w:r>
    </w:p>
    <w:p>
      <w:pPr>
        <w:spacing w:after="0" w:line="23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Small molecule and antibody drugs have proven effective at inhibiting certain cell surface, intracellular, and extracellular targets. However, other drug targets such as intranuclear genes and some proteins have proven difficult to inhibit with traditional drug-based and biologic therapeutics. Developing effective drugs for these targets would have the potential to address large underserved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right="780"/>
        <w:spacing w:after="0" w:line="282" w:lineRule="auto"/>
        <w:rPr>
          <w:sz w:val="20"/>
          <w:szCs w:val="20"/>
          <w:color w:val="auto"/>
        </w:rPr>
      </w:pPr>
      <w:r>
        <w:rPr>
          <w:rFonts w:ascii="Times New Roman" w:cs="Times New Roman" w:eastAsia="Times New Roman" w:hAnsi="Times New Roman"/>
          <w:sz w:val="18"/>
          <w:szCs w:val="18"/>
          <w:color w:val="auto"/>
        </w:rPr>
        <w:t>markets for the treatment of many diseases. Using the ability to specifically silence any gene, RNAi therapeutics may be able to address previously “undruggable” targets, unlocking the market potential of such targets.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RNAi as a Therapeutic Modality</w:t>
      </w:r>
    </w:p>
    <w:p>
      <w:pPr>
        <w:spacing w:after="0" w:line="121" w:lineRule="exact"/>
        <w:rPr>
          <w:sz w:val="20"/>
          <w:szCs w:val="20"/>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Silences the expression of disease causing genes;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address any target in the transcriptome including previously "undruggable" targets;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lead identification;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specificity;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use multiple RNA sequences in one drug product for synergistic silencing of related targets; and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RNAi therapeutics are uniquely suited for personalized medicine through target and cell specific delivery and gene knockdown.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Overview</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Arrowhead is focused on developing innovative drugs for diseases with a genetic basis, characterized by the overproduction of one or more proteins. The depth and versatility of our RNAi technologies enable us to address conditions in virtually any therapeutic area and pursue disease targets that are not otherwise druggable by small molecules and biologics. Our preclinical pipeline of RNAi therapeutics includes both subcutaneously administered liver-targeted candidates and extra-hepatic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349250</wp:posOffset>
            </wp:positionV>
            <wp:extent cx="5556885" cy="2358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688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Internal Programs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Hepatitis B Virus Infection</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see the need for a next generation HBV treatment with a finite treatment period and an attractive dosing regimen, and that can be used at earlier stages of disease. We believe a novel therapeutic approach that can effectively treat or provide a functional cure (seroclearance of HBsAg and with or without development of excess patient antibodies against HBsAg) has the potential to take significant market share and may expand the available market to include patients that are currently untreated.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Chronic Hepatitis B Virus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According to the World Health Organization, 240 million people worldwide are chronically infected with hepatitis B virus, of which 500,000 to 1,000,000 people die each year from HBV-related liver disease. Chronic HBV infection is defined by the presence of hepatitis B surface antigen (HBsAg) for more than six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and necrosis, leading to elevation of liver enzymes such as alanine and aspartate transaminases, hepatitis, fibrosis, and liver cancer (hepatocellular carcinoma, or HCC). If untreated, as many as 25% to 40% of chronic HBV carriers ultimately develop cirrhosis or HCC. Antiviral therapy is generally prescribed when liver enzymes become elevated.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Current Treatments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treatment of chronic HBV infection is a daily oral dose of nucleotide/nucleoside analogs (NUCs) or a regimen of interferon injections for approximately one year. NUCs are generally well tolerated, but patients may need lifetime treatment because viral replication often rebounds upon cessation of treatment. Interferon therapeutics can result in a functional cure in 10-20% of some patient types, but treatment is often associated with significant side effects, including severe flu-like symptoms, marrow suppression, and autoimmune disorders.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ARO-HBV</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ARO-HBV is an RNAi therapeutic candidate for the treatment of chronic hepatitis B infection with the goal of achieving a functional cure. This is a next-generation subcutaneously administered compound that follows previous generation HBV compounds ARC-520 and ARC-521, which were in Phase 2b and Phase 1/2 studies respectively when development was discontinued in November 2016.</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Goal of ARO-HBV Treatment</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ARO-HBV is designed to silence the production of all HBV gene products with the goal of achieving a functional cure. The siRNAs target multiple components of HBV production including the pregenomic RNA that would be reverse transcribed to generate the viral DNA. The siRNAs intervene at the mRNA level, upstream of where NUCs act, and target the mRNAs that produce HBsAg proteins, the viral polymerase, the core protein that forms the capsid, the pre-genomic RNA, the HBeAg, and the hepatitis B X antigen (HBxAg). NUCs are effective at reducing production of viral particles, but are ineffective at controlling production of HBsAg and other HBV gene products. Arrowhead believes that a reduction in the production of HBsAg and other proteins that NUCs are ineffective at controlling is necessary to effective HBV therapy, because those proteins are thought to be major contributors to repression of the immune system and the persistence of liver disease secondary to HBV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624455" cy="3009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2445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F81BD"/>
        </w:rPr>
        <w:t>Figure 1: Chronic HBV mechanism untreated</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478405" cy="2675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7840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F81BD"/>
        </w:rPr>
        <w:t>Figure 2: Mechanism of action NUCs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159385</wp:posOffset>
            </wp:positionV>
            <wp:extent cx="2727325" cy="256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2732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F81BD"/>
        </w:rPr>
        <w:t>Figure 3: Mechanism of action ARO-HBV</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Alpha-1 Antitrypsin Deficiency (AATD)</w:t>
      </w:r>
    </w:p>
    <w:p>
      <w:pPr>
        <w:spacing w:after="0" w:line="121"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Current Treatments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Individuals with the homozygous PiZZ genotype have severe deficiency of functional AAT leading to pulmonary disease and hepatocyte injury and liver disease. Lung disease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color w:val="auto"/>
        </w:rPr>
        <w:t>ARO-AAT</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Arrowhead is developing a therapeutic candidate (ARO-AAT) for the treatment of liver disease associated with AATD. ARO-AAT is designed to knock down the Alpha-1 antitrypsin (AAT) gene transcript and reduce the hepatic production of the mutant AAT protein. This is a next-generation subcutaneously administered compound that follows previous generation AAT compound ARC-AAT, which was in a Phase 2 study when development was discontinued in November 2016.</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Goal of ARO-AAT Treatment</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goal of treatment with ARO-AAT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Alpha-1 Project</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Arrowhead has an agreement with The Alpha-1 Project (TAP), the venture philanthropy subsidiary of the Alpha-1 Foundation. TAP’s mission is to support organizations in pursuit of cures and therapies for lung and liver disease caused by AATD. Under the terms of the agreement, TAP has partially funded development of ARO-AAT. In addition to the funding, TAP will make its scientific advisors available to Arrowhead, assist with patient recruitment for clinical trials with its Alpha-1 Foundation Patient Research Registry, and engage in other collaborative efforts that support development of ARO-AAT.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ARO-F12</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ARO-F12 is an RNAi-based therapeutic designed to reduce the production of factor 12 with the goal of providing a prophylactic treatment for hereditary angioedema (HAE) and thromboembolic diseases. Arrowhead is conducting relevant disease models and is considering other potential studies to support advancement of ARO-F12 into clinical trials.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ARO-HIF2</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ARO-HIF2 is an RNAi-based therapeutic designed to reduce the production of hypoxia-inducible factor 2α (HIF-2α) to treat clear cell renal cell carcinoma. It is the first drug candidate using a new delivery vehicle designed to target tissues outside of the liver.</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Partner-based Programs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ARO-LPA and ARO-AMG1</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ARO-LPA is designed to reduce production of apolipoprotein A, a key component of lipoprotein(a), which has been genetically linked with increased risk of cardiovascular diseases, independent of cholesterol and LDL levels. Amgen acquired a worldwide, exclusive license in September 2016 to develop and commercialize ARO-LPA.</w:t>
      </w:r>
    </w:p>
    <w:p>
      <w:pPr>
        <w:spacing w:after="0" w:line="6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ARO-AMG1 is being developed against an undisclosed genetically-validated cardiovascular target under a license and collaboration agreement with Amgen.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agreements taken together for ARO-LPA and ARO-AMG1, the Company will receive $35 million in upfront payments, $21.5 million in the form of an equity investment by Amgen in the Company’s Common Stock, and the Company is eligible to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Key Agreements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Company controls approximately 359 issued patents (including 70 for DPCs; 23 for hydrodynamic gene delivery; 23 for pH labile molecules; 6 for protease cleavable molecules; 7 for polyampholyte; (expired) 18 for delivery polymers; 163 for RNAi trigger molecules; 4 for targeting molecules; 1 for liver expression vector; and 29 for Homing Peptides), including European validations, and 256 patent applications (117 applications in 22 families for DPC-related technologies (includes conjugates, polymers, linkages, etc); 135 applications in 28 families for RNAi trigger targets; and 8 for Homing Peptides). The pending applications have been filed throughout the world, including, in the United States, Argentina, ARIPO (Africa Regional Intellectual Property Organization), Australia, Brazil, Canada, Chile, China, Eurasian Patent Organization, Europe, Hong Kong, Israel, India, Indonesia, Iraq, Jordan, Japan, Republic of Korea, Mexico, New Zealand, OAPI (African Intellectual Property Organization), Peru, Philippines, Russian Federation, Saudi Arabia, Singapore, Thailand, Taiwan, Venezuela, Vietnam, and South Africa.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RNAi Triggers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owns patents directed to RNAi triggers targeted to reduce expression of hepatitis B viral proteins as well the RRM2 gene.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520" w:type="dxa"/>
            <w:vAlign w:val="bottom"/>
            <w:tcBorders>
              <w:right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1020" w:type="dxa"/>
            <w:vAlign w:val="bottom"/>
            <w:tcBorders>
              <w:top w:val="single" w:sz="8" w:color="auto"/>
              <w:bottom w:val="single" w:sz="8" w:color="auto"/>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 of Expiration</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RNAi Triggers</w:t>
            </w:r>
          </w:p>
        </w:tc>
        <w:tc>
          <w:tcPr>
            <w:tcW w:w="1020" w:type="dxa"/>
            <w:vAlign w:val="bottom"/>
            <w:tcBorders>
              <w:bottom w:val="single" w:sz="8" w:color="auto"/>
              <w:right w:val="single" w:sz="8" w:color="EEECE1"/>
            </w:tcBorders>
            <w:shd w:val="clear" w:color="auto" w:fill="EEECE1"/>
          </w:tcPr>
          <w:p>
            <w:pPr>
              <w:spacing w:after="0"/>
              <w:rPr>
                <w:sz w:val="24"/>
                <w:szCs w:val="24"/>
                <w:color w:val="auto"/>
              </w:rPr>
            </w:pPr>
          </w:p>
        </w:tc>
        <w:tc>
          <w:tcPr>
            <w:tcW w:w="3780" w:type="dxa"/>
            <w:vAlign w:val="bottom"/>
            <w:tcBorders>
              <w:bottom w:val="single" w:sz="8" w:color="auto"/>
              <w:right w:val="single" w:sz="8" w:color="auto"/>
            </w:tcBorders>
            <w:shd w:val="clear" w:color="auto" w:fill="EEECE1"/>
          </w:tcPr>
          <w:p>
            <w:pPr>
              <w:spacing w:after="0"/>
              <w:rPr>
                <w:sz w:val="24"/>
                <w:szCs w:val="24"/>
                <w:color w:val="auto"/>
              </w:rPr>
            </w:pP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HBV RNAi triggers</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2032, 2036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 directed to RRM2 RNAi triggers</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HIF2α</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2034, 2036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AAT</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Factor 12</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2036, 2037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LPA</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α-ENaC</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β-ENaC</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β-Catenin</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KRAS</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HSF1</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2030, 2032</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APOC3</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Cx43</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2029</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HIF1A</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FRP-1</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HCV</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PDtype4</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PI4Kinase</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HRH1</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SYK</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Patents directed to TNF-α</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2027, 2028</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RNAi agent design (26mer)</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RNAi agent design (26mer)</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RNAi agent design (5′-cyclo-phosphonate)</w:t>
            </w:r>
          </w:p>
        </w:tc>
        <w:tc>
          <w:tcPr>
            <w:tcW w:w="102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c>
          <w:tcPr>
            <w:tcW w:w="1740" w:type="dxa"/>
            <w:vAlign w:val="bottom"/>
          </w:tcPr>
          <w:p>
            <w:pPr>
              <w:spacing w:after="0"/>
              <w:rPr>
                <w:sz w:val="24"/>
                <w:szCs w:val="24"/>
                <w:color w:val="auto"/>
              </w:rPr>
            </w:pPr>
          </w:p>
        </w:tc>
      </w:tr>
      <w:tr>
        <w:trPr>
          <w:trHeight w:val="426"/>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color w:val="auto"/>
        </w:rPr>
        <w:t>Dynamic Polyconjugates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DPC-related patents have issued in the United States, Australia, Canada, Europe, France, Germany, Italy, Spain, Switzerland, United Kingdom, India, Japan, Mexico, New Zealand, Philippines, Russia, South Korea, Singapore,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209" w:lineRule="exact"/>
        <w:rPr>
          <w:sz w:val="20"/>
          <w:szCs w:val="20"/>
          <w:color w:val="auto"/>
        </w:rPr>
      </w:pPr>
    </w:p>
    <w:tbl>
      <w:tblPr>
        <w:tblLayout w:type="fixed"/>
        <w:tblInd w:w="510" w:type="dxa"/>
        <w:tblCellMar>
          <w:top w:w="0" w:type="dxa"/>
          <w:left w:w="0" w:type="dxa"/>
          <w:bottom w:w="0" w:type="dxa"/>
          <w:right w:w="0" w:type="dxa"/>
        </w:tblCellMar>
      </w:tblPr>
      <w:tr>
        <w:trPr>
          <w:trHeight w:val="252"/>
        </w:trPr>
        <w:tc>
          <w:tcPr>
            <w:tcW w:w="5980" w:type="dxa"/>
            <w:vAlign w:val="bottom"/>
            <w:tcBorders>
              <w:top w:val="single" w:sz="8" w:color="auto"/>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3240" w:type="dxa"/>
            <w:vAlign w:val="bottom"/>
            <w:tcBorders>
              <w:top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 of Expiration</w:t>
            </w:r>
          </w:p>
        </w:tc>
        <w:tc>
          <w:tcPr>
            <w:tcW w:w="0" w:type="dxa"/>
            <w:vAlign w:val="bottom"/>
          </w:tcPr>
          <w:p>
            <w:pPr>
              <w:spacing w:after="0"/>
              <w:rPr>
                <w:sz w:val="1"/>
                <w:szCs w:val="1"/>
                <w:color w:val="auto"/>
              </w:rPr>
            </w:pPr>
          </w:p>
        </w:tc>
      </w:tr>
      <w:tr>
        <w:trPr>
          <w:trHeight w:val="86"/>
        </w:trPr>
        <w:tc>
          <w:tcPr>
            <w:tcW w:w="598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Times New Roman" w:cs="Times New Roman" w:eastAsia="Times New Roman" w:hAnsi="Times New Roman"/>
                <w:sz w:val="18"/>
                <w:szCs w:val="18"/>
                <w:b w:val="1"/>
                <w:bCs w:val="1"/>
                <w:color w:val="auto"/>
              </w:rPr>
              <w:t>Dynamic Polyconjugates (DPC)</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Dynamic Polyconjugates</w:t>
            </w:r>
          </w:p>
        </w:tc>
        <w:tc>
          <w:tcPr>
            <w:tcW w:w="324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Dynamic Polyconjugates – second iteration</w:t>
            </w:r>
          </w:p>
        </w:tc>
        <w:tc>
          <w:tcPr>
            <w:tcW w:w="324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Membrane Active Polymers</w:t>
            </w:r>
          </w:p>
        </w:tc>
        <w:tc>
          <w:tcPr>
            <w:tcW w:w="324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98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Membrane Active Polymers – Additional Iterations</w:t>
            </w:r>
          </w:p>
        </w:tc>
        <w:tc>
          <w:tcPr>
            <w:tcW w:w="324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Membrane Active Polymers – Additional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Membrane Active Polymers – Additional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Copolymer Systems</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Polynucleotide-Polymer Composition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ARC-520 Polymer</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ACR-520 manufacture</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ARC-521 Composition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Polyampholyte Delivery</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pH Labile Molecules</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Endosomolytic Polymers</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xml:space="preserve">Targeting groups </w:t>
            </w:r>
            <w:r>
              <w:rPr>
                <w:rFonts w:ascii="Times New Roman" w:cs="Times New Roman" w:eastAsia="Times New Roman" w:hAnsi="Times New Roman"/>
                <w:sz w:val="18"/>
                <w:szCs w:val="18"/>
                <w:i w:val="1"/>
                <w:iCs w:val="1"/>
                <w:color w:val="auto"/>
              </w:rPr>
              <w:t>(Gal trimer-PK)</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(αvβ3 integrin)</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(αvβ6 integrin)</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Targeting groups (GalNAc trimer)</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Times New Roman" w:cs="Times New Roman" w:eastAsia="Times New Roman" w:hAnsi="Times New Roman"/>
                <w:sz w:val="18"/>
                <w:szCs w:val="18"/>
                <w:b w:val="1"/>
                <w:bCs w:val="1"/>
                <w:color w:val="auto"/>
              </w:rPr>
              <w:t>Hydrodynamic delivery</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Second iteration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8"/>
        </w:trPr>
        <w:tc>
          <w:tcPr>
            <w:tcW w:w="598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Third iteration</w:t>
            </w:r>
          </w:p>
        </w:tc>
        <w:tc>
          <w:tcPr>
            <w:tcW w:w="324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Homing Peptides</w:t>
      </w:r>
    </w:p>
    <w:p>
      <w:pPr>
        <w:spacing w:after="0" w:line="121"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We also control patents related to our Homing Peptide platforms, related to Adipotide, our drug candidate for the treatment for obesity and related metabolic disorders. Approximately seven of these patents are United States patents and the remaining patents are validated in Belgium, Switzerland, Germany, Spain, France, Japan, the United Kingdom, Ireland, Greece, Italy, Netherlands, Portugal, Sweden and Turkey.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right w:val="single" w:sz="8" w:color="auto"/>
            </w:tcBorders>
          </w:tcPr>
          <w:p>
            <w:pPr>
              <w:spacing w:after="0"/>
              <w:rPr>
                <w:sz w:val="19"/>
                <w:szCs w:val="19"/>
                <w:color w:val="auto"/>
              </w:rPr>
            </w:pPr>
          </w:p>
        </w:tc>
        <w:tc>
          <w:tcPr>
            <w:tcW w:w="42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1720" w:type="dxa"/>
            <w:vAlign w:val="bottom"/>
            <w:tcBorders>
              <w:top w:val="single" w:sz="8" w:color="auto"/>
              <w:bottom w:val="single" w:sz="8" w:color="auto"/>
              <w:right w:val="single" w:sz="8" w:color="auto"/>
            </w:tcBorders>
          </w:tcPr>
          <w:p>
            <w:pPr>
              <w:spacing w:after="0"/>
              <w:rPr>
                <w:sz w:val="19"/>
                <w:szCs w:val="19"/>
                <w:color w:val="auto"/>
              </w:rPr>
            </w:pPr>
          </w:p>
        </w:tc>
        <w:tc>
          <w:tcPr>
            <w:tcW w:w="324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 of Expiration</w:t>
            </w:r>
          </w:p>
        </w:tc>
        <w:tc>
          <w:tcPr>
            <w:tcW w:w="1720" w:type="dxa"/>
            <w:vAlign w:val="bottom"/>
          </w:tcPr>
          <w:p>
            <w:pPr>
              <w:spacing w:after="0"/>
              <w:rPr>
                <w:sz w:val="19"/>
                <w:szCs w:val="19"/>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Adipotide</w:t>
            </w:r>
            <w:r>
              <w:rPr>
                <w:rFonts w:ascii="Times New Roman" w:cs="Times New Roman" w:eastAsia="Times New Roman" w:hAnsi="Times New Roman"/>
                <w:sz w:val="15"/>
                <w:szCs w:val="15"/>
                <w:color w:val="auto"/>
              </w:rPr>
              <w:t>®</w:t>
            </w:r>
          </w:p>
        </w:tc>
        <w:tc>
          <w:tcPr>
            <w:tcW w:w="1720" w:type="dxa"/>
            <w:vAlign w:val="bottom"/>
            <w:tcBorders>
              <w:bottom w:val="single" w:sz="8" w:color="auto"/>
              <w:right w:val="single" w:sz="8" w:color="EEECE1"/>
            </w:tcBorders>
            <w:shd w:val="clear" w:color="auto" w:fill="EEECE1"/>
          </w:tcPr>
          <w:p>
            <w:pPr>
              <w:spacing w:after="0"/>
              <w:rPr>
                <w:sz w:val="18"/>
                <w:szCs w:val="18"/>
                <w:color w:val="auto"/>
              </w:rPr>
            </w:pP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Targeting moieties and conjugates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2021</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Targeted Pharmaceutical Compositions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2021</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Homing Peptides</w:t>
            </w:r>
          </w:p>
        </w:tc>
        <w:tc>
          <w:tcPr>
            <w:tcW w:w="1720" w:type="dxa"/>
            <w:vAlign w:val="bottom"/>
            <w:tcBorders>
              <w:bottom w:val="single" w:sz="8" w:color="auto"/>
              <w:right w:val="single" w:sz="8" w:color="EEECE1"/>
            </w:tcBorders>
            <w:shd w:val="clear" w:color="auto" w:fill="EEECE1"/>
          </w:tcPr>
          <w:p>
            <w:pPr>
              <w:spacing w:after="0"/>
              <w:rPr>
                <w:sz w:val="18"/>
                <w:szCs w:val="18"/>
                <w:color w:val="auto"/>
              </w:rPr>
            </w:pP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EphA5 Targeting Peptides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IL-11R Targeting Peptides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tcPr>
          <w:p>
            <w:pPr>
              <w:spacing w:after="0"/>
              <w:rPr>
                <w:sz w:val="18"/>
                <w:szCs w:val="18"/>
                <w:color w:val="auto"/>
              </w:rPr>
            </w:pPr>
          </w:p>
        </w:tc>
      </w:tr>
      <w:tr>
        <w:trPr>
          <w:trHeight w:val="426"/>
        </w:trPr>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4" w:right="219" w:bottom="751"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b w:val="1"/>
          <w:bCs w:val="1"/>
          <w:color w:val="auto"/>
        </w:rPr>
        <w:t>Non-Exclusively Licensed Patent Rights obtained from Roche</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Roche and the Company entered into a Stock and Asset Purchase Agreement on October 21, 2011, pursuant to which Roche assigned to Arrowhead its entire rights under certain licenses including: the License and Collaboration Agreement between Roche and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provide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Terms of the 2007 Alnylam License</w:t>
      </w:r>
    </w:p>
    <w:p>
      <w:pPr>
        <w:spacing w:after="0" w:line="12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Alnylam License provides us with a non-exclusive, worldwide, perpetual, irrevocable, royalty-bearing right and sublicensable license under Alnylam’s rights in certain intellectual property existing as of its effective date, to engage in discovery, development, commercialization and manufacturing activities, including to make, have made, use, offer for sale, sell and import certain licensed products in certain fields. The fields include the treatment or prophylaxis of indications comprising an RNAi compound complementary to, and function in mediating the RNAi of, a target known or believed to be primarily implicated in one or more primary therapeutic areas. The primary therapeutic areas are cancer, hepatic, metabolic disease and pulmonary disease. The hepatic therapeutic area specifically excludes targets of infectious pathogen.</w:t>
      </w:r>
    </w:p>
    <w:p>
      <w:pPr>
        <w:spacing w:after="0" w:line="18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Alnylam License excludes access to intellectual property specifically related to “Blocked Targets.” “Blocked Targets” are those targets that are subject to a contractual obligation of a pre-existing agreement between Alnylam and its alliance partners.</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Under the Alnylam License, we may be obligated to pay development and sales milestone payments of up to the mid to upper double-digit millions of dollars for each licensed product that progresses through clinical trials in a particular indication, receives marketing approval for that indication and is the subject of a first commercial sale. Additionally, we may be obligated to pay mid to high single-digit percentage royalties on sales of such products.</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Core Patents relating to RNAi</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RNAi Licenses include patents relating to the general structure, architecture, and design of double-stranded oligonucleotide molecules, which engage RNA interference mechanisms in a cell. These rights include the “Tuschl II” patents, including issued U.S. Patent Nos. 7,056,704; 7,078,196; 7,078,196; 8,329,463; 8,362,231; 8,372,968; and 8,445,327; “Tuschl I” patents, including U.S. Patent Nos. 8,394,628 and 8,420,391; and allowed “Tuschl I” patent application, U.S. Publication No. 2011024446; “City of Hope” patents, including U.S. Patent No. 8,084,599; and “Kreutzer-Limmer” patents assigned to Alnylam, including U.S. Patent Nos. 7,829,693; 8,101,594; 8,119,608; 8,202,980; and 8,168,776.</w:t>
      </w:r>
    </w:p>
    <w:p>
      <w:pPr>
        <w:spacing w:after="0" w:line="18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Thomas Tuschl is the first named inventor on “Tuschl I” and “Tuschl II.” “Tuschl I” patents refers to the patents arising from the patent application entitled “The Uses of 21-23 Sequence-Specific Mediators of Double-Stranded RNA Interference as a Tool to Study Gene Function and as a Gene-Specific Therapeutic.” “Tuschl II” patents refer to the patents and patent applications arising from the patent application entitled “RNA Interference Mediating Small RNA Molecules.” “City of Hope” is the first named assignee of certain core RNAi trigger patents. The second named assignee of these patents is Integrated DNA Technologies, Inc. Kreutzer-Limmer patents refer to the Alnylam patents and patent applications, relating to core siRNA IP, which includes inventors Roland Kreutzer and Stefan Limmer.</w:t>
      </w: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Chemical modifications of double-stranded oligonucleotides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RNAi Licenses also include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in U.S. Publication No. 20100209487 assigned to Marina Biotech (f/k/a MDRNA, Inc.), and microRNAs described in U.S. Patent Nos. 7,582,744; 7,674,778, and 7,772,387 assigned to Alnylam as well as U.S. Patent No. 8,314,227 related to unlocked nucleic acids (UNA). The ‘227 patent was assigned by Marina Biotech to Arcturus Therapeutics, Inc. but remains part of the MDRNA License. The RNAi Licenses also include rights from INEX/Tekmira relating to lipid-nucleic acid particles, and oligonucleotide modifications to improve pharmacokinetic activity including resistance to degradation, increased stability, and more specific targeting of cells from Alnylam and ISIS Pharmaceuticals, Inc.</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b w:val="1"/>
          <w:bCs w:val="1"/>
          <w:color w:val="auto"/>
        </w:rPr>
        <w:t>Manufacturing techniques for the double-stranded oligonucleotide molecules or chemical modifications</w:t>
      </w:r>
    </w:p>
    <w:p>
      <w:pPr>
        <w:spacing w:after="0" w:line="121"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The RNAi Licenses also include patents relating to the synthesis and manufacture of double-stranded oligonucleotide molecules for use in RNA interference, as well as chemical modifications of such molecules, as described above. These include methods of synthesizing the double-stranded oligonucleotide molecules such as in the core “Tuschl I” allowed U.S. Application No. 12/897,749, the core “Tuschl II” U.S. Patent Nos. 7,056,704; 7,078,196; and 8,445,327; and Alnylam’s U.S. Patent Nos. 8,168,776, as well as methods of making chemical modifications of the double-stranded oligonucleotides such as described in Alnylam’s U.S. Patent No. 7,723,509 and INEX’s U.S. Patent Nos. 5,976,567; 6,858,224; and 8,484,282. Patent applications are currently pending that further cover manufacturing techniques for double-stranded oligonucleotide molecules or chemical modifications.</w:t>
      </w: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Uses and Applications of Double-Stranded Oligonucleotide Molecules or Chemical modifications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RNAi Licenses also include patents related to uses of the double-stranded oligonucleotides that function through the mechanism of RNA interference. These include for example, the core “Tuschl I” U.S. Patent No. 8,394,628 and “Tuschl II” U.S. Patent No. 8,329,463; Alnylam’s U.S. Patent Nos. 7,763,590; 8,101,594, and 8,119,608, and City of Hope‘s U.S. Patent No. 8,084,599. Other more specific uses have been acquired and patent applications are currently pending that cover additional end uses and applications of double-stranded oligonucleotides functioning through RNA interference.</w:t>
      </w: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2012 License from Alnylam</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January 2012, we obtained a license from Alnylam under its rights in certain RNAi intellectual property to develop and commercialize RNAi-based products targeting RNAs encoded by the genome of HBV.</w:t>
      </w:r>
    </w:p>
    <w:p>
      <w:pPr>
        <w:spacing w:after="0" w:line="162"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Alnylam granted us a worldwide non-exclusive sublicensable royalty bearing license under Alnylam’s general RNAi intellectual property estate to research, develop and commercialize RNAi-based products targeting HBV RNAs in combination with DPC technology. Alnylam further granted us a worldwide sublicensable exclusive royalty bearing license under its target-specific RNAi patent rights to research, develop and commercialize RNAi-based products targeting HBV RNAs in combination with DPC technology. Alnylam further agreed to forego the development of any RNAi-based products targeting HBV RNAs in combination with DPC technology.</w:t>
      </w:r>
    </w:p>
    <w:p>
      <w:pPr>
        <w:spacing w:after="0" w:line="18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Under the license from Alnylam, we may be obligated to pay development and sales milestone payments of up to the low double-digit millions of dollars for each licensed product that progresses through clinical trials, receives marketing approval and is the subject of a first commercial sale. Additionally, we may be obligated to pay low single-digit percentage royalties on sales of such products.</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2012 License to Alnylam</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consideration for the licenses from Alnylam, in January 2012 we granted Alnylam a worldwide non-exclusive, sublicensable royalty 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 digit millions of dollars for each licensed product that progresses through clinical trials, receives marketing approval and is the subject of a first commercial sale. Additionally, Alnylam may be obligated to pay us low single digit percentage royalties on sales of such products.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Acquisition of Assets from Novartis</w:t>
      </w:r>
    </w:p>
    <w:p>
      <w:pPr>
        <w:spacing w:after="0" w:line="229" w:lineRule="exact"/>
        <w:rPr>
          <w:sz w:val="20"/>
          <w:szCs w:val="20"/>
          <w:color w:val="auto"/>
        </w:rPr>
      </w:pPr>
    </w:p>
    <w:p>
      <w:pPr>
        <w:ind w:firstLine="295"/>
        <w:spacing w:after="0" w:line="254" w:lineRule="auto"/>
        <w:rPr>
          <w:sz w:val="20"/>
          <w:szCs w:val="20"/>
          <w:color w:val="auto"/>
        </w:rPr>
      </w:pPr>
      <w:r>
        <w:rPr>
          <w:rFonts w:ascii="Times New Roman" w:cs="Times New Roman" w:eastAsia="Times New Roman" w:hAnsi="Times New Roman"/>
          <w:sz w:val="18"/>
          <w:szCs w:val="18"/>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Novartis’s rights under a license from Alnylam (the “Alnylam-Novartis License”), rights to three pre-clinical RNAi candidates, and a license to certain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has acquired a worldwide, royalty-bearing, exclusive license with limited sublicensing rights to existing and future Alnylam intellectual property (coming under Alnylam’s control on or before March 31, 2016), excluding intellectual property concerning delivery technology, to research, develop and commercialize 30 undisclosed gene targets.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b w:val="1"/>
          <w:bCs w:val="1"/>
          <w:color w:val="auto"/>
        </w:rPr>
        <w:t>Cardiovascular Collaboration and License Agreements with Amgen</w:t>
      </w:r>
    </w:p>
    <w:p>
      <w:pPr>
        <w:spacing w:after="0" w:line="162"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Under the First Collaboration and License Agreement, Amgen will receive an option to a worldwide, exclusive license for an RNAi therapy for ARO-AMG1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 undisclosed genetically validated cardiovascular target. Under the Second Collaboration and License, Amgen will receive a worldwide, exclusive license to Arrowhead’s novel, RNAi ARO-LPA program. These RNAi molecules are designed to reduce elevated lipoprotein(a), which is a genetically validated, independent risk factor for atherosclerotic cardiovascular disease. In both agreements, Amgen will be wholly responsible for clinical development and commercialization. Under the terms of the agreements taken together, the Company will receive $35 million in upfront payments, $21.5 million in the form of an equity investment by Amgen in the Company’s Common Stock, and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Facility</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Arrowhead’s research and development operations are located in Madison, Wisconsin. Substantially all of the Company’s assets are located either in this facility or in our corporate headquarters in Pasadena. A summary of our research and development resources is provided below:</w:t>
      </w:r>
    </w:p>
    <w:p>
      <w:pPr>
        <w:spacing w:after="0" w:line="54" w:lineRule="exact"/>
        <w:rPr>
          <w:sz w:val="20"/>
          <w:szCs w:val="20"/>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60 scientists currently;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laboratories consisting of 61,000 total sq. ft.;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small animal facility;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Primate colony housed at the Wisconsin National Primate Research Center, an affiliate of the University of Wisconsin;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histopathology capabilities;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models for metabolic, viral, and oncologic diseases;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efficacy and safety assessment;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oligonucleotide and small molecule synthesis and analytics capabilities (HPLC, NMR, MS, etc.);</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and oligonucleotide PK, biodistribution, clearance methodologies;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and confocal microscopy, flow cytometry, Luminex platform, qRT-PCR, clinical chemistry analytics.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18"/>
        <w:spacing w:after="0" w:line="277" w:lineRule="auto"/>
        <w:rPr>
          <w:sz w:val="20"/>
          <w:szCs w:val="20"/>
          <w:color w:val="auto"/>
        </w:rPr>
      </w:pPr>
      <w:r>
        <w:rPr>
          <w:rFonts w:ascii="Times New Roman" w:cs="Times New Roman" w:eastAsia="Times New Roman" w:hAnsi="Times New Roman"/>
          <w:sz w:val="17"/>
          <w:szCs w:val="17"/>
          <w:color w:val="auto"/>
        </w:rPr>
        <w:t>Research and development (R&amp;D) expenses consist of costs incurred in discovering, developing and testing our clinical and preclinical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good laboratory practice (“GLP”) toxicology studies necessary to support clinical trials, both of which are outsourced to cGMP-compliant manufacturers and GLP-compliant laboratories. Total research and development expense for fiscal 2016 was $41.5 million, a decrease from $47.3 million in 2015 and an increase from $23.1 million in 2014.</w:t>
      </w:r>
    </w:p>
    <w:p>
      <w:pPr>
        <w:spacing w:after="0" w:line="6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At September 30, 2016, we employed approximately 94 employees in an R&amp;D function, primarily working from our facility in Madison, Wisconsin. Due to the discontinuation of our clinical candidates in November 2016, we reduced our R&amp;D workforce and currently employ approximately 77 employees in an R&amp;D function.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for our R&amp;D activities were $13.9 million in fiscal 2016, $11.6 million in fiscal 2015, and $7.8 million in fiscal 2014. Laboratory supplies including animal-related costs for in-vivo studies were $4.3 million, $3.1 million, and $2.3 million in fiscal 2016, 2015, and 2014, respectively.</w:t>
      </w:r>
    </w:p>
    <w:p>
      <w:pPr>
        <w:spacing w:after="0" w:line="8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Costs related to manufacture of clinical supplies, GLP toxicology studies and other outsourced lab studies, as well as clinical trial costs were $32.6 million, $41.8 million, and $18.8 million in fiscal 2016, 2015, and 2014, respectively.</w:t>
      </w:r>
    </w:p>
    <w:p>
      <w:pPr>
        <w:spacing w:after="0" w:line="54"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Facility-related costs, primarily rental costs for our leased laboratory in Madison, Wisconsin were $1.3 million, $1.0 million, and $0.9 million in fiscal 2016, 2015, and 2014, respectively. Other research and development expenses were $3.2 million, $1.4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million, and $1.2 million in fiscal 2016, 2015 and 2014, respectively. These expenses are primarily related to milestone payments, which can vary from period to period depending on the nature of our various license agreements, and the timing of reaching various development milestones requiring payment.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 significant factor in the production and marketing of our products and our R&amp;D activities and require the expenditure of substantial time and financial resources.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U.S.,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left="780" w:hanging="25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GLP regulations;</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without FDA objection before human clinical trials may begin;</w:t>
      </w:r>
    </w:p>
    <w:p>
      <w:pPr>
        <w:spacing w:after="0" w:line="161"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225" w:lineRule="exact"/>
        <w:rPr>
          <w:rFonts w:ascii="Times New Roman" w:cs="Times New Roman" w:eastAsia="Times New Roman" w:hAnsi="Times New Roman"/>
          <w:sz w:val="18"/>
          <w:szCs w:val="18"/>
          <w:color w:val="auto"/>
        </w:rPr>
      </w:pPr>
    </w:p>
    <w:p>
      <w:pPr>
        <w:ind w:right="800" w:firstLine="526"/>
        <w:spacing w:after="0" w:line="282" w:lineRule="auto"/>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61"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review of the NDA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right="160" w:firstLine="526"/>
        <w:spacing w:after="0" w:line="266" w:lineRule="auto"/>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76"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as applicable, and securing FDA approval of the NDA; and</w:t>
      </w:r>
    </w:p>
    <w:p>
      <w:pPr>
        <w:spacing w:after="0" w:line="225" w:lineRule="exact"/>
        <w:rPr>
          <w:rFonts w:ascii="Times New Roman" w:cs="Times New Roman" w:eastAsia="Times New Roman" w:hAnsi="Times New Roman"/>
          <w:sz w:val="18"/>
          <w:szCs w:val="18"/>
          <w:color w:val="auto"/>
        </w:rPr>
      </w:pPr>
    </w:p>
    <w:p>
      <w:pPr>
        <w:ind w:right="540" w:firstLine="526"/>
        <w:spacing w:after="0" w:line="282" w:lineRule="auto"/>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such as any Risk Evaluation and Mitigation Strategies (“REMS”) or post-approval studies required by the FDA.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and an IND</w:t>
      </w:r>
    </w:p>
    <w:p>
      <w:pPr>
        <w:spacing w:after="0" w:line="11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 xml:space="preserve">Preclinical studies can include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9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11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$2.4 million, and the sponsor of an approved NDA is also subject to annual product and establishment user fees, currently exceeding $114,450 per product and $585,200 per establishment. These fees are typically increased annually.</w:t>
      </w:r>
    </w:p>
    <w:p>
      <w:pPr>
        <w:spacing w:after="0" w:line="184"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Under certain circumstances, the FDA will waive the application fee for the first human drug application that a small business, defined as a company with less than 500 employees, or its affiliate, submits for review. An affiliate is defined as a business entity that has a relationship with a second business entity if one business entity controls, or has the power to control, the other business entity, or a third 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8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0" w:lineRule="exact"/>
        <w:rPr>
          <w:sz w:val="20"/>
          <w:szCs w:val="20"/>
          <w:color w:val="auto"/>
        </w:rPr>
      </w:pPr>
    </w:p>
    <w:p>
      <w:pPr>
        <w:ind w:right="640" w:firstLine="518"/>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an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9" w:name="page20"/>
    <w:bookmarkEnd w:id="19"/>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8"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8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1" w:name="page22"/>
    <w:bookmarkEnd w:id="21"/>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5"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88"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To obtain marketing approval of a drug under European Union regulatory systems, an applicant must submit a marketing authorization application (MAA) either under a centralized or decentralized procedure.</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(CHMP) established at the European Medicines Agency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decentralized procedure is available to applicants who wish to market a product in various European Union member states where such product has not received marketing approval in any European Union member states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8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8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4" w:name="page25"/>
    <w:bookmarkEnd w:id="24"/>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Healthcare Laws and Regulation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that are granted marketing approval. Arrangements with third-party payors and customers are subject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72" w:lineRule="exact"/>
        <w:rPr>
          <w:sz w:val="20"/>
          <w:szCs w:val="20"/>
          <w:color w:val="auto"/>
        </w:rPr>
      </w:pPr>
    </w:p>
    <w:p>
      <w:pPr>
        <w:ind w:left="1040" w:right="40" w:hanging="384"/>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40" w:right="20" w:hanging="384"/>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Foreign Corrupt Practices Act (FCPA) prohibits, among other things, U.S. corporations and their persons acting on their behalf from offering, promising, authorizing or making payments to any foreign government official, including certain healthcare professionals in many countries, in an attempt to obtain or retain business or otherwise seek preferential treatment abroad;</w:t>
      </w:r>
    </w:p>
    <w:p>
      <w:pPr>
        <w:spacing w:after="0" w:line="68" w:lineRule="exact"/>
        <w:rPr>
          <w:rFonts w:ascii="Times New Roman" w:cs="Times New Roman" w:eastAsia="Times New Roman" w:hAnsi="Times New Roman"/>
          <w:sz w:val="18"/>
          <w:szCs w:val="18"/>
          <w:color w:val="auto"/>
        </w:rPr>
      </w:pPr>
    </w:p>
    <w:p>
      <w:pPr>
        <w:ind w:left="1040" w:right="140" w:hanging="384"/>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40" w:right="60" w:hanging="384"/>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60" w:hanging="384"/>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1040" w:right="560" w:hanging="384"/>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40" w:right="260" w:hanging="384"/>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manufacturers of drugs, devices, biologics and medical supplies to report to the Department of Health and Human Services information related to payments and other transfers of value to physicians and teaching hospitals and physician ownership and investment interests; and</w:t>
      </w:r>
    </w:p>
    <w:p>
      <w:pPr>
        <w:spacing w:after="0" w:line="68" w:lineRule="exact"/>
        <w:rPr>
          <w:rFonts w:ascii="Times New Roman" w:cs="Times New Roman" w:eastAsia="Times New Roman" w:hAnsi="Times New Roman"/>
          <w:sz w:val="18"/>
          <w:szCs w:val="18"/>
          <w:color w:val="auto"/>
        </w:rPr>
      </w:pPr>
    </w:p>
    <w:p>
      <w:pPr>
        <w:ind w:left="1040" w:right="100" w:hanging="384"/>
        <w:spacing w:after="0" w:line="313"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38" w:lineRule="exact"/>
        <w:rPr>
          <w:sz w:val="20"/>
          <w:szCs w:val="20"/>
          <w:color w:val="auto"/>
        </w:rPr>
      </w:pPr>
    </w:p>
    <w:p>
      <w:pPr>
        <w:ind w:right="80" w:firstLine="518"/>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Financial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in this Item 1 is included in Part II, Item 6 and Part IV, Item 15 of this Annual Report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Arrowhead was originally incorporated in South Dakota in 1989, and was reincorporated in Delaware in 2000. In April 2016, Arrowhead changed its name form Arrowhead Research Corporation to Arrowhead Pharmaceuticals, Inc. The Company’s principal executive offices are located at 225 South Lake Avenue, Suite 1050, Pasadena, California 91101, and its telephone number is (626) 304-3400. We also operate a research and development facility in Madison, Wisconsin. As of September 30, 2016, Arrowhead had 113 full-time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Information</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http://www.arrowheadpharmaceuticals.com</w:t>
      </w:r>
      <w:r>
        <w:rPr>
          <w:rFonts w:ascii="Times New Roman" w:cs="Times New Roman" w:eastAsia="Times New Roman" w:hAnsi="Times New Roman"/>
          <w:sz w:val="18"/>
          <w:szCs w:val="18"/>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32" w:right="379" w:bottom="1440" w:gutter="0" w:footer="0" w:header="0"/>
        </w:sectPr>
      </w:pPr>
    </w:p>
    <w:bookmarkStart w:id="26" w:name="page27"/>
    <w:bookmarkEnd w:id="26"/>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40" w:firstLine="588"/>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is time consuming, expensive and risky.</w:t>
      </w:r>
    </w:p>
    <w:p>
      <w:pPr>
        <w:spacing w:after="0" w:line="121" w:lineRule="exact"/>
        <w:rPr>
          <w:sz w:val="20"/>
          <w:szCs w:val="20"/>
          <w:color w:val="auto"/>
        </w:rPr>
      </w:pPr>
    </w:p>
    <w:p>
      <w:pPr>
        <w:ind w:right="140" w:firstLine="588"/>
        <w:spacing w:after="0" w:line="282" w:lineRule="auto"/>
        <w:rPr>
          <w:sz w:val="20"/>
          <w:szCs w:val="20"/>
          <w:color w:val="auto"/>
        </w:rPr>
      </w:pPr>
      <w:r>
        <w:rPr>
          <w:rFonts w:ascii="Times New Roman" w:cs="Times New Roman" w:eastAsia="Times New Roman" w:hAnsi="Times New Roman"/>
          <w:sz w:val="18"/>
          <w:szCs w:val="18"/>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54"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be unacceptable, even though preclinical trial results were promising;</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Inefficacy and/or harmful side effects in humans or animals;</w:t>
      </w:r>
    </w:p>
    <w:p>
      <w:pPr>
        <w:spacing w:after="0" w:line="373"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U.S. Food and Drug Administration, may not approve our potential product for the intended use, or at all; and</w:t>
      </w:r>
    </w:p>
    <w:p>
      <w:pPr>
        <w:spacing w:after="0" w:line="29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may be uneconomical.</w:t>
      </w:r>
    </w:p>
    <w:p>
      <w:pPr>
        <w:spacing w:after="0" w:line="225" w:lineRule="exact"/>
        <w:rPr>
          <w:sz w:val="20"/>
          <w:szCs w:val="20"/>
          <w:color w:val="auto"/>
        </w:rPr>
      </w:pPr>
    </w:p>
    <w:p>
      <w:pPr>
        <w:ind w:right="20" w:firstLine="588"/>
        <w:spacing w:after="0" w:line="254" w:lineRule="auto"/>
        <w:rPr>
          <w:sz w:val="20"/>
          <w:szCs w:val="20"/>
          <w:color w:val="auto"/>
        </w:rPr>
      </w:pPr>
      <w:r>
        <w:rPr>
          <w:rFonts w:ascii="Times New Roman" w:cs="Times New Roman" w:eastAsia="Times New Roman" w:hAnsi="Times New Roman"/>
          <w:sz w:val="18"/>
          <w:szCs w:val="18"/>
          <w:color w:val="auto"/>
        </w:rPr>
        <w:t>For example, the positive pre-clinical results in animals for our pre-clinical programs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2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substantial risks inherent in attempting to commercialize new drugs, and, as a result, we may not be able to successfully develop products for commercial use.</w:t>
      </w:r>
    </w:p>
    <w:p>
      <w:pPr>
        <w:spacing w:after="0" w:line="51" w:lineRule="exact"/>
        <w:rPr>
          <w:sz w:val="20"/>
          <w:szCs w:val="20"/>
          <w:color w:val="auto"/>
        </w:rPr>
      </w:pPr>
    </w:p>
    <w:p>
      <w:pPr>
        <w:ind w:right="60" w:firstLine="588"/>
        <w:spacing w:after="0" w:line="253" w:lineRule="auto"/>
        <w:rPr>
          <w:sz w:val="20"/>
          <w:szCs w:val="20"/>
          <w:color w:val="auto"/>
        </w:rPr>
      </w:pPr>
      <w:r>
        <w:rPr>
          <w:rFonts w:ascii="Times New Roman" w:cs="Times New Roman" w:eastAsia="Times New Roman" w:hAnsi="Times New Roman"/>
          <w:sz w:val="18"/>
          <w:szCs w:val="18"/>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are not proven. For instance, the theory that knockdown of S-antigen in chronic hepatitis B patients will result in a functional cure is unproven. Similarly,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2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51" w:lineRule="exact"/>
        <w:rPr>
          <w:sz w:val="20"/>
          <w:szCs w:val="20"/>
          <w:color w:val="auto"/>
        </w:rPr>
      </w:pPr>
    </w:p>
    <w:p>
      <w:pPr>
        <w:ind w:right="360" w:firstLine="588"/>
        <w:spacing w:after="0" w:line="282" w:lineRule="auto"/>
        <w:rPr>
          <w:sz w:val="20"/>
          <w:szCs w:val="20"/>
          <w:color w:val="auto"/>
        </w:rPr>
      </w:pPr>
      <w:r>
        <w:rPr>
          <w:rFonts w:ascii="Times New Roman" w:cs="Times New Roman" w:eastAsia="Times New Roman" w:hAnsi="Times New Roman"/>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t>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68"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product development activities using unproven technologies;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maintain, and protect a strong intellectual property portfolio;</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efficacy of our drug candidates in multiple human clinical studies;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FDA approval and approval from similar foreign regulatory bodies;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the development and commercialization of any drugs we develop;</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products are reimbursed by commercial and/or government payors at a rate that permits commercial viability;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 with suppliers, distributors, and commercial licensing partners; and</w:t>
      </w:r>
    </w:p>
    <w:p>
      <w:pPr>
        <w:spacing w:after="0" w:line="360"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and cash requirements as our expenses will increase in the near term if we add programs and additional preclinical and clinical trials.</w:t>
      </w:r>
    </w:p>
    <w:p>
      <w:pPr>
        <w:spacing w:after="0" w:line="162" w:lineRule="exact"/>
        <w:rPr>
          <w:sz w:val="20"/>
          <w:szCs w:val="20"/>
          <w:color w:val="auto"/>
        </w:rPr>
      </w:pPr>
    </w:p>
    <w:p>
      <w:pPr>
        <w:ind w:right="100" w:firstLine="588"/>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develop products, raise capital, expand our business or continue our operations.</w:t>
      </w:r>
    </w:p>
    <w:p>
      <w:pPr>
        <w:spacing w:after="0" w:line="26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additional revenue-generating collaborations with other pharmaceutical and biotech companies to advance our drug candidates.</w:t>
      </w:r>
    </w:p>
    <w:p>
      <w:pPr>
        <w:spacing w:after="0" w:line="51" w:lineRule="exact"/>
        <w:rPr>
          <w:sz w:val="20"/>
          <w:szCs w:val="20"/>
          <w:color w:val="auto"/>
        </w:rPr>
      </w:pPr>
    </w:p>
    <w:p>
      <w:pPr>
        <w:ind w:firstLine="588"/>
        <w:spacing w:after="0" w:line="256" w:lineRule="auto"/>
        <w:rPr>
          <w:sz w:val="20"/>
          <w:szCs w:val="20"/>
          <w:color w:val="auto"/>
        </w:rPr>
      </w:pPr>
      <w:r>
        <w:rPr>
          <w:rFonts w:ascii="Times New Roman" w:cs="Times New Roman" w:eastAsia="Times New Roman" w:hAnsi="Times New Roman"/>
          <w:sz w:val="18"/>
          <w:szCs w:val="18"/>
          <w:color w:val="auto"/>
        </w:rPr>
        <w:t>During fiscal year 2016, we entered into two collaboration and license agreements with Amgen. Our business strategy includes obtaining additional collaborations with other pharmaceutical and biotech companies to support the development of our therapeutic siRNA and other drug candidates.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are unable to enter into any of these agreements on commercially attractive terms, we may be unable to develop certain programs due to a limited availability of resources, and we may need to raise additional capital, which could be dilutive to our existing investors.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achieve commercial acceptance of our drug candidates to generate revenues and achieve profitability.</w:t>
      </w:r>
    </w:p>
    <w:p>
      <w:pPr>
        <w:spacing w:after="0" w:line="121" w:lineRule="exact"/>
        <w:rPr>
          <w:sz w:val="20"/>
          <w:szCs w:val="20"/>
          <w:color w:val="auto"/>
        </w:rPr>
      </w:pPr>
    </w:p>
    <w:p>
      <w:pPr>
        <w:ind w:right="20" w:firstLine="588"/>
        <w:spacing w:after="0" w:line="254" w:lineRule="auto"/>
        <w:rPr>
          <w:sz w:val="20"/>
          <w:szCs w:val="20"/>
          <w:color w:val="auto"/>
        </w:rPr>
      </w:pPr>
      <w:r>
        <w:rPr>
          <w:rFonts w:ascii="Times New Roman" w:cs="Times New Roman" w:eastAsia="Times New Roman" w:hAnsi="Times New Roman"/>
          <w:sz w:val="18"/>
          <w:szCs w:val="18"/>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86" w:lineRule="exact"/>
        <w:rPr>
          <w:sz w:val="20"/>
          <w:szCs w:val="20"/>
          <w:color w:val="auto"/>
        </w:rPr>
      </w:pPr>
    </w:p>
    <w:p>
      <w:pPr>
        <w:ind w:right="380" w:firstLine="588"/>
        <w:spacing w:after="0" w:line="258" w:lineRule="auto"/>
        <w:rPr>
          <w:sz w:val="20"/>
          <w:szCs w:val="20"/>
          <w:color w:val="auto"/>
        </w:rPr>
      </w:pPr>
      <w:r>
        <w:rPr>
          <w:rFonts w:ascii="Times New Roman" w:cs="Times New Roman" w:eastAsia="Times New Roman" w:hAnsi="Times New Roman"/>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net losses and may not achieve or maintain profitability.</w:t>
      </w:r>
    </w:p>
    <w:p>
      <w:pPr>
        <w:spacing w:after="0" w:line="121" w:lineRule="exact"/>
        <w:rPr>
          <w:sz w:val="20"/>
          <w:szCs w:val="20"/>
          <w:color w:val="auto"/>
        </w:rPr>
      </w:pPr>
    </w:p>
    <w:p>
      <w:pPr>
        <w:ind w:right="100" w:firstLine="588"/>
        <w:spacing w:after="0" w:line="261" w:lineRule="auto"/>
        <w:rPr>
          <w:sz w:val="20"/>
          <w:szCs w:val="20"/>
          <w:color w:val="auto"/>
        </w:rPr>
      </w:pPr>
      <w:r>
        <w:rPr>
          <w:rFonts w:ascii="Times New Roman" w:cs="Times New Roman" w:eastAsia="Times New Roman" w:hAnsi="Times New Roman"/>
          <w:sz w:val="18"/>
          <w:szCs w:val="18"/>
          <w:color w:val="auto"/>
        </w:rPr>
        <w:t>We have incurred net losses since our inception, including net losses of $81.7 million for the year ended September 30, 2016.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8" w:name="page29"/>
    <w:bookmarkEnd w:id="28"/>
    <w:p>
      <w:pPr>
        <w:ind w:right="580"/>
        <w:spacing w:after="0" w:line="282" w:lineRule="auto"/>
        <w:rPr>
          <w:sz w:val="20"/>
          <w:szCs w:val="20"/>
          <w:color w:val="auto"/>
        </w:rPr>
      </w:pPr>
      <w:r>
        <w:rPr>
          <w:rFonts w:ascii="Times New Roman" w:cs="Times New Roman" w:eastAsia="Times New Roman" w:hAnsi="Times New Roman"/>
          <w:sz w:val="18"/>
          <w:szCs w:val="18"/>
          <w:color w:val="auto"/>
        </w:rPr>
        <w:t>drugs we successfully develop. Even if we successfully commercialize drug candidates that receive regulatory approval, we may not be able to realize revenues at a level that would allow us to achieve or sustain profitability.</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Accordingly, we may never generate significant revenue and, even if we do generate significant revenue, we may never achieve profitability.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funds to complete our research and development activities.</w:t>
      </w:r>
    </w:p>
    <w:p>
      <w:pPr>
        <w:spacing w:after="0" w:line="121" w:lineRule="exact"/>
        <w:rPr>
          <w:sz w:val="20"/>
          <w:szCs w:val="20"/>
          <w:color w:val="auto"/>
        </w:rPr>
      </w:pPr>
    </w:p>
    <w:p>
      <w:pPr>
        <w:ind w:right="120" w:firstLine="588"/>
        <w:spacing w:after="0" w:line="282" w:lineRule="auto"/>
        <w:rPr>
          <w:sz w:val="20"/>
          <w:szCs w:val="20"/>
          <w:color w:val="auto"/>
        </w:rPr>
      </w:pPr>
      <w:r>
        <w:rPr>
          <w:rFonts w:ascii="Times New Roman" w:cs="Times New Roman" w:eastAsia="Times New Roman" w:hAnsi="Times New Roman"/>
          <w:sz w:val="18"/>
          <w:szCs w:val="18"/>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54" w:lineRule="exact"/>
        <w:rPr>
          <w:sz w:val="20"/>
          <w:szCs w:val="20"/>
          <w:color w:val="auto"/>
        </w:rPr>
      </w:pPr>
    </w:p>
    <w:p>
      <w:pPr>
        <w:ind w:left="380" w:right="10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2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general and administrative infrastructure and activities;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business development opportunities for our technologies;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and protect our intellectual property; and</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management and technical staff.</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1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duration, and expenditures associated with our research and development;</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our clinical trials;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R&amp;D and clinical efforts are successful;</w:t>
      </w:r>
    </w:p>
    <w:p>
      <w:pPr>
        <w:spacing w:after="0" w:line="33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potential partnering or licensing transactions, if any, and the extent to which our business development efforts result in the acquisition of new programs or technologies;</w:t>
      </w:r>
    </w:p>
    <w:p>
      <w:pPr>
        <w:spacing w:after="0" w:line="2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developments;</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positions, if any, in our products; and</w:t>
      </w:r>
    </w:p>
    <w:p>
      <w:pPr>
        <w:spacing w:after="0" w:line="3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and regulatory standards for our drug candidates.</w:t>
      </w:r>
    </w:p>
    <w:p>
      <w:pPr>
        <w:spacing w:after="0" w:line="225" w:lineRule="exact"/>
        <w:rPr>
          <w:sz w:val="20"/>
          <w:szCs w:val="20"/>
          <w:color w:val="auto"/>
        </w:rPr>
      </w:pPr>
    </w:p>
    <w:p>
      <w:pPr>
        <w:ind w:right="60" w:firstLine="588"/>
        <w:spacing w:after="0" w:line="254" w:lineRule="auto"/>
        <w:rPr>
          <w:sz w:val="20"/>
          <w:szCs w:val="20"/>
          <w:color w:val="auto"/>
        </w:rPr>
      </w:pPr>
      <w:r>
        <w:rPr>
          <w:rFonts w:ascii="Times New Roman" w:cs="Times New Roman" w:eastAsia="Times New Roman" w:hAnsi="Times New Roman"/>
          <w:sz w:val="18"/>
          <w:szCs w:val="18"/>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51" w:lineRule="exact"/>
        <w:rPr>
          <w:sz w:val="20"/>
          <w:szCs w:val="20"/>
          <w:color w:val="auto"/>
        </w:rPr>
      </w:pPr>
    </w:p>
    <w:p>
      <w:pPr>
        <w:ind w:right="40" w:firstLine="58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9" w:name="page30"/>
    <w:bookmarkEnd w:id="29"/>
    <w:p>
      <w:pPr>
        <w:ind w:right="120" w:firstLine="588"/>
        <w:spacing w:after="0" w:line="256"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Reliance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establish additional relationships with strategic and development partners to fully develop our drug candidates and market any approved products.</w:t>
      </w:r>
    </w:p>
    <w:p>
      <w:pPr>
        <w:spacing w:after="0" w:line="51" w:lineRule="exact"/>
        <w:rPr>
          <w:sz w:val="20"/>
          <w:szCs w:val="20"/>
          <w:color w:val="auto"/>
        </w:rPr>
      </w:pPr>
    </w:p>
    <w:p>
      <w:pPr>
        <w:ind w:right="40" w:firstLine="588"/>
        <w:spacing w:after="0" w:line="255" w:lineRule="auto"/>
        <w:rPr>
          <w:sz w:val="20"/>
          <w:szCs w:val="20"/>
          <w:color w:val="auto"/>
        </w:rPr>
      </w:pPr>
      <w:r>
        <w:rPr>
          <w:rFonts w:ascii="Times New Roman" w:cs="Times New Roman" w:eastAsia="Times New Roman" w:hAnsi="Times New Roman"/>
          <w:sz w:val="18"/>
          <w:szCs w:val="18"/>
          <w:color w:val="auto"/>
        </w:rPr>
        <w:t>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122" w:lineRule="exact"/>
        <w:rPr>
          <w:sz w:val="20"/>
          <w:szCs w:val="20"/>
          <w:color w:val="auto"/>
        </w:rPr>
      </w:pPr>
    </w:p>
    <w:p>
      <w:pPr>
        <w:ind w:left="380" w:right="70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296" w:lineRule="exact"/>
        <w:rPr>
          <w:rFonts w:ascii="Times New Roman" w:cs="Times New Roman" w:eastAsia="Times New Roman" w:hAnsi="Times New Roman"/>
          <w:sz w:val="18"/>
          <w:szCs w:val="18"/>
          <w:color w:val="auto"/>
        </w:rPr>
      </w:pPr>
    </w:p>
    <w:p>
      <w:pPr>
        <w:ind w:left="380" w:right="34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62" w:lineRule="exact"/>
        <w:rPr>
          <w:sz w:val="20"/>
          <w:szCs w:val="20"/>
          <w:color w:val="auto"/>
        </w:rPr>
      </w:pPr>
    </w:p>
    <w:p>
      <w:pPr>
        <w:ind w:right="200" w:firstLine="588"/>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events or other related events could impair our ability to generate revenues and harm our business and financial condition.</w:t>
      </w:r>
    </w:p>
    <w:p>
      <w:pPr>
        <w:spacing w:after="0" w:line="26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1" w:lineRule="exact"/>
        <w:rPr>
          <w:sz w:val="20"/>
          <w:szCs w:val="20"/>
          <w:color w:val="auto"/>
        </w:rPr>
      </w:pPr>
    </w:p>
    <w:p>
      <w:pPr>
        <w:jc w:val="both"/>
        <w:ind w:right="520" w:firstLine="588"/>
        <w:spacing w:after="0" w:line="266" w:lineRule="auto"/>
        <w:rPr>
          <w:sz w:val="20"/>
          <w:szCs w:val="20"/>
          <w:color w:val="auto"/>
        </w:rPr>
      </w:pPr>
      <w:r>
        <w:rPr>
          <w:rFonts w:ascii="Times New Roman" w:cs="Times New Roman" w:eastAsia="Times New Roman" w:hAnsi="Times New Roman"/>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outside sources for various components and processes for our products.</w:t>
      </w:r>
    </w:p>
    <w:p>
      <w:pPr>
        <w:spacing w:after="0" w:line="121"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3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51" w:lineRule="exact"/>
        <w:rPr>
          <w:sz w:val="20"/>
          <w:szCs w:val="20"/>
          <w:color w:val="auto"/>
        </w:rPr>
      </w:pPr>
    </w:p>
    <w:p>
      <w:pPr>
        <w:ind w:right="40" w:firstLine="588"/>
        <w:spacing w:after="0" w:line="255" w:lineRule="auto"/>
        <w:rPr>
          <w:sz w:val="20"/>
          <w:szCs w:val="20"/>
          <w:color w:val="auto"/>
        </w:rPr>
      </w:pPr>
      <w:r>
        <w:rPr>
          <w:rFonts w:ascii="Times New Roman" w:cs="Times New Roman" w:eastAsia="Times New Roman" w:hAnsi="Times New Roman"/>
          <w:sz w:val="18"/>
          <w:szCs w:val="18"/>
          <w:color w:val="auto"/>
        </w:rPr>
        <w:t xml:space="preserve">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that is not required to be produced under cGMP standards. There are a limited number of manufacturers that supply synthetic siRNAs.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manufacturing process, which could result in unusable product and cause delays in our development process, as well as additional expense to us.</w:t>
      </w:r>
    </w:p>
    <w:p>
      <w:pPr>
        <w:spacing w:after="0" w:line="225" w:lineRule="exact"/>
        <w:rPr>
          <w:sz w:val="20"/>
          <w:szCs w:val="20"/>
          <w:color w:val="auto"/>
        </w:rPr>
      </w:pPr>
    </w:p>
    <w:p>
      <w:pPr>
        <w:ind w:right="60" w:firstLine="588"/>
        <w:spacing w:after="0" w:line="254" w:lineRule="auto"/>
        <w:rPr>
          <w:sz w:val="20"/>
          <w:szCs w:val="20"/>
          <w:color w:val="auto"/>
        </w:rPr>
      </w:pPr>
      <w:r>
        <w:rPr>
          <w:rFonts w:ascii="Times New Roman" w:cs="Times New Roman" w:eastAsia="Times New Roman" w:hAnsi="Times New Roman"/>
          <w:sz w:val="18"/>
          <w:szCs w:val="18"/>
          <w:color w:val="auto"/>
        </w:rPr>
        <w:t>Additionally, our product candidates have not yet been manufactured for commercial use. If any of our product candidates become approved for commercial sale, we will need to establish third-party manufacturing capacity. A third-party manufacturing partner may require us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86" w:lineRule="exact"/>
        <w:rPr>
          <w:sz w:val="20"/>
          <w:szCs w:val="20"/>
          <w:color w:val="auto"/>
        </w:rPr>
      </w:pPr>
    </w:p>
    <w:p>
      <w:pPr>
        <w:ind w:right="140" w:firstLine="588"/>
        <w:spacing w:after="0" w:line="255" w:lineRule="auto"/>
        <w:rPr>
          <w:sz w:val="20"/>
          <w:szCs w:val="20"/>
          <w:color w:val="auto"/>
        </w:rPr>
      </w:pPr>
      <w:r>
        <w:rPr>
          <w:rFonts w:ascii="Times New Roman" w:cs="Times New Roman" w:eastAsia="Times New Roman" w:hAnsi="Times New Roman"/>
          <w:sz w:val="18"/>
          <w:szCs w:val="18"/>
          <w:color w:val="auto"/>
        </w:rPr>
        <w:t>Manufacturers of our approved products, if any, must comply with cGMP requirements enforced by the FDA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they fail to fulfill their obligations, our the development of our products may be adversely affected.</w:t>
      </w:r>
    </w:p>
    <w:p>
      <w:pPr>
        <w:spacing w:after="0" w:line="5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 party service providers cannot adequately and timely fulfill their obligations to us, or if the quality and accuracy of our clinical trial data is compromised due to failure by such third 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attraction and retention of senior management and scientists with relevant expertise.</w:t>
      </w:r>
    </w:p>
    <w:p>
      <w:pPr>
        <w:spacing w:after="0" w:line="121"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significant extent on the continued services of our key employees, including our senior scientific, technical and managerial personnel. We do not maintain key man life insurance for any of our executives and we do not maintain employment agreements with most senior officers or employees. Competition for qualified employees in the pharmaceutical industry is high, and our ability to execute our strategy also will depend on our ability to continue to attract and retain qualified scientists and management. If we are unable to find, hire and retain qualified individuals, we will have difficulty implementing our business plan in a timely manner, or at all.</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51" w:lineRule="exact"/>
        <w:rPr>
          <w:sz w:val="20"/>
          <w:szCs w:val="20"/>
          <w:color w:val="auto"/>
        </w:rPr>
      </w:pPr>
    </w:p>
    <w:p>
      <w:pPr>
        <w:ind w:firstLine="588"/>
        <w:spacing w:after="0" w:line="256" w:lineRule="auto"/>
        <w:rPr>
          <w:sz w:val="20"/>
          <w:szCs w:val="20"/>
          <w:color w:val="auto"/>
        </w:rPr>
      </w:pPr>
      <w:r>
        <w:rPr>
          <w:rFonts w:ascii="Times New Roman" w:cs="Times New Roman" w:eastAsia="Times New Roman" w:hAnsi="Times New Roman"/>
          <w:sz w:val="18"/>
          <w:szCs w:val="18"/>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1" w:name="page32"/>
    <w:bookmarkEnd w:id="31"/>
    <w:p>
      <w:pPr>
        <w:ind w:right="540"/>
        <w:spacing w:after="0" w:line="282" w:lineRule="auto"/>
        <w:rPr>
          <w:sz w:val="20"/>
          <w:szCs w:val="20"/>
          <w:color w:val="auto"/>
        </w:rPr>
      </w:pPr>
      <w:r>
        <w:rPr>
          <w:rFonts w:ascii="Times New Roman" w:cs="Times New Roman" w:eastAsia="Times New Roman" w:hAnsi="Times New Roman"/>
          <w:sz w:val="18"/>
          <w:szCs w:val="18"/>
          <w:color w:val="auto"/>
        </w:rPr>
        <w:t>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system failures.</w:t>
      </w:r>
    </w:p>
    <w:p>
      <w:pPr>
        <w:spacing w:after="0" w:line="121" w:lineRule="exact"/>
        <w:rPr>
          <w:sz w:val="20"/>
          <w:szCs w:val="20"/>
          <w:color w:val="auto"/>
        </w:rPr>
      </w:pPr>
    </w:p>
    <w:p>
      <w:pPr>
        <w:ind w:right="60" w:firstLine="588"/>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contractors and consultants are vulnerable to damage from computer viruses, unauthorized access,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proprietary or private information, we could incur liability, we could lose valuable trade secret rights, and the development of our product candidates could be delayed.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and regulatory approval of our product candidates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51" w:lineRule="exact"/>
        <w:rPr>
          <w:sz w:val="20"/>
          <w:szCs w:val="20"/>
          <w:color w:val="auto"/>
        </w:rPr>
      </w:pPr>
    </w:p>
    <w:p>
      <w:pPr>
        <w:ind w:right="240" w:firstLine="588"/>
        <w:spacing w:after="0" w:line="282" w:lineRule="auto"/>
        <w:rPr>
          <w:sz w:val="20"/>
          <w:szCs w:val="20"/>
          <w:color w:val="auto"/>
        </w:rPr>
      </w:pPr>
      <w:r>
        <w:rPr>
          <w:rFonts w:ascii="Times New Roman" w:cs="Times New Roman" w:eastAsia="Times New Roman" w:hAnsi="Times New Roman"/>
          <w:sz w:val="18"/>
          <w:szCs w:val="18"/>
          <w:color w:val="auto"/>
        </w:rPr>
        <w:t>The sale of human therapeutic products in the U.S. and foreign jurisdictions is subject to extensive and time consuming regulatory approval which requires:</w:t>
      </w:r>
    </w:p>
    <w:p>
      <w:pPr>
        <w:spacing w:after="0" w:line="5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manufacturing, pre-clinical and clinical data;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cGMP regulations during production and storage.</w:t>
      </w:r>
    </w:p>
    <w:p>
      <w:pPr>
        <w:spacing w:after="0" w:line="200" w:lineRule="exact"/>
        <w:rPr>
          <w:sz w:val="20"/>
          <w:szCs w:val="20"/>
          <w:color w:val="auto"/>
        </w:rPr>
      </w:pPr>
    </w:p>
    <w:p>
      <w:pPr>
        <w:spacing w:after="0" w:line="268" w:lineRule="exact"/>
        <w:rPr>
          <w:sz w:val="20"/>
          <w:szCs w:val="20"/>
          <w:color w:val="auto"/>
        </w:rPr>
      </w:pPr>
    </w:p>
    <w:p>
      <w:pPr>
        <w:ind w:right="40" w:firstLine="588"/>
        <w:spacing w:after="0" w:line="256" w:lineRule="auto"/>
        <w:rPr>
          <w:sz w:val="20"/>
          <w:szCs w:val="20"/>
          <w:color w:val="auto"/>
        </w:rPr>
      </w:pPr>
      <w:r>
        <w:rPr>
          <w:rFonts w:ascii="Times New Roman" w:cs="Times New Roman" w:eastAsia="Times New Roman" w:hAnsi="Times New Roman"/>
          <w:sz w:val="18"/>
          <w:szCs w:val="18"/>
          <w:color w:val="auto"/>
        </w:rPr>
        <w:t>The product candidates we currently have under development will require significant development, pre-clinical and clinical testing and investment of significant funds to gain regulatory approval before they can be commercialized.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testing of a particular product candidate does not yield successful results, then we will be unable to commercialize that product candidate.</w:t>
      </w:r>
    </w:p>
    <w:p>
      <w:pPr>
        <w:spacing w:after="0" w:line="121" w:lineRule="exact"/>
        <w:rPr>
          <w:sz w:val="20"/>
          <w:szCs w:val="20"/>
          <w:color w:val="auto"/>
        </w:rPr>
      </w:pPr>
    </w:p>
    <w:p>
      <w:pPr>
        <w:ind w:right="120" w:firstLine="588"/>
        <w:spacing w:after="0" w:line="266" w:lineRule="auto"/>
        <w:rPr>
          <w:sz w:val="20"/>
          <w:szCs w:val="20"/>
          <w:color w:val="auto"/>
        </w:rPr>
      </w:pPr>
      <w:r>
        <w:rPr>
          <w:rFonts w:ascii="Times New Roman" w:cs="Times New Roman" w:eastAsia="Times New Roman" w:hAnsi="Times New Roman"/>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68"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may be inconclusive, or they may not be indicative of results that will be obtained in human clinical trials;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attained in early human clinical trials may not be indicative of results that are obtained in later clinical trials;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may abandon projects that we might previously have believed to be promising;</w:t>
      </w:r>
    </w:p>
    <w:p>
      <w:pPr>
        <w:spacing w:after="0" w:line="360"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regulators, may suspend or terminate clinical trials because the participating subjects or patients are being exposed to unacceptable health risks; and</w:t>
      </w:r>
    </w:p>
    <w:p>
      <w:pPr>
        <w:spacing w:after="0" w:line="29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162" w:lineRule="exact"/>
        <w:rPr>
          <w:sz w:val="20"/>
          <w:szCs w:val="20"/>
          <w:color w:val="auto"/>
        </w:rPr>
      </w:pPr>
    </w:p>
    <w:p>
      <w:pPr>
        <w:ind w:right="100" w:firstLine="588"/>
        <w:spacing w:after="0" w:line="261" w:lineRule="auto"/>
        <w:rPr>
          <w:sz w:val="20"/>
          <w:szCs w:val="20"/>
          <w:color w:val="auto"/>
        </w:rPr>
      </w:pPr>
      <w:r>
        <w:rPr>
          <w:rFonts w:ascii="Times New Roman" w:cs="Times New Roman" w:eastAsia="Times New Roman" w:hAnsi="Times New Roman"/>
          <w:sz w:val="18"/>
          <w:szCs w:val="18"/>
          <w:color w:val="auto"/>
        </w:rPr>
        <w:t>Clinical testing is very expensive, takes many years, and the outcomes are uncertain. The data collected from our clinical trials may not be sufficient to support approval of our product candidates by the regulatory authorities. The clinical trials of our product candidates may not be completed on schedule, and the regulatory authorities may not ultimately approve any of our product candidates for commercial sale. If we fail to adequately demonstrate the safety and efficacy of a product candidate, it would prevent regulatory approval of the product candidate, which could prevent us from achieving profitability.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It may take us longer than we project to complete clinical trials, and we may not be able to complete them at all.</w:t>
      </w:r>
    </w:p>
    <w:p>
      <w:pPr>
        <w:spacing w:after="0" w:line="121" w:lineRule="exact"/>
        <w:rPr>
          <w:sz w:val="20"/>
          <w:szCs w:val="20"/>
          <w:color w:val="auto"/>
        </w:rPr>
      </w:pPr>
    </w:p>
    <w:p>
      <w:pPr>
        <w:ind w:firstLine="588"/>
        <w:spacing w:after="0" w:line="261" w:lineRule="auto"/>
        <w:rPr>
          <w:sz w:val="20"/>
          <w:szCs w:val="20"/>
          <w:color w:val="auto"/>
        </w:rPr>
      </w:pPr>
      <w:r>
        <w:rPr>
          <w:rFonts w:ascii="Times New Roman" w:cs="Times New Roman" w:eastAsia="Times New Roman" w:hAnsi="Times New Roman"/>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clinical studies are successful and we achieve regulatory approval, the approved product label may be more limited than we or analysts anticipate, which could limit the commercial opportunity for our product candidates.</w:t>
      </w:r>
    </w:p>
    <w:p>
      <w:pPr>
        <w:spacing w:after="0" w:line="51" w:lineRule="exact"/>
        <w:rPr>
          <w:sz w:val="20"/>
          <w:szCs w:val="20"/>
          <w:color w:val="auto"/>
        </w:rPr>
      </w:pPr>
    </w:p>
    <w:p>
      <w:pPr>
        <w:ind w:right="40" w:firstLine="588"/>
        <w:spacing w:after="0" w:line="255" w:lineRule="auto"/>
        <w:rPr>
          <w:sz w:val="20"/>
          <w:szCs w:val="20"/>
          <w:color w:val="auto"/>
        </w:rPr>
      </w:pPr>
      <w:r>
        <w:rPr>
          <w:rFonts w:ascii="Times New Roman" w:cs="Times New Roman" w:eastAsia="Times New Roman" w:hAnsi="Times New Roman"/>
          <w:sz w:val="18"/>
          <w:szCs w:val="18"/>
          <w:color w:val="auto"/>
        </w:rPr>
        <w:t>At the time drugs are approved for commercialization, they are given a “product label” from the FDA or other regulatory body. In most countries this label sets forth the approved indication for marketing, and identifies potential safety concerns for prescribing physicians and patients. While we intend to seek as broad a product label as possible for our product candidates, we may receive a narrower label than is expected by either us or third parties, such as stockholders and securities analysts. For example, any approved products may only be indicated to treat refractory patients (i.e., those who have failed some other first-line therapy). Similarly, it is possible that only a specific sub-set of patients safely responds to one or more of our drug candidates. As a result, our product candidates, even if successful in clinical trials, could be approved only for a subset of patients. Additionally, safety considerations may result in contraindications that could further limit the scope of an approved product label. Any of these or other safety and efficacy considerations could limit the commercial opportunity for our product candidates.</w:t>
      </w:r>
    </w:p>
    <w:p>
      <w:pPr>
        <w:spacing w:after="0" w:line="2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51" w:lineRule="exact"/>
        <w:rPr>
          <w:sz w:val="20"/>
          <w:szCs w:val="20"/>
          <w:color w:val="auto"/>
        </w:rPr>
      </w:pPr>
    </w:p>
    <w:p>
      <w:pPr>
        <w:ind w:right="20" w:firstLine="588"/>
        <w:spacing w:after="0" w:line="261" w:lineRule="auto"/>
        <w:rPr>
          <w:sz w:val="20"/>
          <w:szCs w:val="20"/>
          <w:color w:val="auto"/>
        </w:rPr>
      </w:pPr>
      <w:r>
        <w:rPr>
          <w:rFonts w:ascii="Times New Roman" w:cs="Times New Roman" w:eastAsia="Times New Roman" w:hAnsi="Times New Roman"/>
          <w:sz w:val="18"/>
          <w:szCs w:val="18"/>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51" w:lineRule="exact"/>
        <w:rPr>
          <w:sz w:val="20"/>
          <w:szCs w:val="20"/>
          <w:color w:val="auto"/>
        </w:rPr>
      </w:pPr>
    </w:p>
    <w:p>
      <w:pPr>
        <w:ind w:right="80" w:firstLine="588"/>
        <w:spacing w:after="0" w:line="261"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2"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right="80" w:firstLine="588"/>
        <w:spacing w:after="0" w:line="266" w:lineRule="auto"/>
        <w:rPr>
          <w:sz w:val="20"/>
          <w:szCs w:val="20"/>
          <w:color w:val="auto"/>
        </w:rPr>
      </w:pPr>
      <w:r>
        <w:rPr>
          <w:rFonts w:ascii="Times New Roman" w:cs="Times New Roman" w:eastAsia="Times New Roman" w:hAnsi="Times New Roman"/>
          <w:sz w:val="18"/>
          <w:szCs w:val="18"/>
          <w:color w:val="auto"/>
        </w:rPr>
        <w:t>Although we currently have liability insurance for our clinical trials,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3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51" w:lineRule="exact"/>
        <w:rPr>
          <w:sz w:val="20"/>
          <w:szCs w:val="20"/>
          <w:color w:val="auto"/>
        </w:rPr>
      </w:pPr>
    </w:p>
    <w:p>
      <w:pPr>
        <w:ind w:right="120" w:firstLine="588"/>
        <w:spacing w:after="0" w:line="261" w:lineRule="auto"/>
        <w:rPr>
          <w:sz w:val="20"/>
          <w:szCs w:val="20"/>
          <w:color w:val="auto"/>
        </w:rPr>
      </w:pPr>
      <w:r>
        <w:rPr>
          <w:rFonts w:ascii="Times New Roman" w:cs="Times New Roman" w:eastAsia="Times New Roman" w:hAnsi="Times New Roman"/>
          <w:sz w:val="18"/>
          <w:szCs w:val="18"/>
          <w:color w:val="auto"/>
        </w:rPr>
        <w:t>We conduct research and development in a facility in Madison, Wisconsin.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Significant delays in our development efforts could materially impact our ability to obtain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33" w:name="page34"/>
    <w:bookmarkEnd w:id="33"/>
    <w:p>
      <w:pPr>
        <w:ind w:right="140"/>
        <w:spacing w:after="0" w:line="266" w:lineRule="auto"/>
        <w:rPr>
          <w:sz w:val="20"/>
          <w:szCs w:val="20"/>
          <w:color w:val="auto"/>
        </w:rPr>
      </w:pPr>
      <w:r>
        <w:rPr>
          <w:rFonts w:ascii="Times New Roman" w:cs="Times New Roman" w:eastAsia="Times New Roman" w:hAnsi="Times New Roman"/>
          <w:sz w:val="18"/>
          <w:szCs w:val="18"/>
          <w:color w:val="auto"/>
        </w:rPr>
        <w:t>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51" w:lineRule="exact"/>
        <w:rPr>
          <w:sz w:val="20"/>
          <w:szCs w:val="20"/>
          <w:color w:val="auto"/>
        </w:rPr>
      </w:pPr>
    </w:p>
    <w:p>
      <w:pPr>
        <w:ind w:right="20" w:firstLine="588"/>
        <w:spacing w:after="0" w:line="254" w:lineRule="auto"/>
        <w:rPr>
          <w:sz w:val="20"/>
          <w:szCs w:val="20"/>
          <w:color w:val="auto"/>
        </w:rPr>
      </w:pPr>
      <w:r>
        <w:rPr>
          <w:rFonts w:ascii="Times New Roman" w:cs="Times New Roman" w:eastAsia="Times New Roman" w:hAnsi="Times New Roman"/>
          <w:sz w:val="18"/>
          <w:szCs w:val="18"/>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186" w:lineRule="exact"/>
        <w:rPr>
          <w:sz w:val="20"/>
          <w:szCs w:val="20"/>
          <w:color w:val="auto"/>
        </w:rPr>
      </w:pPr>
    </w:p>
    <w:p>
      <w:pPr>
        <w:ind w:right="120" w:firstLine="588"/>
        <w:spacing w:after="0" w:line="256" w:lineRule="auto"/>
        <w:rPr>
          <w:sz w:val="20"/>
          <w:szCs w:val="20"/>
          <w:color w:val="auto"/>
        </w:rPr>
      </w:pPr>
      <w:r>
        <w:rPr>
          <w:rFonts w:ascii="Times New Roman" w:cs="Times New Roman" w:eastAsia="Times New Roman" w:hAnsi="Times New Roman"/>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88" w:lineRule="exact"/>
        <w:rPr>
          <w:sz w:val="20"/>
          <w:szCs w:val="20"/>
          <w:color w:val="auto"/>
        </w:rPr>
      </w:pPr>
    </w:p>
    <w:p>
      <w:pPr>
        <w:ind w:right="220" w:firstLine="588"/>
        <w:spacing w:after="0" w:line="282" w:lineRule="auto"/>
        <w:rPr>
          <w:sz w:val="20"/>
          <w:szCs w:val="20"/>
          <w:color w:val="auto"/>
        </w:rPr>
      </w:pPr>
      <w:r>
        <w:rPr>
          <w:rFonts w:ascii="Times New Roman" w:cs="Times New Roman" w:eastAsia="Times New Roman" w:hAnsi="Times New Roman"/>
          <w:sz w:val="18"/>
          <w:szCs w:val="18"/>
          <w:color w:val="auto"/>
        </w:rPr>
        <w:t>If future reimbursement for approved product candidates, if any, is substantially less than we project, or rebate obligations associated with them are substantially greater than we expect, our net revenue and profitability could be materially and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enjoy the market exclusivity benefits of our orphan drug designation.</w:t>
      </w:r>
    </w:p>
    <w:p>
      <w:pPr>
        <w:spacing w:after="0" w:line="229" w:lineRule="exact"/>
        <w:rPr>
          <w:sz w:val="20"/>
          <w:szCs w:val="20"/>
          <w:color w:val="auto"/>
        </w:rPr>
      </w:pPr>
    </w:p>
    <w:p>
      <w:pPr>
        <w:ind w:right="40" w:firstLine="593"/>
        <w:spacing w:after="0" w:line="254" w:lineRule="auto"/>
        <w:rPr>
          <w:sz w:val="20"/>
          <w:szCs w:val="20"/>
          <w:color w:val="auto"/>
        </w:rPr>
      </w:pPr>
      <w:r>
        <w:rPr>
          <w:rFonts w:ascii="Times New Roman" w:cs="Times New Roman" w:eastAsia="Times New Roman" w:hAnsi="Times New Roman"/>
          <w:sz w:val="18"/>
          <w:szCs w:val="18"/>
          <w:color w:val="auto"/>
        </w:rPr>
        <w:t>Although we have obtained an orphan designation in the treatment of alpha-1 antitrypsin deficiency, the designation may not be applicable to any alpha-1 antitrypsin deficiency product we might get approved and that product may not be the first product to receive approval for that indication. Under the Orphan Drug Act, the first product with an orphan designation receives market exclusivity, which prohibits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alpha-1 antitrypsin deficiency before ARO-AAT, which means that we may not obtain orphan drug exclusivity and could also potentially be blocked from approval until the first product’s orphan drug exclusivity period expires or we demonstrate, if we can, that ARO-AAT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ind w:firstLine="588"/>
        <w:spacing w:after="0" w:line="261" w:lineRule="auto"/>
        <w:rPr>
          <w:sz w:val="20"/>
          <w:szCs w:val="20"/>
          <w:color w:val="auto"/>
        </w:rPr>
      </w:pPr>
      <w:r>
        <w:rPr>
          <w:rFonts w:ascii="Times New Roman" w:cs="Times New Roman" w:eastAsia="Times New Roman" w:hAnsi="Times New Roman"/>
          <w:sz w:val="18"/>
          <w:szCs w:val="18"/>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w:t>
      </w:r>
    </w:p>
    <w:p>
      <w:pPr>
        <w:spacing w:after="0" w:line="252" w:lineRule="auto"/>
        <w:rPr>
          <w:sz w:val="20"/>
          <w:szCs w:val="20"/>
          <w:color w:val="auto"/>
        </w:rPr>
      </w:pPr>
      <w:r>
        <w:rPr>
          <w:rFonts w:ascii="Times New Roman" w:cs="Times New Roman" w:eastAsia="Times New Roman" w:hAnsi="Times New Roman"/>
          <w:sz w:val="18"/>
          <w:szCs w:val="18"/>
          <w:color w:val="auto"/>
        </w:rPr>
        <w:t>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4" w:name="page35"/>
    <w:bookmarkEnd w:id="34"/>
    <w:p>
      <w:pPr>
        <w:ind w:right="200"/>
        <w:spacing w:after="0" w:line="282" w:lineRule="auto"/>
        <w:rPr>
          <w:sz w:val="20"/>
          <w:szCs w:val="20"/>
          <w:color w:val="auto"/>
        </w:rPr>
      </w:pPr>
      <w:r>
        <w:rPr>
          <w:rFonts w:ascii="Times New Roman" w:cs="Times New Roman" w:eastAsia="Times New Roman" w:hAnsi="Times New Roman"/>
          <w:sz w:val="18"/>
          <w:szCs w:val="18"/>
          <w:color w:val="auto"/>
        </w:rPr>
        <w:t>any meaningful competitive advantage. If we are unable to derive value from our licensed or owned intellectual property, the value of your investment may decline.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51" w:lineRule="exact"/>
        <w:rPr>
          <w:sz w:val="20"/>
          <w:szCs w:val="20"/>
          <w:color w:val="auto"/>
        </w:rPr>
      </w:pPr>
    </w:p>
    <w:p>
      <w:pPr>
        <w:ind w:right="60" w:firstLine="588"/>
        <w:spacing w:after="0" w:line="255" w:lineRule="auto"/>
        <w:rPr>
          <w:sz w:val="20"/>
          <w:szCs w:val="20"/>
          <w:color w:val="auto"/>
        </w:rPr>
      </w:pPr>
      <w:r>
        <w:rPr>
          <w:rFonts w:ascii="Times New Roman" w:cs="Times New Roman" w:eastAsia="Times New Roman" w:hAnsi="Times New Roman"/>
          <w:sz w:val="18"/>
          <w:szCs w:val="18"/>
          <w:color w:val="auto"/>
        </w:rPr>
        <w:t>We are party to license agreements with Novartis, Alnylam, City of Hope, and other entities to incorporate their proprietary technologies into our drug products under development.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sales may not be sufficient to recover the amounts that we are obligated to pay to the licensors. If we fail to satisfy our obligations under these agreements, the terms of the licenses may be materially modified, such as by rendering currently exclusive licenses non-exclusive, or it may give our licensors the right to terminate their respective agreement with us, which would limit our ability to implement our current business plan and harm our business and financial condition.</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89" w:lineRule="exact"/>
        <w:rPr>
          <w:sz w:val="20"/>
          <w:szCs w:val="20"/>
          <w:color w:val="auto"/>
        </w:rPr>
      </w:pPr>
    </w:p>
    <w:p>
      <w:pPr>
        <w:ind w:right="140" w:firstLine="588"/>
        <w:spacing w:after="0" w:line="256" w:lineRule="auto"/>
        <w:rPr>
          <w:sz w:val="20"/>
          <w:szCs w:val="20"/>
          <w:color w:val="auto"/>
        </w:rPr>
      </w:pPr>
      <w:r>
        <w:rPr>
          <w:rFonts w:ascii="Times New Roman" w:cs="Times New Roman" w:eastAsia="Times New Roman" w:hAnsi="Times New Roman"/>
          <w:sz w:val="18"/>
          <w:szCs w:val="18"/>
          <w:color w:val="auto"/>
        </w:rPr>
        <w:t>In addition, if our product candidates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and we rely on such owners to obtain, maintain and enforce the patents underlying such licenses.</w:t>
      </w:r>
    </w:p>
    <w:p>
      <w:pPr>
        <w:spacing w:after="0" w:line="121" w:lineRule="exact"/>
        <w:rPr>
          <w:sz w:val="20"/>
          <w:szCs w:val="20"/>
          <w:color w:val="auto"/>
        </w:rPr>
      </w:pPr>
    </w:p>
    <w:p>
      <w:pPr>
        <w:ind w:right="100" w:firstLine="588"/>
        <w:spacing w:after="0" w:line="266"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for our business. In particular, we have obtained licenses from, among others, Novartis and Alnylam. We also expect to enter into additional licenses to third-party intellectual property in the future.</w:t>
      </w:r>
    </w:p>
    <w:p>
      <w:pPr>
        <w:spacing w:after="0" w:line="176" w:lineRule="exact"/>
        <w:rPr>
          <w:sz w:val="20"/>
          <w:szCs w:val="20"/>
          <w:color w:val="auto"/>
        </w:rPr>
      </w:pPr>
    </w:p>
    <w:p>
      <w:pPr>
        <w:ind w:right="60" w:firstLine="588"/>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jc w:val="both"/>
        <w:ind w:right="340" w:firstLine="588"/>
        <w:spacing w:after="0" w:line="261" w:lineRule="auto"/>
        <w:rPr>
          <w:sz w:val="20"/>
          <w:szCs w:val="20"/>
          <w:color w:val="auto"/>
        </w:rPr>
      </w:pPr>
      <w:r>
        <w:rPr>
          <w:rFonts w:ascii="Times New Roman" w:cs="Times New Roman" w:eastAsia="Times New Roman" w:hAnsi="Times New Roman"/>
          <w:sz w:val="18"/>
          <w:szCs w:val="18"/>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1" w:lineRule="exact"/>
        <w:rPr>
          <w:sz w:val="20"/>
          <w:szCs w:val="20"/>
          <w:color w:val="auto"/>
        </w:rPr>
      </w:pPr>
    </w:p>
    <w:p>
      <w:pPr>
        <w:ind w:firstLine="588"/>
        <w:spacing w:after="0" w:line="256" w:lineRule="auto"/>
        <w:rPr>
          <w:sz w:val="20"/>
          <w:szCs w:val="20"/>
          <w:color w:val="auto"/>
        </w:rPr>
      </w:pPr>
      <w:r>
        <w:rPr>
          <w:rFonts w:ascii="Times New Roman" w:cs="Times New Roman" w:eastAsia="Times New Roman" w:hAnsi="Times New Roman"/>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equity interest may be substantially diluted in any additional financing.</w:t>
      </w:r>
    </w:p>
    <w:p>
      <w:pPr>
        <w:spacing w:after="0" w:line="121" w:lineRule="exact"/>
        <w:rPr>
          <w:sz w:val="20"/>
          <w:szCs w:val="20"/>
          <w:color w:val="auto"/>
        </w:rPr>
      </w:pPr>
    </w:p>
    <w:p>
      <w:pPr>
        <w:ind w:right="80" w:firstLine="53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2016:</w:t>
      </w:r>
    </w:p>
    <w:p>
      <w:pPr>
        <w:spacing w:after="0" w:line="68" w:lineRule="exact"/>
        <w:rPr>
          <w:sz w:val="20"/>
          <w:szCs w:val="20"/>
          <w:color w:val="auto"/>
        </w:rPr>
      </w:pPr>
    </w:p>
    <w:p>
      <w:pPr>
        <w:ind w:left="1400" w:right="440" w:hanging="379"/>
        <w:spacing w:after="0" w:line="282"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7,627,119 shares of Common Stock issued in an equity financing in August 2016 that generated $43.2 million of net proceeds to the Company;</w:t>
      </w:r>
    </w:p>
    <w:p>
      <w:pPr>
        <w:spacing w:after="0" w:line="161" w:lineRule="exact"/>
        <w:rPr>
          <w:rFonts w:ascii="Times New Roman" w:cs="Times New Roman" w:eastAsia="Times New Roman" w:hAnsi="Times New Roman"/>
          <w:sz w:val="18"/>
          <w:szCs w:val="18"/>
          <w:color w:val="auto"/>
        </w:rPr>
      </w:pPr>
    </w:p>
    <w:p>
      <w:pPr>
        <w:ind w:left="1400" w:right="620" w:hanging="379"/>
        <w:spacing w:after="0" w:line="282"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1,256,983 shares of Common Stock to Amgen, Inc. pursuant to the Common Stock Purchase Agreement executed with Amgen in September 2016;</w:t>
      </w:r>
    </w:p>
    <w:p>
      <w:pPr>
        <w:spacing w:after="0" w:line="161" w:lineRule="exact"/>
        <w:rPr>
          <w:rFonts w:ascii="Times New Roman" w:cs="Times New Roman" w:eastAsia="Times New Roman" w:hAnsi="Times New Roman"/>
          <w:sz w:val="18"/>
          <w:szCs w:val="18"/>
          <w:color w:val="auto"/>
        </w:rPr>
      </w:pPr>
    </w:p>
    <w:p>
      <w:pPr>
        <w:ind w:left="1400" w:right="200" w:hanging="379"/>
        <w:spacing w:after="0" w:line="282"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1,317,906 shares of Common Stock pursuant to the exercise of stock options, warrants and exchange rights and the vesting of restricted stock units;</w:t>
      </w:r>
    </w:p>
    <w:p>
      <w:pPr>
        <w:spacing w:after="0" w:line="270" w:lineRule="exact"/>
        <w:rPr>
          <w:sz w:val="20"/>
          <w:szCs w:val="20"/>
          <w:color w:val="auto"/>
        </w:rPr>
      </w:pPr>
    </w:p>
    <w:p>
      <w:pPr>
        <w:ind w:firstLine="530"/>
        <w:spacing w:after="0" w:line="261" w:lineRule="auto"/>
        <w:rPr>
          <w:sz w:val="20"/>
          <w:szCs w:val="20"/>
          <w:color w:val="auto"/>
        </w:rPr>
      </w:pPr>
      <w:r>
        <w:rPr>
          <w:rFonts w:ascii="Times New Roman" w:cs="Times New Roman" w:eastAsia="Times New Roman" w:hAnsi="Times New Roman"/>
          <w:sz w:val="18"/>
          <w:szCs w:val="18"/>
          <w:color w:val="auto"/>
        </w:rPr>
        <w:t>As of September 30, 2016, we had 69,746,685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jc w:val="both"/>
        <w:ind w:right="160" w:firstLine="588"/>
        <w:spacing w:after="0" w:line="261" w:lineRule="auto"/>
        <w:rPr>
          <w:sz w:val="20"/>
          <w:szCs w:val="20"/>
          <w:color w:val="auto"/>
        </w:rPr>
      </w:pPr>
      <w:r>
        <w:rPr>
          <w:rFonts w:ascii="Times New Roman" w:cs="Times New Roman" w:eastAsia="Times New Roman" w:hAnsi="Times New Roman"/>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2"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related to our business;</w:t>
      </w:r>
    </w:p>
    <w:p>
      <w:pPr>
        <w:spacing w:after="0" w:line="360"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extend investigation phase, development phase, commercialization phase and other agreements with new and/or existing partners;</w:t>
      </w:r>
    </w:p>
    <w:p>
      <w:pPr>
        <w:spacing w:after="0" w:line="29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status of any or all of our collaborations or products, including clinical trial results;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investor sentiment regarding our technology;</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actions taken by regulatory authorities; such as the U.S. Food and Drug Administration;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developments in the RNA interference or biotechnology fields in general;</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with our products or competitors’ products;</w:t>
      </w:r>
    </w:p>
    <w:p>
      <w:pPr>
        <w:spacing w:after="0" w:line="360" w:lineRule="exact"/>
        <w:rPr>
          <w:rFonts w:ascii="Times New Roman" w:cs="Times New Roman" w:eastAsia="Times New Roman" w:hAnsi="Times New Roman"/>
          <w:sz w:val="18"/>
          <w:szCs w:val="18"/>
          <w:color w:val="auto"/>
        </w:rPr>
      </w:pPr>
    </w:p>
    <w:p>
      <w:pPr>
        <w:ind w:left="400" w:right="180" w:hanging="392"/>
        <w:spacing w:after="0" w:line="28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announcements regarding other companies developing products in the field of biotechnology generally or specifically RNA interference;</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competitive patents or disallowance or loss of our patent rights;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executives;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4" w:right="299" w:bottom="968" w:gutter="0" w:footer="0" w:header="0"/>
        </w:sectPr>
      </w:pPr>
    </w:p>
    <w:bookmarkStart w:id="36" w:name="page37"/>
    <w:bookmarkEnd w:id="36"/>
    <w:p>
      <w:pPr>
        <w:ind w:right="280" w:firstLine="588"/>
        <w:spacing w:after="0" w:line="282" w:lineRule="auto"/>
        <w:rPr>
          <w:sz w:val="20"/>
          <w:szCs w:val="20"/>
          <w:color w:val="auto"/>
        </w:rPr>
      </w:pPr>
      <w:r>
        <w:rPr>
          <w:rFonts w:ascii="Times New Roman" w:cs="Times New Roman" w:eastAsia="Times New Roman" w:hAnsi="Times New Roman"/>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may result in financial losses or harm our reputation and may divert management resources.</w:t>
      </w:r>
    </w:p>
    <w:p>
      <w:pPr>
        <w:spacing w:after="0" w:line="121" w:lineRule="exact"/>
        <w:rPr>
          <w:sz w:val="20"/>
          <w:szCs w:val="20"/>
          <w:color w:val="auto"/>
        </w:rPr>
      </w:pPr>
    </w:p>
    <w:p>
      <w:pPr>
        <w:ind w:right="60" w:firstLine="588"/>
        <w:spacing w:after="0" w:line="255" w:lineRule="auto"/>
        <w:rPr>
          <w:sz w:val="20"/>
          <w:szCs w:val="20"/>
          <w:color w:val="auto"/>
        </w:rPr>
      </w:pPr>
      <w:r>
        <w:rPr>
          <w:rFonts w:ascii="Times New Roman" w:cs="Times New Roman" w:eastAsia="Times New Roman" w:hAnsi="Times New Roman"/>
          <w:sz w:val="18"/>
          <w:szCs w:val="18"/>
          <w:color w:val="auto"/>
        </w:rPr>
        <w:t>When the market price of a stock is volatile, holders of that stock have often initiated securities class action litigation against the company that issued the stock. Certain of our stockholders have recently brought such lawsuits against us, pursuant to which we could incur substantial costs. We cannot predict with certainty the eventual outcome of this or any other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purchases and sales of our Common Stock may be limited, and the sale of a limited number of shares could cause the price to fall sharply.</w:t>
      </w:r>
    </w:p>
    <w:p>
      <w:pPr>
        <w:spacing w:after="0" w:line="121" w:lineRule="exact"/>
        <w:rPr>
          <w:sz w:val="20"/>
          <w:szCs w:val="20"/>
          <w:color w:val="auto"/>
        </w:rPr>
      </w:pPr>
    </w:p>
    <w:p>
      <w:pPr>
        <w:ind w:right="20" w:firstLine="588"/>
        <w:spacing w:after="0" w:line="258" w:lineRule="auto"/>
        <w:rPr>
          <w:sz w:val="20"/>
          <w:szCs w:val="20"/>
          <w:color w:val="auto"/>
        </w:rPr>
      </w:pPr>
      <w:r>
        <w:rPr>
          <w:rFonts w:ascii="Times New Roman" w:cs="Times New Roman" w:eastAsia="Times New Roman" w:hAnsi="Times New Roman"/>
          <w:sz w:val="18"/>
          <w:szCs w:val="18"/>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ind w:firstLine="58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cash dividends on our Common Stock.</w:t>
      </w:r>
    </w:p>
    <w:p>
      <w:pPr>
        <w:spacing w:after="0" w:line="121" w:lineRule="exact"/>
        <w:rPr>
          <w:sz w:val="20"/>
          <w:szCs w:val="20"/>
          <w:color w:val="auto"/>
        </w:rPr>
      </w:pPr>
    </w:p>
    <w:p>
      <w:pPr>
        <w:ind w:right="520" w:firstLine="588"/>
        <w:spacing w:after="0" w:line="282" w:lineRule="auto"/>
        <w:rPr>
          <w:sz w:val="20"/>
          <w:szCs w:val="20"/>
          <w:color w:val="auto"/>
        </w:rPr>
      </w:pPr>
      <w:r>
        <w:rPr>
          <w:rFonts w:ascii="Times New Roman" w:cs="Times New Roman" w:eastAsia="Times New Roman" w:hAnsi="Times New Roman"/>
          <w:sz w:val="18"/>
          <w:szCs w:val="18"/>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51" w:lineRule="exact"/>
        <w:rPr>
          <w:sz w:val="20"/>
          <w:szCs w:val="20"/>
          <w:color w:val="auto"/>
        </w:rPr>
      </w:pPr>
    </w:p>
    <w:p>
      <w:pPr>
        <w:ind w:right="60" w:firstLine="588"/>
        <w:spacing w:after="0" w:line="258" w:lineRule="auto"/>
        <w:rPr>
          <w:sz w:val="20"/>
          <w:szCs w:val="20"/>
          <w:color w:val="auto"/>
        </w:rPr>
      </w:pPr>
      <w:r>
        <w:rPr>
          <w:rFonts w:ascii="Times New Roman" w:cs="Times New Roman" w:eastAsia="Times New Roman" w:hAnsi="Times New Roman"/>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own any real property. The following table summarizes the Company’s leased facilities as of September 30,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60" w:type="dxa"/>
            <w:vAlign w:val="bottom"/>
            <w:gridSpan w:val="2"/>
            <w:vMerge w:val="continue"/>
          </w:tcPr>
          <w:p>
            <w:pPr>
              <w:spacing w:after="0"/>
              <w:rPr>
                <w:sz w:val="15"/>
                <w:szCs w:val="15"/>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60" w:type="dxa"/>
            <w:vAlign w:val="bottom"/>
            <w:tcBorders>
              <w:top w:val="single" w:sz="8" w:color="CFF0FC"/>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Corp.</w:t>
            </w:r>
          </w:p>
        </w:tc>
        <w:tc>
          <w:tcPr>
            <w:tcW w:w="260" w:type="dxa"/>
            <w:vAlign w:val="bottom"/>
            <w:tcBorders>
              <w:top w:val="single" w:sz="8" w:color="CFF0FC"/>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Pasadena, California</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8,500 sq. ft.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26,000</w:t>
            </w:r>
          </w:p>
        </w:tc>
        <w:tc>
          <w:tcPr>
            <w:tcW w:w="136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Headqtrs.</w:t>
            </w:r>
          </w:p>
        </w:tc>
        <w:tc>
          <w:tcPr>
            <w:tcW w:w="21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July 31, 2019</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Former</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Research</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27,000 sq. ft.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83,000</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Facility</w:t>
            </w: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October 31, 2016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New Research</w:t>
            </w:r>
          </w:p>
        </w:tc>
        <w:tc>
          <w:tcPr>
            <w:tcW w:w="1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60,000 sq. ft.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132,000</w:t>
            </w:r>
          </w:p>
        </w:tc>
        <w:tc>
          <w:tcPr>
            <w:tcW w:w="13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Facility</w:t>
            </w:r>
          </w:p>
        </w:tc>
        <w:tc>
          <w:tcPr>
            <w:tcW w:w="21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Auxiliary</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Research</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Middleton, Wisconsin</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2,900 sq. ft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18,000</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Facility</w:t>
            </w: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3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 xml:space="preserve">Legal Proceedings are set forth in our financial statement schedules in Part IV, Item 15 of this Annual Report and are incorporated herein by reference. See Note 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Notes to Consolidated Financial Statements of Part IV, Item 15. </w:t>
      </w:r>
      <w:r>
        <w:rPr>
          <w:rFonts w:ascii="Times New Roman" w:cs="Times New Roman" w:eastAsia="Times New Roman" w:hAnsi="Times New Roman"/>
          <w:sz w:val="18"/>
          <w:szCs w:val="18"/>
          <w:i w:val="1"/>
          <w:iCs w:val="1"/>
          <w:color w:val="auto"/>
        </w:rPr>
        <w:t>Exhibits and Financial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Schedules</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040" w:right="220" w:hanging="1025"/>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Price Range of Common Stock</w:t>
      </w:r>
    </w:p>
    <w:p>
      <w:pPr>
        <w:spacing w:after="0" w:line="11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6.45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60" w:type="dxa"/>
            <w:vAlign w:val="bottom"/>
          </w:tcPr>
          <w:p>
            <w:pPr>
              <w:spacing w:after="0"/>
              <w:rPr>
                <w:sz w:val="20"/>
                <w:szCs w:val="20"/>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bl>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Shares Outstanding</w:t>
      </w:r>
    </w:p>
    <w:p>
      <w:pPr>
        <w:spacing w:after="0" w:line="119"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At December 12, 2016, 74,173,484 shares of the Company’s Common Stock were issued and outstanding, and were owned by 140 stockholders of record, based on information provided by the Company’s transfer agent.</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never paid dividends on its Common Stock and does not anticipate that it will do so in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the Equity Compensation Plans</w:t>
      </w:r>
    </w:p>
    <w:p>
      <w:pPr>
        <w:spacing w:after="0" w:line="11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The disclosure required under this item related to equity compensation plans is incorporated by reference from Item 12 of Part III of this Annual Report on Form 10-K.</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information under this Item has been previously reported on our Current Reports on Form 8-K.</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years ended September 30, 2016, 2015 and 2014.</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3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2011, in each of our Common Stock, the NASDAQ Composite Index and the NASDAQ Biotechnology Index, with investment weighted on the basis of market capitalization.</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comparisons in the following graph are based on historical data and are not intended to forecast the possible future performance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5715</wp:posOffset>
            </wp:positionV>
            <wp:extent cx="6165850" cy="3756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6585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39" w:name="page40"/>
    <w:bookmarkEnd w:id="39"/>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35" w:lineRule="exact"/>
        <w:rPr>
          <w:sz w:val="20"/>
          <w:szCs w:val="20"/>
          <w:color w:val="auto"/>
        </w:rPr>
      </w:pPr>
    </w:p>
    <w:p>
      <w:pPr>
        <w:ind w:left="120" w:right="1780" w:firstLine="397"/>
        <w:spacing w:after="0" w:line="257"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and in previously filed annual reports on Form 10-K of Arrowhead Pharmaceuticals, Inc.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September</w:t>
            </w: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FF0FC"/>
            </w:tcBorders>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8"/>
              </w:rPr>
              <w:t>OPERATING SUMMARY</w:t>
            </w:r>
          </w:p>
        </w:tc>
        <w:tc>
          <w:tcPr>
            <w:tcW w:w="3620" w:type="dxa"/>
            <w:vAlign w:val="bottom"/>
            <w:tcBorders>
              <w:bottom w:val="single" w:sz="8" w:color="CFF0FC"/>
            </w:tcBorders>
            <w:gridSpan w:val="2"/>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158,333</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382,000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175,000</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290,266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146,875</w:t>
            </w:r>
          </w:p>
        </w:tc>
        <w:tc>
          <w:tcPr>
            <w:tcW w:w="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41,454,452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47,267,361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23,138,050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5,391,463</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10,142,786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Salaries and payroll-related costs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19,461,656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16,554,008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12,829,355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6,414,921</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9,940,737</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7,931,184</w:t>
            </w:r>
          </w:p>
        </w:tc>
        <w:tc>
          <w:tcPr>
            <w:tcW w:w="1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5,894,008</w:t>
            </w:r>
          </w:p>
        </w:tc>
        <w:tc>
          <w:tcPr>
            <w:tcW w:w="10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3,488,864</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6,439,323</w:t>
            </w:r>
          </w:p>
        </w:tc>
        <w:tc>
          <w:tcPr>
            <w:tcW w:w="60" w:type="dxa"/>
            <w:vAlign w:val="bottom"/>
            <w:shd w:val="clear" w:color="auto" w:fill="CCEC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11,595,816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10,232,897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5,696,173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1,241,404</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3,260,045</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2,336,207</w:t>
            </w:r>
          </w:p>
        </w:tc>
        <w:tc>
          <w:tcPr>
            <w:tcW w:w="1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1,345,655</w:t>
            </w:r>
          </w:p>
        </w:tc>
        <w:tc>
          <w:tcPr>
            <w:tcW w:w="10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1,751,412</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1,748,975</w:t>
            </w:r>
          </w:p>
        </w:tc>
        <w:tc>
          <w:tcPr>
            <w:tcW w:w="60" w:type="dxa"/>
            <w:vAlign w:val="bottom"/>
            <w:shd w:val="clear" w:color="auto" w:fill="CCEC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Impairment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2,050,817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2,172,387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1,308,047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Contingent consideration - fair value adjustments</w:t>
            </w:r>
          </w:p>
        </w:tc>
        <w:tc>
          <w:tcPr>
            <w:tcW w:w="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(5,862,464)</w:t>
            </w: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1,891,533</w:t>
            </w:r>
          </w:p>
        </w:tc>
        <w:tc>
          <w:tcPr>
            <w:tcW w:w="1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2,375,658</w:t>
            </w:r>
          </w:p>
        </w:tc>
        <w:tc>
          <w:tcPr>
            <w:tcW w:w="10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1,421,652</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C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480" w:type="dxa"/>
            <w:vAlign w:val="bottom"/>
            <w:tcBorders>
              <w:bottom w:val="single" w:sz="8" w:color="CCECFF"/>
            </w:tcBorders>
            <w:gridSpan w:val="3"/>
          </w:tcPr>
          <w:p>
            <w:pPr>
              <w:ind w:left="480"/>
              <w:spacing w:after="0"/>
              <w:rPr>
                <w:sz w:val="20"/>
                <w:szCs w:val="20"/>
                <w:color w:val="auto"/>
              </w:rPr>
            </w:pPr>
            <w:r>
              <w:rPr>
                <w:rFonts w:ascii="Times New Roman" w:cs="Times New Roman" w:eastAsia="Times New Roman" w:hAnsi="Times New Roman"/>
                <w:sz w:val="16"/>
                <w:szCs w:val="16"/>
                <w:color w:val="auto"/>
              </w:rPr>
              <w:t>TOTAL OPERATING EXPENSES (a)</w:t>
            </w:r>
          </w:p>
        </w:tc>
        <w:tc>
          <w:tcPr>
            <w:tcW w:w="4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81,901,059</w:t>
            </w:r>
          </w:p>
        </w:tc>
        <w:tc>
          <w:tcPr>
            <w:tcW w:w="8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96,355,976</w:t>
            </w:r>
          </w:p>
        </w:tc>
        <w:tc>
          <w:tcPr>
            <w:tcW w:w="12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53,451,286</w:t>
            </w:r>
          </w:p>
        </w:tc>
        <w:tc>
          <w:tcPr>
            <w:tcW w:w="10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24,879,542</w:t>
            </w:r>
          </w:p>
        </w:tc>
        <w:tc>
          <w:tcPr>
            <w:tcW w:w="1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21,236,086</w:t>
            </w:r>
          </w:p>
        </w:tc>
        <w:tc>
          <w:tcPr>
            <w:tcW w:w="60" w:type="dxa"/>
            <w:vAlign w:val="bottom"/>
            <w:tcBorders>
              <w:bottom w:val="single" w:sz="8" w:color="CCECFF"/>
            </w:tcBorders>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(81,742,726)</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(95,973,976)</w:t>
            </w: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(53,276,286)</w:t>
            </w: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(24,589,276)</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(21,089,211)</w:t>
            </w:r>
          </w:p>
        </w:tc>
        <w:tc>
          <w:tcPr>
            <w:tcW w:w="60" w:type="dxa"/>
            <w:vAlign w:val="bottom"/>
            <w:shd w:val="clear" w:color="auto" w:fill="CCEC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(81,723,002)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(91,940,882)</w:t>
            </w:r>
          </w:p>
        </w:tc>
        <w:tc>
          <w:tcPr>
            <w:tcW w:w="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(58,725,412)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(31,703,079)</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(22,110,643)</w:t>
            </w:r>
          </w:p>
        </w:tc>
      </w:tr>
      <w:tr>
        <w:trPr>
          <w:trHeight w:val="212"/>
        </w:trPr>
        <w:tc>
          <w:tcPr>
            <w:tcW w:w="20" w:type="dxa"/>
            <w:vAlign w:val="bottom"/>
          </w:tcPr>
          <w:p>
            <w:pPr>
              <w:spacing w:after="0"/>
              <w:rPr>
                <w:sz w:val="18"/>
                <w:szCs w:val="18"/>
                <w:color w:val="auto"/>
              </w:rPr>
            </w:pPr>
          </w:p>
        </w:tc>
        <w:tc>
          <w:tcPr>
            <w:tcW w:w="548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15"/>
        </w:trPr>
        <w:tc>
          <w:tcPr>
            <w:tcW w:w="20" w:type="dxa"/>
            <w:vAlign w:val="bottom"/>
          </w:tcPr>
          <w:p>
            <w:pPr>
              <w:spacing w:after="0"/>
              <w:rPr>
                <w:sz w:val="18"/>
                <w:szCs w:val="18"/>
                <w:color w:val="auto"/>
              </w:rPr>
            </w:pPr>
          </w:p>
        </w:tc>
        <w:tc>
          <w:tcPr>
            <w:tcW w:w="5480" w:type="dxa"/>
            <w:vAlign w:val="bottom"/>
            <w:tcBorders>
              <w:top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CFF"/>
              </w:rPr>
              <w:t>(81,723,002)</w:t>
            </w:r>
          </w:p>
        </w:tc>
        <w:tc>
          <w:tcPr>
            <w:tcW w:w="80" w:type="dxa"/>
            <w:vAlign w:val="bottom"/>
            <w:tcBorders>
              <w:top w:val="single" w:sz="8" w:color="CCECFF"/>
            </w:tcBorders>
            <w:shd w:val="clear" w:color="auto" w:fill="CCECFF"/>
          </w:tcPr>
          <w:p>
            <w:pPr>
              <w:spacing w:after="0"/>
              <w:rPr>
                <w:sz w:val="18"/>
                <w:szCs w:val="18"/>
                <w:color w:val="auto"/>
              </w:rPr>
            </w:pPr>
          </w:p>
        </w:tc>
        <w:tc>
          <w:tcPr>
            <w:tcW w:w="4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CFF"/>
              </w:rPr>
              <w:t>(91,940,882)</w:t>
            </w:r>
          </w:p>
        </w:tc>
        <w:tc>
          <w:tcPr>
            <w:tcW w:w="120" w:type="dxa"/>
            <w:vAlign w:val="bottom"/>
            <w:tcBorders>
              <w:top w:val="single" w:sz="8" w:color="CCECFF"/>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CFF"/>
              </w:rPr>
              <w:t>(58,725,412)</w:t>
            </w:r>
          </w:p>
        </w:tc>
        <w:tc>
          <w:tcPr>
            <w:tcW w:w="100" w:type="dxa"/>
            <w:vAlign w:val="bottom"/>
            <w:tcBorders>
              <w:top w:val="single" w:sz="8" w:color="CCECFF"/>
            </w:tcBorders>
            <w:shd w:val="clear" w:color="auto" w:fill="CCECFF"/>
          </w:tcPr>
          <w:p>
            <w:pPr>
              <w:spacing w:after="0"/>
              <w:rPr>
                <w:sz w:val="18"/>
                <w:szCs w:val="18"/>
                <w:color w:val="auto"/>
              </w:rPr>
            </w:pPr>
          </w:p>
        </w:tc>
        <w:tc>
          <w:tcPr>
            <w:tcW w:w="4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CFF"/>
              </w:rPr>
              <w:t>(31,703,433)</w:t>
            </w:r>
          </w:p>
        </w:tc>
        <w:tc>
          <w:tcPr>
            <w:tcW w:w="12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CFF"/>
              </w:rPr>
              <w:t>(22,110,723)</w:t>
            </w:r>
          </w:p>
        </w:tc>
        <w:tc>
          <w:tcPr>
            <w:tcW w:w="60" w:type="dxa"/>
            <w:vAlign w:val="bottom"/>
            <w:tcBorders>
              <w:top w:val="single" w:sz="8" w:color="CCECFF"/>
            </w:tcBorders>
            <w:shd w:val="clear" w:color="auto" w:fill="CCEC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Net (gain) loss attributable to non-controlling interests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984,795</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80" w:type="dxa"/>
            <w:vAlign w:val="bottom"/>
            <w:tcBorders>
              <w:top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ARROWHEAD</w:t>
            </w:r>
          </w:p>
        </w:tc>
        <w:tc>
          <w:tcPr>
            <w:tcW w:w="160" w:type="dxa"/>
            <w:vAlign w:val="bottom"/>
            <w:tcBorders>
              <w:top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(81,723,002)</w:t>
            </w:r>
          </w:p>
        </w:tc>
        <w:tc>
          <w:tcPr>
            <w:tcW w:w="8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(91,940,882)</w:t>
            </w:r>
          </w:p>
        </w:tc>
        <w:tc>
          <w:tcPr>
            <w:tcW w:w="120" w:type="dxa"/>
            <w:vAlign w:val="bottom"/>
            <w:tcBorders>
              <w:top w:val="single" w:sz="8" w:color="CCECFF"/>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(58,630,190)</w:t>
            </w:r>
          </w:p>
        </w:tc>
        <w:tc>
          <w:tcPr>
            <w:tcW w:w="10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(31,143,289)</w:t>
            </w:r>
          </w:p>
        </w:tc>
        <w:tc>
          <w:tcPr>
            <w:tcW w:w="12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(21,125,928)</w:t>
            </w:r>
          </w:p>
        </w:tc>
        <w:tc>
          <w:tcPr>
            <w:tcW w:w="60" w:type="dxa"/>
            <w:vAlign w:val="bottom"/>
            <w:tcBorders>
              <w:top w:val="single" w:sz="8" w:color="CCECFF"/>
            </w:tcBorders>
            <w:shd w:val="clear" w:color="auto" w:fill="CCEC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SHARE (BASIC AND DILUTED):</w:t>
            </w:r>
          </w:p>
        </w:tc>
        <w:tc>
          <w:tcPr>
            <w:tcW w:w="4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CCEC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CFF"/>
            </w:tcBorders>
            <w:gridSpan w:val="3"/>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Income (Loss) attributable to Arrowhead common shareholders</w:t>
            </w:r>
          </w:p>
        </w:tc>
        <w:tc>
          <w:tcPr>
            <w:tcW w:w="1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60" w:type="dxa"/>
            <w:vAlign w:val="bottom"/>
            <w:tcBorders>
              <w:bottom w:val="single" w:sz="8" w:color="CCECFF"/>
            </w:tcBorders>
            <w:shd w:val="clear" w:color="auto" w:fill="CCEC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61,050,880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57,358,442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46,933,030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24,002,224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11,129,766</w:t>
            </w:r>
          </w:p>
        </w:tc>
        <w:tc>
          <w:tcPr>
            <w:tcW w:w="60" w:type="dxa"/>
            <w:vAlign w:val="bottom"/>
          </w:tcPr>
          <w:p>
            <w:pPr>
              <w:spacing w:after="0"/>
              <w:rPr>
                <w:sz w:val="24"/>
                <w:szCs w:val="24"/>
                <w:color w:val="auto"/>
              </w:rPr>
            </w:pPr>
          </w:p>
        </w:tc>
      </w:tr>
      <w:tr>
        <w:trPr>
          <w:trHeight w:val="35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CASH DIVDEND PAID PER COMMON SHARE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186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284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FF0FC"/>
            </w:tcBorders>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FINANCIAL POSITION SUMMARY</w:t>
            </w:r>
          </w:p>
        </w:tc>
        <w:tc>
          <w:tcPr>
            <w:tcW w:w="28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85,366,448</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81,214,354</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132,510,610</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19,114,444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3,377,288</w:t>
            </w:r>
          </w:p>
        </w:tc>
        <w:tc>
          <w:tcPr>
            <w:tcW w:w="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AND LONG-TERM INVESTMENTS (c)</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17,539,902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44,741,378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10,732,414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106,500</w:t>
            </w:r>
          </w:p>
        </w:tc>
        <w:tc>
          <w:tcPr>
            <w:tcW w:w="60" w:type="dxa"/>
            <w:vAlign w:val="bottom"/>
            <w:shd w:val="clear" w:color="auto" w:fill="CFF0FC"/>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ASSETS (b)</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128,176,505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132,267,914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182,816,756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37,329,631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16,527,818</w:t>
            </w:r>
          </w:p>
        </w:tc>
        <w:tc>
          <w:tcPr>
            <w:tcW w:w="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758,340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972,331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1,282,458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1,497,259</w:t>
            </w:r>
          </w:p>
        </w:tc>
        <w:tc>
          <w:tcPr>
            <w:tcW w:w="60" w:type="dxa"/>
            <w:vAlign w:val="bottom"/>
            <w:shd w:val="clear" w:color="auto" w:fill="CFF0FC"/>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OTHER LONG-TERM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7,508,452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6,204,917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4,226,137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1,808,709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1,108,563</w:t>
            </w:r>
          </w:p>
        </w:tc>
        <w:tc>
          <w:tcPr>
            <w:tcW w:w="60" w:type="dxa"/>
            <w:vAlign w:val="bottom"/>
          </w:tcPr>
          <w:p>
            <w:pPr>
              <w:spacing w:after="0"/>
              <w:rPr>
                <w:sz w:val="18"/>
                <w:szCs w:val="18"/>
                <w:color w:val="auto"/>
              </w:rPr>
            </w:pPr>
          </w:p>
        </w:tc>
      </w:tr>
    </w:tbl>
    <w:p>
      <w:pPr>
        <w:spacing w:after="0" w:line="228" w:lineRule="exact"/>
        <w:rPr>
          <w:sz w:val="20"/>
          <w:szCs w:val="20"/>
          <w:color w:val="auto"/>
        </w:rPr>
      </w:pPr>
    </w:p>
    <w:p>
      <w:pPr>
        <w:ind w:left="760" w:right="20" w:hanging="374"/>
        <w:spacing w:after="0" w:line="253"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our Total Operating Expenses during the year ended September 30, 2016 is primarily due to a one-time $10.1 million expense related to the acquisition of in-process research and development from the Novartis asset acquisition in March 2015. We also had a $5.8 million reduction in our contingent consideration obligation associated with our acquisition of the Roche RNAi business. This was driven by the Company’s decision to discontinue its clinical trial candidates: ARC-520, ARC-AAT and ARC-521. Lastly, the decrease in research and development expenses is primarily due to reduced expenses associated with the drug manufacturing campaign to support our Phase 2 studies for ARC-520. We expect research and development expenses to decrease in the near term with the discontinuation of our clinical candidates; however, as our preclinical candidates progress, these expenses could increase.</w:t>
      </w:r>
    </w:p>
    <w:p>
      <w:pPr>
        <w:spacing w:after="0" w:line="3" w:lineRule="exact"/>
        <w:rPr>
          <w:rFonts w:ascii="Times New Roman" w:cs="Times New Roman" w:eastAsia="Times New Roman" w:hAnsi="Times New Roman"/>
          <w:sz w:val="18"/>
          <w:szCs w:val="18"/>
          <w:color w:val="auto"/>
        </w:rPr>
      </w:pPr>
    </w:p>
    <w:p>
      <w:pPr>
        <w:ind w:left="760" w:right="240" w:hanging="374"/>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and Cash Equivalents and Total Assets remained relatively consistent as of September 30, 2016 as compared to September 30, 2015. This was due to an equity financing in August 2016 which yielded net proceeds of $43.2 million to the Company, and $14 million of upfront payments and equity investments from the Company’s Collaboration and License Agreements and Common Stock Purchase Agreement with Amgen in September 2016. These inflows offset cash outflows for operating expenses.</w:t>
      </w:r>
    </w:p>
    <w:p>
      <w:pPr>
        <w:spacing w:after="0" w:line="1" w:lineRule="exact"/>
        <w:rPr>
          <w:rFonts w:ascii="Times New Roman" w:cs="Times New Roman" w:eastAsia="Times New Roman" w:hAnsi="Times New Roman"/>
          <w:sz w:val="18"/>
          <w:szCs w:val="18"/>
          <w:color w:val="auto"/>
        </w:rPr>
      </w:pPr>
    </w:p>
    <w:p>
      <w:pPr>
        <w:ind w:left="760" w:hanging="374"/>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Short and Long-Term Investments all matured during the year ended September 30, 2016, and the Company had not reinvested any of its cash balances as of that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0" w:name="page41"/>
    <w:bookmarkEnd w:id="40"/>
    <w:p>
      <w:pPr>
        <w:ind w:right="106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Description of Business</w:t>
      </w:r>
    </w:p>
    <w:p>
      <w:pPr>
        <w:spacing w:after="0" w:line="2"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formerly known as Arrowhead Research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 cardiovascular target under a license and collaboration agreement with Amgen, Inc., a Delaware corporation (“Amgen”). ARO-LPA for cardiovascular disease was recently out-licensed to Amgen.</w:t>
      </w:r>
    </w:p>
    <w:p>
      <w:pPr>
        <w:spacing w:after="0" w:line="77"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In April 2016, the Company changed its name from Arrowhead Research Corporation to Arrowhead Pharmaceuticals, Inc., to better reflect the Company’s focus on advancing products through clinical development to bring innovative new medicines to patients.</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40" w:firstLine="485"/>
        <w:spacing w:after="0" w:line="253" w:lineRule="auto"/>
        <w:rPr>
          <w:sz w:val="20"/>
          <w:szCs w:val="20"/>
          <w:color w:val="auto"/>
        </w:rPr>
      </w:pPr>
      <w:r>
        <w:rPr>
          <w:rFonts w:ascii="Times New Roman" w:cs="Times New Roman" w:eastAsia="Times New Roman" w:hAnsi="Times New Roman"/>
          <w:sz w:val="18"/>
          <w:szCs w:val="18"/>
          <w:color w:val="auto"/>
        </w:rPr>
        <w:t>During fiscal year 2016, the Company continued to develop its clinical candidates, ARC-520 and ARC-521, for the treatment of chronic hepatitis B infection as well as its second clinical candidate,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discontinued clinical candidates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has also reduced its workforce by approximately 30%, while maintaining resources necessary to support current and potential future partner-based programs and the Company’s pipeline.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41" w:name="page42"/>
    <w:bookmarkEnd w:id="41"/>
    <w:p>
      <w:pPr>
        <w:ind w:firstLine="833"/>
        <w:spacing w:after="0" w:line="252" w:lineRule="auto"/>
        <w:rPr>
          <w:sz w:val="20"/>
          <w:szCs w:val="20"/>
          <w:color w:val="auto"/>
        </w:rPr>
      </w:pPr>
      <w:r>
        <w:rPr>
          <w:rFonts w:ascii="Times New Roman" w:cs="Times New Roman" w:eastAsia="Times New Roman" w:hAnsi="Times New Roman"/>
          <w:sz w:val="18"/>
          <w:szCs w:val="18"/>
          <w:color w:val="auto"/>
        </w:rPr>
        <w:t>The Company also continued progressing with its preclinical candidates including ARO-F12, ARO-HIF2 and ARO-LPA. The Company’s most significant development for its preclinical candidates was for ARO-LPA. On September 28, 2016, the Company entered into two Collaboration and License agreements, and a Common Stock Purchase Agreement with Amgen. Under one of the license agreements (the “First Collaboration and License Agreement”), Amgen will receive an option to a worldwide, exclusive license for an RNAi therapy for ARO-AMG1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 undisclosed genetically validated cardiovascular target. Under the other license agreement (the “Second Collaboration and License Agreement”), Amgen will receive a worldwide, exclusive license to Arrowhead’s novel, RNAi ARO-LPA program. These RNAi molecules are designed to reduce elevated lipoprotein(a), which is a genetically validated, independent risk factor for atherosclerotic cardiovascular disease. In both agreements, Amgen will be wholly responsible for clinical development and commercialization. Under the terms of the agreements taken together, the Company will receive $35 million in upfront payments, $21.5 million in the form of an equity investment by Amgen in the Company’s Common Stock, and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 Regarding ARO-F12, in November 2016, the Company presented data showing that its developed triggers gave greater than 95% reduction of serum F12 levels after a single subcutaneous administration with no increased bleeding risk in its preclinical studies. This data illustrates the Company’s advancements in its subcutaneous delivery systems. The Company is conducting relevant disease models and is considering other potential studies to support advancement of ARO-F12 into clinical trials. Regarding ARO-HIF2, in April 2016, the Company presented data showing that ARO-HIF2 inhibited renal cell carcinoma growth and promoted tumor cell death in its preclinical studies. ARO-HIF2 is the Company’s first RNAi therapeutic to target tissues outside the liver.</w:t>
      </w:r>
    </w:p>
    <w:p>
      <w:pPr>
        <w:spacing w:after="0" w:line="196" w:lineRule="exact"/>
        <w:rPr>
          <w:sz w:val="20"/>
          <w:szCs w:val="20"/>
          <w:color w:val="auto"/>
        </w:rPr>
      </w:pPr>
    </w:p>
    <w:p>
      <w:pPr>
        <w:ind w:firstLine="665"/>
        <w:spacing w:after="0" w:line="252" w:lineRule="auto"/>
        <w:rPr>
          <w:sz w:val="20"/>
          <w:szCs w:val="20"/>
          <w:color w:val="auto"/>
        </w:rPr>
      </w:pPr>
      <w:r>
        <w:rPr>
          <w:rFonts w:ascii="Times New Roman" w:cs="Times New Roman" w:eastAsia="Times New Roman" w:hAnsi="Times New Roman"/>
          <w:sz w:val="18"/>
          <w:szCs w:val="18"/>
          <w:color w:val="auto"/>
        </w:rPr>
        <w:t>In January 2016, the Company entered into a new lease for a Madison, Wisconsin research facility. The 10-year lease is for approximately 60,000 square feet of office and laboratory space located at 502 South Rosa Road, Madison, Wisconsin. This lease will replace the Company’s current research facility office lease as of September 30, 2016, also with University Research Park, Inc., for the facility located at 465 Science Drive, Madison Wisconsin. The larger facility is designed to accommodate increased research and development space needed for the Company’s pipeline of current and future drug candidates. The initial term of the lease commenced on January 1, 2016, with occupancy occurring in October 2016. The lease payments and payments against a note payable for a tenant improvement allowance, which began on October 1, 2016, will total approximately $15.2 million over the initial 10-year term. We also estimate payments for our pro rata share of certain real estate taxes, operating expenses and common area maintenance expenses to be approximately $0.6 million for the first year of the lease, and these payments will continue throughout the initial 10-year term. We have paid or accrued approximately $7.0 million for leasehold improvements as of September 30, 2016, net of tenant improvement allowances, and the work on the facility was substantially completed in October 2016. The primary tenant improvement allowance of $2.1 million is accounted for as deferred rent and the secondary tenant improvement allowance of $2.7 million is accounted for as a note payable on the Company’s Consolidated Balance Sheet. Pursuant to the lease, within six months of the expiration of the initial 10-year term, we have the option to extend the lease for up to two additional five-year terms, with certain annual increases in base rent. Additionally, on January 8, 2016, we entered into an amendment to our research facility office lease for property located at 465 Science Drive, Madison, Wisconsin with University Research Park, Inc. to terminate the lease on this property, effective on October 31, 2016.</w:t>
      </w:r>
    </w:p>
    <w:p>
      <w:pPr>
        <w:spacing w:after="0" w:line="199"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Net losses were $81.7 million, $91.9 million and $58.7 million during the years ended September 30, 2016, 2015 and 2014, respectively. Diluted losses per share were $1.34, $1.60 and $1.25 during the years ended September 30, 2016, 2015 and 2014, respectively.</w:t>
      </w:r>
    </w:p>
    <w:p>
      <w:pPr>
        <w:spacing w:after="0" w:line="162"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Company strengthened its liquidity and financial position through an equity offering completed in August 2016, which generated approximately $43.2 million of net cash proceeds for the Company. Additionally, the Company received $14 million of the $56.5 million in upfront payments and equity investments from Amgen in September 2016 and received the remaining proceeds in November 2016. These cash proceeds secured the funding needed to continue to advance our preclinical candidates. The Company had $85.4 million of cash and cash equivalents and $128.2 million of total assets as of September 30, 2016, as compared to $81.2 million and $132.3 million as of September 30, 2015, respectively. Based upon the Company’s current cash resources and operating plan, the Company expects to have sufficient liquidity to fund operations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588"/>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100" w:firstLine="588"/>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control of the vendor.</w:t>
      </w:r>
    </w:p>
    <w:p>
      <w:pPr>
        <w:spacing w:after="0" w:line="184"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Under either method, revenue is limited to the lesser of the cumulative amount of payments received or the cumulative amount of revenue earned, as calculated under either method, as of the period ending date. Significant management judgment is required in determining the level of effort required under an arrangement and the period over which the Company is expected to complete its performance obligations under an arrangement.</w:t>
      </w:r>
    </w:p>
    <w:p>
      <w:pPr>
        <w:spacing w:after="0" w:line="19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3" w:name="page44"/>
    <w:bookmarkEnd w:id="43"/>
    <w:p>
      <w:pPr>
        <w:ind w:right="300"/>
        <w:spacing w:after="0" w:line="282" w:lineRule="auto"/>
        <w:rPr>
          <w:sz w:val="20"/>
          <w:szCs w:val="20"/>
          <w:color w:val="auto"/>
        </w:rPr>
      </w:pPr>
      <w:r>
        <w:rPr>
          <w:rFonts w:ascii="Times New Roman" w:cs="Times New Roman" w:eastAsia="Times New Roman" w:hAnsi="Times New Roman"/>
          <w:sz w:val="18"/>
          <w:szCs w:val="18"/>
          <w:color w:val="auto"/>
        </w:rPr>
        <w:t>achieved after the performance period has completed and all performance obligations have been delivered, then the Company will recognize the milestone payment as revenue in its entirety in the period the milestone was achieved.</w:t>
      </w:r>
    </w:p>
    <w:p>
      <w:pPr>
        <w:spacing w:after="0" w:line="162"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 – Amgen, Inc.</w:t>
      </w:r>
    </w:p>
    <w:p>
      <w:pPr>
        <w:spacing w:after="0" w:line="119"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Under the Second Collaboration and License Agreement, Amgen will receive a worldwide, exclusive license to Arrowhead’s novel, RNAi ARO-LPA program. These RNAi molecules are designed to reduce elevated lipoprotein(a), which is a genetically validated, independent risk factor for atherosclerotic cardiovascular disease. Under the First Collaboration and License Agreement, Amgen will receive an option to a worldwide, exclusive license for ARO-AMG1, an RNAi therapy for an undisclosed genetically validated cardiovascular target. In both agreements, Amgen will be wholly responsible for clinical development and commercialization.</w:t>
      </w:r>
    </w:p>
    <w:p>
      <w:pPr>
        <w:spacing w:after="0" w:line="18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8"/>
          <w:szCs w:val="18"/>
          <w:color w:val="auto"/>
        </w:rPr>
        <w:t>Under the Common Stock Purchase Agreement, the Company sold 3,002,793 shares of Common Stock to Amgen at a price of $7.16 per share, which represents the 30-day volume-weighted average price of the Common Stock on the NASDAQ stock market over the 30 trading days preceding execution. The Common Stock was delivered in two closings per the terms of the agreement. The first tranche of 1,256,983 shares of Common Stock was issued on September 29, 2016, and the Company received proceeds of approximately $9 million. The second tranche of 1,745,810 shares was subject to Hart-Scott-Rodino clearance which was reached on November 18, 2016. The Company received proceeds of approximately $12.5 million from this tranche of shares. Subject to Amgen’s exercise of the Option, as defined in the First Collaboration and License Agreement, Amgen has agreed to purchase, and the Company has agreed to sell, an additional $5 million worth of shares of Common Stock based on a 30 trading day formula surrounding the date of the Option exercise.</w:t>
      </w:r>
    </w:p>
    <w:p>
      <w:pPr>
        <w:spacing w:after="0" w:line="189"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will receive $35 million in upfront payments, $21.5 million in the form of an equity investment by Amgen in the Company’s Common Stock, and up to $617 million in option payments and development, regulatory and sales milestone payments. The Company is further eligible to receive single-digit royalties for sales of products under the First Collaboration and License Agreement and up to low double-digit royalties for sales of products under the Second Collaboration and License Agreement.</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8"/>
          <w:szCs w:val="18"/>
          <w:color w:val="auto"/>
        </w:rPr>
        <w:t>Under the terms of the First Collaboration and License Agreement, the Company is granting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First Collaboration and License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When multiple deliverables are accounted for as a single unit of accounting, the Company bases its revenue recognition pattern on the final deliverable. The Company will recognize revenue on a straight-line basis from October 1, 2016, through September 30, 2018. The due date for achieving the Arrowhead Deliverable, as defined in the agreement, is September 28, 2018. The Company received the upfront payment of $5 million due under this agreement in September 2016. It has been initially recorded as deferred revenue in the Company’s Consolidated Balance Sheets, and will be amortized over the period discussed above.</w:t>
      </w:r>
    </w:p>
    <w:p>
      <w:pPr>
        <w:spacing w:after="0" w:line="304"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8"/>
          <w:szCs w:val="18"/>
          <w:color w:val="auto"/>
        </w:rPr>
        <w:t>Under the terms of the Second Collaboration and License Agreement, the Company is granting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Second Collaboration and License Agreement include the license and the oversight of certain of the development and manufacturing activities.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When multiple deliverables are accounted for as a single unit of accounting, the Company bases its revenue recognition pattern on the final deliverable.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It will be initially recorded as deferred revenue and amortized over the period discussed above.</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For performance-based stock awards, the value of the award is measured at the grant date.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Assets and Liabilities</w:t>
      </w:r>
    </w:p>
    <w:p>
      <w:pPr>
        <w:spacing w:after="0" w:line="11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summarizes our results of operations for the following periods indicated:</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3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35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(81,742,726)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(95,973,976)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(53,276,286)</w:t>
            </w: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(81,723,002)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(91,940,882)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(58,725,412)</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(81,723,002)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(91,940,882)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(58,725,412)</w:t>
            </w: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(Basic and Diluted)</w:t>
            </w:r>
          </w:p>
        </w:tc>
        <w:tc>
          <w:tcPr>
            <w:tcW w:w="1120" w:type="dxa"/>
            <w:vAlign w:val="bottom"/>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9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decrease in our operating loss during the year ended September 30, 2016 is primarily due to a one-time $10.1 million expense related to the acquisition of in-process research and development from the Novartis asset acquisition in March 2015. We also had a $5.8 million reduction in our contingent consideration obligation associated with our acquisition of the Roche RNAi business. This was driven by the Company’s decision to discontinue its clinical trial candidates: ARC-520, ARC-AAT and ARC-521. Lastly, the decrease in research and development expenses is primarily due to reduced expenses associated with the drug manufacturing campaign to support our Phase 2 studies for ARC-520. We expect research and development expenses to decrease in the near term with the discontinuation of our current clinical candidates, however, as our preclinical candidates progress, these expenses could increase.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Comparison for 2016 and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Total revenue was $158,333 for the year ended September 30, 2016 and $382,000 for the year ended September 30, 2015. Revenue is primarily related to licensed technology. In addition, the Company had collaboration revenue of $160,000 during the year ended September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2016 and 2015 are shown in the tables below.</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12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260" w:type="dxa"/>
            <w:vAlign w:val="bottom"/>
          </w:tcPr>
          <w:p>
            <w:pPr>
              <w:spacing w:after="0"/>
              <w:rPr>
                <w:sz w:val="13"/>
                <w:szCs w:val="13"/>
                <w:color w:val="auto"/>
              </w:rPr>
            </w:pPr>
          </w:p>
        </w:tc>
        <w:tc>
          <w:tcPr>
            <w:tcW w:w="216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40" w:type="dxa"/>
            <w:vAlign w:val="bottom"/>
            <w:tcBorders>
              <w:bottom w:val="single" w:sz="8" w:color="B6EAFC"/>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B6EA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60" w:type="dxa"/>
            <w:vAlign w:val="bottom"/>
            <w:tcBorders>
              <w:bottom w:val="single" w:sz="8" w:color="B6EAFC"/>
            </w:tcBorders>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40" w:type="dxa"/>
            <w:vAlign w:val="bottom"/>
            <w:tcBorders>
              <w:bottom w:val="single" w:sz="8" w:color="B6EA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B6EA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B6EA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(11,576)</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Laboratory supplies and services expense increased $175,000 from $2,531,000 during the year ended September 30, 2015 to $2,706,000 during the current period. The increase in laboratory supplies and services is a result of additional supply purchases necessary to support the expansion of the Company’s preclinical pipeline as well as the development of the subcutaneous versions of its drug candidates.</w:t>
      </w:r>
    </w:p>
    <w:p>
      <w:pPr>
        <w:spacing w:after="0" w:line="176"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color w:val="auto"/>
        </w:rPr>
        <w:t>In vivo studies expense increased $1,055,000 from $556,000 during the year ended September 30, 2015 to $1,611,000 during the current period. In vivo expense can vary depending on the stage of preclinical candidates, the nature and amount of testing required and the varying costs of different in vivo testing models. The expense in both periods relates to studies in connection with the development of new clinical candidates, and the increase in fiscal year 2016 was primarily driven by studies for ARO-LPA before it was licensed to Amgen.</w:t>
      </w:r>
    </w:p>
    <w:p>
      <w:pPr>
        <w:spacing w:after="0" w:line="1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Outside labs and contract services expense decreased $334,000 from $489,000 during the year ended September 30, 2015 to $155,000 during the current period. The decrease in the current period primarily relates to reduced contracted labor services and more functions being performed in house.</w:t>
      </w:r>
    </w:p>
    <w:p>
      <w:pPr>
        <w:spacing w:after="0" w:line="162"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Toxicity/efficacy studies expense increased $1,194,000 from $6,572,000 during the year ended September 30, 2015 to $7,766,000 during the current period. This category includes IND-enabling toxicology studies, post-IND toxicology studies, such as long-term toxicology studies, and other efficacy studies. The increase primarily relates to toxicology studies related to ARC-521. We anticipate this expense to decrease in the near term with the discontinuation of our clinical candidates.</w:t>
      </w:r>
    </w:p>
    <w:p>
      <w:pPr>
        <w:spacing w:after="0" w:line="180"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Drug manufacturing expense decreased $11,576,000 from $21,431,000 during the year ended September 30, 2015 to $9,855,000 during the current period. The decrease primarily relates to the substantial completion of our ARC-520 Phase 2b manufacturing campaign during fiscal 2015. The current period expense primarily relates to manufacturing for ARC-521 clinical trials. We anticipate this expense to decrease in the near term with the discontinuation of our clinical candidates.</w:t>
      </w:r>
    </w:p>
    <w:p>
      <w:pPr>
        <w:spacing w:after="0" w:line="180"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Clinical trials expense increased $1,471,000 from $13,329,000 during the year ended September 30, 2015 to $14,800,000 during the current period. In both periods, the primary driver of the expenses was related to ARC-520 Phase 2b trials. We also incurred costs in fiscal 2016 related to our clinical trials for ARC-AAT and ARC-521. We anticipate this expense to decrease in the near term with the discontinuation of our clinical candidates.</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License, royalty and milestones expense increased $1,989,000 from $1,065,000 during the year ended September 30, 2015 to $3,054,000 during the current period.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$3 million payment in fiscal 2016 and a $1 million payment in fiscal 2015.</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Facilities expense increased $338,000 from $977,000 during the year ended September 30, 2015 to $1,315,000 during the current period. The increase relates to rent for our additional research and development facility in Middleton, Wisconsin and increased repairs and maintenance costs for our lab equipment. We anticipate this expense to increase in the near term due to the lease we entered into for the new research and development facility in Madison, Wisconsin.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7" w:name="page48"/>
    <w:bookmarkEnd w:id="47"/>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Other research expense decreased $125,000 from $317,000 during the year ended September 30, 2015 to $192,000 during the current period. The decrease in the current period primarily relates to costs associated with a collaboration agreement to identify muscle targeting peptide molecules, for which the Company has been reimbursed from its collaboration partner.</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Salary and Payroll-Related Expenses</w:t>
      </w:r>
    </w:p>
    <w:p>
      <w:pPr>
        <w:spacing w:after="0" w:line="121" w:lineRule="exact"/>
        <w:rPr>
          <w:sz w:val="20"/>
          <w:szCs w:val="20"/>
          <w:color w:val="auto"/>
        </w:rPr>
      </w:pPr>
    </w:p>
    <w:p>
      <w:pPr>
        <w:ind w:right="60" w:firstLine="518"/>
        <w:spacing w:after="0" w:line="281" w:lineRule="auto"/>
        <w:rPr>
          <w:sz w:val="20"/>
          <w:szCs w:val="20"/>
          <w:color w:val="auto"/>
        </w:rPr>
      </w:pPr>
      <w:r>
        <w:rPr>
          <w:rFonts w:ascii="Times New Roman" w:cs="Times New Roman" w:eastAsia="Times New Roman" w:hAnsi="Times New Roman"/>
          <w:sz w:val="17"/>
          <w:szCs w:val="17"/>
          <w:color w:val="auto"/>
        </w:rPr>
        <w:t>The Company employs scientific, technical and administrative staff at its corporate offices and its research facilities. Salaries and payroll-related expense consists of salaries, bonuses, payroll taxes and related benefits. Salary and payroll-related expenses include two major categories, based on the primary activities of each employee: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Twelve Months</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Twelve Months</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Ended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 of</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Ended</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 of</w:t>
            </w:r>
          </w:p>
        </w:tc>
        <w:tc>
          <w:tcPr>
            <w:tcW w:w="66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Increase (Decrease)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40" w:type="dxa"/>
            <w:vAlign w:val="bottom"/>
            <w:tcBorders>
              <w:bottom w:val="single" w:sz="8" w:color="B6EA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color w:val="auto"/>
              </w:rPr>
              <w:t>September 30, 2016</w:t>
            </w:r>
          </w:p>
        </w:tc>
        <w:tc>
          <w:tcPr>
            <w:tcW w:w="24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Expense Category</w:t>
            </w:r>
          </w:p>
        </w:tc>
        <w:tc>
          <w:tcPr>
            <w:tcW w:w="30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September 30, 2015</w:t>
            </w:r>
          </w:p>
        </w:tc>
        <w:tc>
          <w:tcPr>
            <w:tcW w:w="24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Expense Category</w:t>
            </w:r>
          </w:p>
        </w:tc>
        <w:tc>
          <w:tcPr>
            <w:tcW w:w="320" w:type="dxa"/>
            <w:vAlign w:val="bottom"/>
            <w:tcBorders>
              <w:bottom w:val="single" w:sz="8" w:color="B6EAFC"/>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240" w:type="dxa"/>
            <w:vAlign w:val="bottom"/>
            <w:shd w:val="clear" w:color="auto" w:fill="B6EAFC"/>
          </w:tcPr>
          <w:p>
            <w:pPr>
              <w:spacing w:after="0"/>
              <w:rPr>
                <w:sz w:val="18"/>
                <w:szCs w:val="18"/>
                <w:color w:val="auto"/>
              </w:rPr>
            </w:pPr>
          </w:p>
        </w:tc>
        <w:tc>
          <w:tcPr>
            <w:tcW w:w="14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24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660" w:type="dxa"/>
            <w:vAlign w:val="bottom"/>
            <w:shd w:val="clear" w:color="auto" w:fill="B6EAFC"/>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24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6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vMerge w:val="continue"/>
            <w:shd w:val="clear" w:color="auto" w:fill="B6EAFC"/>
          </w:tcPr>
          <w:p>
            <w:pPr>
              <w:spacing w:after="0"/>
              <w:rPr>
                <w:sz w:val="18"/>
                <w:szCs w:val="18"/>
                <w:color w:val="auto"/>
              </w:rPr>
            </w:pPr>
          </w:p>
        </w:tc>
        <w:tc>
          <w:tcPr>
            <w:tcW w:w="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240" w:type="dxa"/>
            <w:vAlign w:val="bottom"/>
            <w:shd w:val="clear" w:color="auto" w:fill="B6EAFC"/>
          </w:tcPr>
          <w:p>
            <w:pPr>
              <w:spacing w:after="0"/>
              <w:rPr>
                <w:sz w:val="18"/>
                <w:szCs w:val="18"/>
                <w:color w:val="auto"/>
              </w:rPr>
            </w:pPr>
          </w:p>
        </w:tc>
        <w:tc>
          <w:tcPr>
            <w:tcW w:w="14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24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660" w:type="dxa"/>
            <w:vAlign w:val="bottom"/>
            <w:shd w:val="clear" w:color="auto" w:fill="B6EAFC"/>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24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6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R&amp;D compensation expense increased $2,278,000 from $11,605,000 during the year ended September 30, 2015 to $13,883,000 during the current period. An increase in headcount accounted for the majority of the change in compensation-related expense. We anticipate this expense to decrease in the near term due to the discontinuation of our clinical candidates and reduction in R&amp;D headcount.</w:t>
      </w:r>
    </w:p>
    <w:p>
      <w:pPr>
        <w:spacing w:after="0" w:line="176"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G&amp;A compensation expense increased $630,000 from $4,949,000 during the year ended September 30, 2015 to $5,579,000 during the current period. Annual merit increases accounted for the majority of the change in compensation-related expense.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40" w:type="dxa"/>
            <w:vAlign w:val="bottom"/>
            <w:tcBorders>
              <w:bottom w:val="single" w:sz="8" w:color="B6EAFC"/>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60" w:type="dxa"/>
            <w:vAlign w:val="bottom"/>
            <w:tcBorders>
              <w:bottom w:val="single" w:sz="8" w:color="B6EA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60" w:type="dxa"/>
            <w:vAlign w:val="bottom"/>
            <w:tcBorders>
              <w:bottom w:val="single" w:sz="8" w:color="B6EA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B6EA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$212,000 from $3,989,000 during the year ended September 30, 2015 to $4,201,000 during the current period. The increase in professional fees primarily related to higher legal fees related to recent litigation events. See Note 7 – Commitments and Contingencies for further discussion.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Patent expense increased $579,000 from $950,000 during the year ended September 30, 2015 to $1,529,000 during the current period. Patent expense costs increased due to additional prosecution requirements associated with new patents acquired through the Novartis asset acquisition.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84"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Facilities-related expense was consistent at $308,000 during the year ended September 30, 2015 and $320,000 in the current period. Facilities expense represents the expense associated with our corporate headquarters in Pasadena.</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Travel expense was consistent at $841,000 during the year ended September 30, 2015 and $864,000 during the current period. Travel expense is incurred to support our R&amp;D function, primarily our GMP manufacturing campaign and our clinical trials, as well as other corporate and business development related travel. We anticipate this expense to decrease in the near term due to the discontinuation of our clinical candidates and reduction in R&amp;D headcount.</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Business insurance expense increased $109,000 from $523,000 during the year ended September 30, 2015 to $632,000 during the current period. Business insurance costs increased primarily due to added coverage related to the Company’s clinical trials, as well as increases in other corporate liability insurance. We anticipate this expense to decrease in the near term due to the discontinuation of our clinical candidates.</w:t>
      </w:r>
    </w:p>
    <w:p>
      <w:pPr>
        <w:spacing w:after="0" w:line="176"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Communication and technology expense was consistent at $691,000 during the year ended September 30, 2015 and $686,000 during the current period. This category covers IT equipment and services for our personnel.</w:t>
      </w:r>
    </w:p>
    <w:p>
      <w:pPr>
        <w:spacing w:after="0" w:line="16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Office expense increased $33,000 from $270,000 during the year ended September 30, 2015 to $303,000 during the current period. These expenses relate to conferences/training, office supplies, miscellaneous administrative expenses, and expenses related to office expansions at our R&amp;D facility in Madison and our corporate headquarters in Pasadena. Conference trainings and seminar expenses were increased in the current period.</w:t>
      </w:r>
    </w:p>
    <w:p>
      <w:pPr>
        <w:spacing w:after="0" w:line="176"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 xml:space="preserve">Other expense increased $1,047,000 from $359,000 during the year ended September 30, 2015 to $1,406,000 during the current period. The increase in the current period pertains to litigation as discussed in Note 7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This category also consists primarily of franchise and property tax expenses and marketing.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 Novartis pre-clinical candidates</w:t>
      </w:r>
    </w:p>
    <w:p>
      <w:pPr>
        <w:spacing w:after="0" w:line="121" w:lineRule="exact"/>
        <w:rPr>
          <w:sz w:val="20"/>
          <w:szCs w:val="20"/>
          <w:color w:val="auto"/>
        </w:rPr>
      </w:pPr>
    </w:p>
    <w:p>
      <w:pPr>
        <w:ind w:right="120" w:firstLine="588"/>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expense related to the Novartis pre-clinical candidates was $10,142,786 for fiscal year 2015 and zero in the current period. This expense pertains to the acquisition of the Novartis RNAi assets discussed above. The value of the purchase price allocated to certain preclinical candidates was expensed during the period, while certain patents and a third-party license were capitalized as intangible assets.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a noncash expense, increased $1,362,919 from $10,232,897 during the year ended September 30, 2015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$11,595,816 during the current period. Stock-based compensation expense is based upon the valuation of stock options and restricted stock units granted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directors, and certain consultants. Many variables affect the amount expensed, including the Company’s stock price on the date of the grant,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other assumptions. The increase in the current period was primarily due to certain performance based awards that were deemed probable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during the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620" w:firstLine="51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 noncash expense, increased $923,838 from $2,336,207 during the year ended September 30, 2015 to $3,260,045 during the current period. The majority of depreciation and amortization expense relates to depreciation on lab equipment. In addition, the Company records depreciation on leasehold improvements at its Madison research facility and its Pasadena corporate headquarters. The increase in depreciation and amortization expense is primarily due to the amortization of the intangible assets acquired in the Novartis RNAi asset acquisition.</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121" w:lineRule="exact"/>
        <w:rPr>
          <w:sz w:val="20"/>
          <w:szCs w:val="20"/>
          <w:color w:val="auto"/>
        </w:rPr>
      </w:pPr>
    </w:p>
    <w:p>
      <w:pPr>
        <w:ind w:right="100" w:firstLine="588"/>
        <w:spacing w:after="0" w:line="282" w:lineRule="auto"/>
        <w:rPr>
          <w:sz w:val="20"/>
          <w:szCs w:val="20"/>
          <w:color w:val="auto"/>
        </w:rPr>
      </w:pPr>
      <w:r>
        <w:rPr>
          <w:rFonts w:ascii="Times New Roman" w:cs="Times New Roman" w:eastAsia="Times New Roman" w:hAnsi="Times New Roman"/>
          <w:sz w:val="18"/>
          <w:szCs w:val="18"/>
          <w:color w:val="auto"/>
        </w:rPr>
        <w:t>Impairment expense, a noncash expense, was $2,050,817 in the current period and $0 during the year ended September 30, 2015. During the current period, the Company recognized an impairment expense of $1.1 million related to leasehold improvements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right="660"/>
        <w:spacing w:after="0" w:line="261" w:lineRule="auto"/>
        <w:rPr>
          <w:sz w:val="20"/>
          <w:szCs w:val="20"/>
          <w:color w:val="auto"/>
        </w:rPr>
      </w:pPr>
      <w:r>
        <w:rPr>
          <w:rFonts w:ascii="Times New Roman" w:cs="Times New Roman" w:eastAsia="Times New Roman" w:hAnsi="Times New Roman"/>
          <w:sz w:val="18"/>
          <w:szCs w:val="18"/>
          <w:color w:val="auto"/>
        </w:rPr>
        <w:t>at its previous research facility in Madison, Wisconsin. This amount represented the entire net book value remaining for the leasehold improvements associated with the previous facility, and was recognized during the year ended September 30, 2016 as the Company moved into a larger research</w:t>
      </w:r>
    </w:p>
    <w:p>
      <w:pPr>
        <w:ind w:right="40"/>
        <w:spacing w:after="0" w:line="254" w:lineRule="auto"/>
        <w:rPr>
          <w:sz w:val="20"/>
          <w:szCs w:val="20"/>
          <w:color w:val="auto"/>
        </w:rPr>
      </w:pPr>
      <w:r>
        <w:rPr>
          <w:rFonts w:ascii="Times New Roman" w:cs="Times New Roman" w:eastAsia="Times New Roman" w:hAnsi="Times New Roman"/>
          <w:sz w:val="18"/>
          <w:szCs w:val="18"/>
          <w:color w:val="auto"/>
        </w:rPr>
        <w:t>facility. During the current period, the Company also recognized a $0.9 million impairment expense related to acquired in-process research and development assets that were acquired in the acquisition of the Roche RNAi business. In November 2016, the Company announced the discontinuation of its clinical trial efforts for ARC-520, ARC-AAT and ARC-521. Given this development, the Company has assessed the fair value of this indefinite-lived intangible asset to be $0 at September 30, 2016.</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Fair Value Adjustments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Contingent Consideration – Fair Value Adjustments decreased $7,753,997 from $1,891,533 during the year ended September 30, 2015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($5,862,464) during the current period. Contingent consideration resulting from the acquisition of Roche’s RNAi business is calculated by modeling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activities for clinical candidates, forecasting timelines to market, and using “peak sales” estimate modeling, cash flows and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and royalty payments. The modeling assumes certain success rates, and discount factors related to riskiness of projects and the time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to calculate a net present value of future consideration payments to Roche. Each reporting period, the Company re-evaluates its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and if material, makes adjustments to the recorded liability. In November 2016, the Company announced the discontinuation of its clinical 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for ARC-520, ARC-AAT and ARC-521. Given this development, the Company has assessed the fair value of its contingent consideration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$0 at September 30, 2016.</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Other income / expense was income of $4,035,494 during the year ended September 30, 2015 as compared to income of $22,124 during the current period. The largest component of other income / expense is related to the change in the value of derivative liabilities related to certain warrants with a price adjustment feature, which requires derivative accounting. The change in value of derivative liabilities was a reduction of approximately $2.9 million in 2015 and an increase of approximately $0.3 million in the current period. The fluctuations in each period were primarily driven by changes in the Company’s stock price, which had a corresponding impact to the valuation of the underlying warrant liability.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Comparison for 2015 and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Total revenue was $382,000 for the year ended September 30, 2015 and $175,000 for the year ended September 30, 2014. Revenue is primarily related to licensed technology. In addition, the Company had collaboration revenue of $160,000 during the year ended September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2015 and 2014 are shown in the tables below.</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80" w:type="dxa"/>
            <w:vAlign w:val="bottom"/>
            <w:tcBorders>
              <w:bottom w:val="single" w:sz="8" w:color="B6EAFC"/>
            </w:tcBorders>
          </w:tcPr>
          <w:p>
            <w:pPr>
              <w:spacing w:after="0"/>
              <w:rPr>
                <w:sz w:val="15"/>
                <w:szCs w:val="15"/>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2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23,138</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Laboratory supplies and services expense increased $460,000 from $2,071,000 during the year ended September 30, 2014 to $2,531,000 during the year ended September 30, 2015. The increase in laboratory supplies and services is a result of additional supplies necessary to support increased efforts in pre-clinical research.</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vivo studies expense increased $332,000 from $224,000 during the year ended September 30, 2014 to $556,000 during the year ended September 30, 2015. In vivo expense can vary depending on the stage of preclinical candidates, the nature and amount of testing required and the varying costs of different in vivo testing models. The expense in both periods relates to studies in connection with the development of new clinical candidates. During fiscal year 2015, the Company expanded its candidate pipeline which resulted in additional studies conducted.</w:t>
      </w:r>
    </w:p>
    <w:p>
      <w:pPr>
        <w:spacing w:after="0" w:line="180"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Outside labs and contract services expense decreased $202,000 from $691,000 during the year ended September 30, 2014 to $489,000 during the year ended September 30, 2015. The decrease during the year ended September 30, 2015 primarily relates to a one-time fee paid during the year ended September 30, 2014 related to access to a certain animal study.</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Toxicity/efficacy studies expense increased $266,000 from $6,306,000 during the year ended September 30, 2014 to $6,572,000 during the year ended September 30, 2015. This category includes IND-enabling toxicology studies, post-IND toxicology studies, such as long-term toxicology studies, and other efficacy studies. The full-year expense primarily relates to IND-enabling toxicology studies related to ARC-AAT, long-term toxicology studies to support later clinical trials, and studies related to ARC-520 to support our phase 2b clinical trial. These amounts can vary quarter to quarter based on stage of development.</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Drug manufacturing expense increased $12,289,000 from $9,142,000 during the year ended September 30, 2014 to $21,431,000 during the year ended September 30, 2015. The expense during the year ended September 30, 2015 primarily relates to drug manufacturing to supply toxicology studies for our ARC-520 Phase 2b clinical trials and clinical supplies for the ARC-520 Phase 2b clinical trial. The manufacturing campaign for the Phase 2b clinical trial for ARC-520 is largely complete.</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Clinical trials expense increased $10,702,000 from $2,627,000 during the year ended September 30, 2014 to $13,329,000 during the year ended September 30, 2015. The increase is primarily driven by costs incurred in preparation for our phase 2b clinical trial for ARC-520. We also incurred costs in fiscal 2015 related to our clinical trial for our second clinical candidate ARC-AAT.</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License, royalty and milestones expense was consistent at $1,096,000 during the year ended September 30, 2014 and $1,065,000 during the year ended September 30, 2015.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$1 million payment in each period.</w:t>
      </w:r>
    </w:p>
    <w:p>
      <w:pPr>
        <w:spacing w:after="0" w:line="1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Facilities expense increased $96,000 from $881,000 during the year ended September 30, 2014 to $977,000 during the year ended September 30, 2015. The increase relates to higher rent in our Madison facility somewhat offset by lower repairs and maintenance costs on our lab equipment.</w:t>
      </w:r>
    </w:p>
    <w:p>
      <w:pPr>
        <w:spacing w:after="0" w:line="162"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Other research expense increased $217,000 from $100,000 during the year ended September 30, 2014 to $317,000 during the year ended September 30, 2015. The increase during the year ended September 30, 2015 primarily relates to costs associated with a collaboration agreement to identify muscle targeting peptide molecules in fiscal 2015, for which the Company has been reimbursed from its collaboration partner.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Salary and Payroll-Related Expenses</w:t>
      </w:r>
    </w:p>
    <w:p>
      <w:pPr>
        <w:spacing w:after="0" w:line="121" w:lineRule="exact"/>
        <w:rPr>
          <w:sz w:val="20"/>
          <w:szCs w:val="20"/>
          <w:color w:val="auto"/>
        </w:rPr>
      </w:pPr>
    </w:p>
    <w:p>
      <w:pPr>
        <w:ind w:right="60" w:firstLine="518"/>
        <w:spacing w:after="0" w:line="281" w:lineRule="auto"/>
        <w:rPr>
          <w:sz w:val="20"/>
          <w:szCs w:val="20"/>
          <w:color w:val="auto"/>
        </w:rPr>
      </w:pPr>
      <w:r>
        <w:rPr>
          <w:rFonts w:ascii="Times New Roman" w:cs="Times New Roman" w:eastAsia="Times New Roman" w:hAnsi="Times New Roman"/>
          <w:sz w:val="17"/>
          <w:szCs w:val="17"/>
          <w:color w:val="auto"/>
        </w:rPr>
        <w:t>The Company employs scientific, technical and administrative staff at its corporate offices and its research facilities. Salaries and payroll-related expense consists of salaries, bonuses, payroll taxes and related benefits. Salary and payroll-related expenses include two major categories, based on the primary activities of each employee: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Twelve months</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Twelve months</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Ended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Ended</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color w:val="auto"/>
              </w:rPr>
              <w:t>September 30, 2015</w:t>
            </w:r>
          </w:p>
        </w:tc>
        <w:tc>
          <w:tcPr>
            <w:tcW w:w="180" w:type="dxa"/>
            <w:vAlign w:val="bottom"/>
            <w:tcBorders>
              <w:bottom w:val="single" w:sz="8" w:color="B6EAFC"/>
            </w:tcBorders>
          </w:tcPr>
          <w:p>
            <w:pPr>
              <w:spacing w:after="0"/>
              <w:rPr>
                <w:sz w:val="16"/>
                <w:szCs w:val="16"/>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 of Total</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color w:val="auto"/>
              </w:rPr>
              <w:t>September 30, 2014</w:t>
            </w:r>
          </w:p>
        </w:tc>
        <w:tc>
          <w:tcPr>
            <w:tcW w:w="18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60" w:type="dxa"/>
            <w:vAlign w:val="bottom"/>
            <w:tcBorders>
              <w:bottom w:val="single" w:sz="8" w:color="B6EA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color w:val="auto"/>
              </w:rPr>
              <w:t>Increase (Decrease)</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180" w:type="dxa"/>
            <w:vAlign w:val="bottom"/>
            <w:shd w:val="clear" w:color="auto" w:fill="B6EAFC"/>
          </w:tcPr>
          <w:p>
            <w:pPr>
              <w:spacing w:after="0"/>
              <w:rPr>
                <w:sz w:val="18"/>
                <w:szCs w:val="18"/>
                <w:color w:val="auto"/>
              </w:rPr>
            </w:pPr>
          </w:p>
        </w:tc>
        <w:tc>
          <w:tcPr>
            <w:tcW w:w="94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80" w:type="dxa"/>
            <w:vAlign w:val="bottom"/>
            <w:shd w:val="clear" w:color="auto" w:fill="B6EAFC"/>
          </w:tcPr>
          <w:p>
            <w:pPr>
              <w:spacing w:after="0"/>
              <w:rPr>
                <w:sz w:val="18"/>
                <w:szCs w:val="18"/>
                <w:color w:val="auto"/>
              </w:rPr>
            </w:pPr>
          </w:p>
        </w:tc>
        <w:tc>
          <w:tcPr>
            <w:tcW w:w="14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400" w:type="dxa"/>
            <w:vAlign w:val="bottom"/>
            <w:shd w:val="clear" w:color="auto" w:fill="B6EA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200" w:type="dxa"/>
            <w:vAlign w:val="bottom"/>
            <w:shd w:val="clear" w:color="auto" w:fill="B6EAFC"/>
          </w:tcPr>
          <w:p>
            <w:pPr>
              <w:spacing w:after="0"/>
              <w:rPr>
                <w:sz w:val="18"/>
                <w:szCs w:val="18"/>
                <w:color w:val="auto"/>
              </w:rPr>
            </w:pPr>
          </w:p>
        </w:tc>
        <w:tc>
          <w:tcPr>
            <w:tcW w:w="80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B6EAFC"/>
            </w:tcBorders>
            <w:shd w:val="clear" w:color="auto" w:fill="B6EA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shd w:val="clear" w:color="auto" w:fill="B6EAFC"/>
          </w:tcPr>
          <w:p>
            <w:pPr>
              <w:spacing w:after="0"/>
              <w:rPr>
                <w:sz w:val="18"/>
                <w:szCs w:val="18"/>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180" w:type="dxa"/>
            <w:vAlign w:val="bottom"/>
            <w:shd w:val="clear" w:color="auto" w:fill="B6EAFC"/>
          </w:tcPr>
          <w:p>
            <w:pPr>
              <w:spacing w:after="0"/>
              <w:rPr>
                <w:sz w:val="18"/>
                <w:szCs w:val="18"/>
                <w:color w:val="auto"/>
              </w:rPr>
            </w:pPr>
          </w:p>
        </w:tc>
        <w:tc>
          <w:tcPr>
            <w:tcW w:w="94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12,829</w:t>
            </w:r>
          </w:p>
        </w:tc>
        <w:tc>
          <w:tcPr>
            <w:tcW w:w="180" w:type="dxa"/>
            <w:vAlign w:val="bottom"/>
            <w:shd w:val="clear" w:color="auto" w:fill="B6EAFC"/>
          </w:tcPr>
          <w:p>
            <w:pPr>
              <w:spacing w:after="0"/>
              <w:rPr>
                <w:sz w:val="18"/>
                <w:szCs w:val="18"/>
                <w:color w:val="auto"/>
              </w:rPr>
            </w:pPr>
          </w:p>
        </w:tc>
        <w:tc>
          <w:tcPr>
            <w:tcW w:w="14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shd w:val="clear" w:color="auto" w:fill="B6EA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200" w:type="dxa"/>
            <w:vAlign w:val="bottom"/>
            <w:shd w:val="clear" w:color="auto" w:fill="B6EAFC"/>
          </w:tcPr>
          <w:p>
            <w:pPr>
              <w:spacing w:after="0"/>
              <w:rPr>
                <w:sz w:val="18"/>
                <w:szCs w:val="18"/>
                <w:color w:val="auto"/>
              </w:rPr>
            </w:pPr>
          </w:p>
        </w:tc>
        <w:tc>
          <w:tcPr>
            <w:tcW w:w="80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R&amp;D compensation expense increased $3,777,000 from $7,828,000 during the year ended September 30, 2014 to $11,605,000 during the year ended September 30, 2015. An increase in headcount accounted for the majority of the change in compensation-related expense.</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G&amp;A compensation expense was consistent at $5,001,000 during the year ended September 30, 2014 and $4,949,000 during the year ended September 30, 2015. G&amp;A headcount has remained consistent during the periods.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B6EAFC"/>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2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80" w:type="dxa"/>
            <w:vAlign w:val="bottom"/>
            <w:tcBorders>
              <w:bottom w:val="single" w:sz="8" w:color="B6EAFC"/>
            </w:tcBorders>
          </w:tcPr>
          <w:p>
            <w:pPr>
              <w:spacing w:after="0"/>
              <w:rPr>
                <w:sz w:val="15"/>
                <w:szCs w:val="15"/>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2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320" w:type="dxa"/>
            <w:vAlign w:val="bottom"/>
            <w:shd w:val="clear" w:color="auto" w:fill="B6EA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$1,524,000 from $2,465,000 during the year ended September 30, 2014 to $3,989,000 during the year ended September 30, 2015. The increase in professional fees primarily related to higher legal fees related to litigation events. See Note 7 – Commitments and Contingencies for further discussion. Additionally, the Company incurred higher recruiting fees to fill new positions.</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Patent expense increased $318,000 from $632,000 during the year ended September 30, 2014 to $950,000 during the year ended September 30, 2015. Patent expense costs increase due to additional prosecution requirements associated with patents acquired through the Novartis asset acquisition. The Company continues to invest in patent protection for its product candidates and other RNAi technology through patent filings in multiple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2" w:name="page53"/>
    <w:bookmarkEnd w:id="52"/>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Facilities-related expense increased $115,000 from $193,000 during the year ended September 30, 2014 to $308,000 during the year ended September 30, 2015. Facilities expense increased due to the expansion of our corporate headquarters in Pasadena.</w:t>
      </w:r>
    </w:p>
    <w:p>
      <w:pPr>
        <w:spacing w:after="0" w:line="16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Travel expense increased $187,000 from $654,000 during the year ended September 30, 2014 to $841,000 during the year ended September 30, 2015. Travel expense increased due to travel in support of our R&amp;D function, primarily our GMP manufacturing campaign and our clinical trials, as well as other corporate and business development related travel.</w:t>
      </w:r>
    </w:p>
    <w:p>
      <w:pPr>
        <w:spacing w:after="0" w:line="176"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Business insurance expense increased $221,000 from $302,000 during the year ended September 30, 2014 to $523,000 during the year ended September 30, 2015. Business insurance costs increased primarily due to added coverage related to the Company’s clinical trials, as well as increases in other corporate liability insurance.</w:t>
      </w:r>
    </w:p>
    <w:p>
      <w:pPr>
        <w:spacing w:after="0" w:line="1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Communication and technology expense increased $303,000 from $388,000 during the year ended September 30, 2014 to $691,000 during the year ended September 30, 2015. The increase was related to equipment purchases to replace outdated equipment and new equipment purchases related to new employees.</w:t>
      </w:r>
    </w:p>
    <w:p>
      <w:pPr>
        <w:spacing w:after="0" w:line="176"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Office expense decreased $110,000 from $380,000 during the year ended September 30, 2014 to $270,000 during the year ended September 30, 2015. These expenses relate to conferences/training, office supplies, miscellaneous administrative expenses, and expenses related to office expansions at our R&amp;D facility in Madison and our corporate headquarters in Pasadena. During fiscal year 2014, the Company incurred certain charges related to its Madison office expansion which were not repeated during the year ended September 30, 2015.</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Other expense decreased $521,000 from $880,000 during the year ended September 30, 2014 to $359,000 during the year ended September 30, 2015. This category consists primarily of conference attendance fees, franchise and property tax expenses and marketing expenses. The decrease was related to a reduction in the provision for franchise taxes as well as an allowance recorded for certain other receivables during fiscal year 2014 that was not repeated in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 Novartis pre-clinical candidates</w:t>
      </w:r>
    </w:p>
    <w:p>
      <w:pPr>
        <w:spacing w:after="0" w:line="121" w:lineRule="exact"/>
        <w:rPr>
          <w:sz w:val="20"/>
          <w:szCs w:val="20"/>
          <w:color w:val="auto"/>
        </w:rPr>
      </w:pPr>
    </w:p>
    <w:p>
      <w:pPr>
        <w:jc w:val="both"/>
        <w:ind w:right="40" w:firstLine="588"/>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expense related to the Novartis pre-clinical candidates was $10,142,786 for fiscal year 2015 and zero for the previous period. This expense pertains to the acquisition of the Novartis RNAi assets. The value of the purchase price allocated to certain pre-clinical candidates was expensed during the period, while certain patents and a third-party license were capitalized as intangible assets.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a noncash expense, increased $4,536,724 from $5,696,173 during the year ended September 30, 2014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$10,232,897 during the year ended September 30, 2015. Stock-based compensation expense is based upon the valuation of stock options and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granted to employees, directors, and certain consultants. Many variables affect the amount expensed, including the Company’s stock price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as well as other assumptions. Based on the additional options and restricted stock units granted to new and existing employees in fiscal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has increased from the prior year.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a noncash expense, increased $990,552 from $1,345,655 during the year ended September 30, 2014 to $2,336,207 during the year ended September 30, 2015. The majority of depreciation and amortization expense relates to depreciation on lab equipment obtained as part of the acquisition of Roche’s RNAi business in 2011. In addition, the Company records depreciation on leasehold improvements at its Madison research facility and its Pasadena corporate headquarters. The increase in depreciation and amortization expense is primarily due to the amortization of the intangible assets acquired in the Novartis asset acquisition.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121" w:lineRule="exact"/>
        <w:rPr>
          <w:sz w:val="20"/>
          <w:szCs w:val="20"/>
          <w:color w:val="auto"/>
        </w:rPr>
      </w:pPr>
    </w:p>
    <w:p>
      <w:pPr>
        <w:ind w:firstLine="588"/>
        <w:spacing w:after="0" w:line="261" w:lineRule="auto"/>
        <w:rPr>
          <w:sz w:val="20"/>
          <w:szCs w:val="20"/>
          <w:color w:val="auto"/>
        </w:rPr>
      </w:pPr>
      <w:r>
        <w:rPr>
          <w:rFonts w:ascii="Times New Roman" w:cs="Times New Roman" w:eastAsia="Times New Roman" w:hAnsi="Times New Roman"/>
          <w:sz w:val="18"/>
          <w:szCs w:val="18"/>
          <w:color w:val="auto"/>
        </w:rPr>
        <w:t>Impairment expense, a noncash expense, decreased $2,172,387 from $2,172,387 during the year ended September 30, 2014 to $0 during the year ended September 30, 2015. During the year ended September 30, 2014, the Company determined that the carrying value of the Alvos in-process research and development (IPR&amp;D) may not be recoverable and should be fully impaired. During the year ended September 30, 2015, the Company did not find any of its intangible or long-lived assets to be impaired.</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Fair Value Adjustments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3" w:name="page54"/>
    <w:bookmarkEnd w:id="53"/>
    <w:p>
      <w:pPr>
        <w:ind w:right="40" w:firstLine="588"/>
        <w:spacing w:after="0" w:line="255" w:lineRule="auto"/>
        <w:rPr>
          <w:sz w:val="20"/>
          <w:szCs w:val="20"/>
          <w:color w:val="auto"/>
        </w:rPr>
      </w:pPr>
      <w:r>
        <w:rPr>
          <w:rFonts w:ascii="Times New Roman" w:cs="Times New Roman" w:eastAsia="Times New Roman" w:hAnsi="Times New Roman"/>
          <w:sz w:val="18"/>
          <w:szCs w:val="18"/>
          <w:color w:val="auto"/>
        </w:rPr>
        <w:t>Contingent Consideration – Fair Value Adjustments increased $484,125 from $2,375,658 during the year ended September 30, 2014 to $1,891,533 during the year ended September 30, 2015. Contingent consideration resulting from the acquisition of Roche’s RNAi business is calculated by modeling research and development activities for clinical candidates, forecasting timelines to market, and using “peak sales” estimate modeling, cash flows and potential milestone and royalty payments. The modeling assumes certain success rates and discount factors related to riskiness of projects and the time value of money to calculate a net present value of future consideration payments to Roche. Each reporting period, the Company re-evaluates its contingent consideration, and if material, makes adjustments to the recorded liability. The Company increased this liability by $1.9 million and $2.4 million during the years ended September 30, 2015 and 2014, respectively, for a total liability of $5.9 million as of September 30, 2015, which is recorded on the Company’s Consolidated Balance Sheets.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Other income / expense was expense of $5,443,826 during the year ended September 30, 2014 as compared to income of $4,035,494 during the year ended September 30, 2015. The largest component of Other income / expense is related to the change in the value of derivative liabilities related to certain warrants with a price adjustment feature, which requires derivative accounting. The change in value of derivative liabilities was a reduction of approximately $2.9 million in 2015 and an increase of approximately $6.0 million in 2014. The fluctuations in each period were primarily driven by changes in the Company’s stock price, which had a corresponding impact to the valuation of the underlying warrant liability.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fiscal year 2017 and beyond.</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At September 30, 2016, the Company had cash on hand of approximately $85.4 million as compared to $81.2 million at September 30, 2015. Excess cash invested in fixed income securities was $0 million at September 30, 2016, compared to $17.5 million at September 30, 2015. In November 2016, the Company received the upfront payment of $30 million due under the Second Collaboration and License Agreement with Amgen, as well as a $12.5 million equity investment payment from Amgen. The Company believes its current financial resources are sufficient to fund its operations through at least the next twelve months.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years ended September 30, 2016, 2015, and 2014 is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22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5"/>
                <w:szCs w:val="15"/>
                <w:color w:val="auto"/>
              </w:rPr>
            </w:pPr>
          </w:p>
        </w:tc>
      </w:tr>
      <w:tr>
        <w:trPr>
          <w:trHeight w:val="22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4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(64,427,486)</w:t>
            </w:r>
          </w:p>
        </w:tc>
        <w:tc>
          <w:tcPr>
            <w:tcW w:w="54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(65,707,615)</w:t>
            </w:r>
          </w:p>
        </w:tc>
        <w:tc>
          <w:tcPr>
            <w:tcW w:w="52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(35,416,373)</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13,447,763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14,120,838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(36,481,770)</w:t>
            </w:r>
          </w:p>
        </w:tc>
      </w:tr>
      <w:tr>
        <w:trPr>
          <w:trHeight w:val="230"/>
        </w:trPr>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55,131,817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185,294,309</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4,152,094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(51,296,256)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113,396,166</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132,510,610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19,114,444</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132,510,610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year ended September 30, 2016, the Company used $64.4 million in cash from operating activities, which represents the on-going expenses of its research and development programs and corporate overhead. Cash outlays were primarily composed of the following: research and development costs were $42.6 million, salary and payroll-related expenses were $16.4 million and general and administrative costs were $9.9 million. These expenditures were partially offset by $5 million received under the First Collaboration and License Agreement with Amgen. Cash provided by investing activities was $13.4 million, primarily related to the maturity of certain marketable securities of $17.3 million partially offset by capital expenditures of $3.9 million. Cash provided by financing activities of $55.1 million primarily includes an equity financing in August 2016 which yielded net proceeds of $43.2 million to the Company, and $9 million of equity investments from the Company’s Common Stock Purchase Agreement Agreement with Amgen.</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2015, the Company used $65.7 million in cash from operating activities, which represents the on-going expenses of its research and development programs and corporate overhead. Cash outlays were primarily composed of the following: research and development costs were $41.2 million, salary and payroll-related expenses were $16.6 million, and general and administrative costs were $7.9 million. Cash provided by investing activities was $14.1 million, primarily related to the maturity of certain marketable securities partially offset by $10.0 million of cash used to acquire the Novartis assets discussed above. Capital</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54" w:name="page55"/>
    <w:bookmarkEnd w:id="54"/>
    <w:p>
      <w:pPr>
        <w:ind w:right="60"/>
        <w:spacing w:after="0" w:line="282" w:lineRule="auto"/>
        <w:rPr>
          <w:sz w:val="20"/>
          <w:szCs w:val="20"/>
          <w:color w:val="auto"/>
        </w:rPr>
      </w:pPr>
      <w:r>
        <w:rPr>
          <w:rFonts w:ascii="Times New Roman" w:cs="Times New Roman" w:eastAsia="Times New Roman" w:hAnsi="Times New Roman"/>
          <w:sz w:val="18"/>
          <w:szCs w:val="18"/>
          <w:color w:val="auto"/>
        </w:rPr>
        <w:t>expenditures were $2.0 million. Cash provided by financing activities of $0.3 million primarily includes the exercise of warrants and stock options during the year ended September 30, 2015.</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2014, the Company used $35.4 million in cash from operating activities, which represents the on-going expenses of its research and development programs and corporate overhead. Cash outlays were primarily composed of the following: research and development costs were $21.7 million, salary and payroll-related expenses were $9.1 million, and general and administrative costs were $4.6 million. Cash used by investing activities was $36.5 million, primarily related to net cash investments in fixed income securities of $34.8 million. Capital expenditures were $1.7 million. Cash provided by financing activities of $185.3 million includes $172.6 million of cash received from equity financings by the Company in October 2013 and February 2014. The exercise of warrants and stock options during fiscal 2014 resulted in additional cash inflow of $12.9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the table below, we set forth our enforceable and legally binding obligations and future commitments at September 30, 2016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20"/>
        </w:trPr>
        <w:tc>
          <w:tcPr>
            <w:tcW w:w="3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64"/>
        </w:trPr>
        <w:tc>
          <w:tcPr>
            <w:tcW w:w="3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(a)</w:t>
            </w:r>
          </w:p>
        </w:tc>
        <w:tc>
          <w:tcPr>
            <w:tcW w:w="1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2,533,455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432,326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498,161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12,407,855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2,967,174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 (b)</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 (c)</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2,474,997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27,816,307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11,959,259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3,237,407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 portion of $2.7 million Note Payable associated with our lease for our new Madison research facility.</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have decreased due to the discontinuation of the Company’s clinical trials.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 million Deferred Revenue associated with the Company’s collaboration and license agreements with Amgen.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2016, we did not have any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of this annual report on Form 10-K for a description of recent accounting pronouncements applicable to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2016 and 2015, we had cash and cash equivalents of $85.4 million and $81.2 million, respectively. At times, we have invested our cash reserves in corporate bonds typically with maturities of less than 2 years, and we have historically classified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 Our liability instrument sensitive to changes in interest rates is our derivative liability with its fair value determined using an option pricing model, which uses interest rate as an input. However, any change associated with this valuation would result in a noncash expense and would not significantly impact our operations.</w:t>
      </w:r>
    </w:p>
    <w:p>
      <w:pPr>
        <w:spacing w:after="0" w:line="18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15 of this Annual Report Form 10-K.</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85"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Assessment of the Effectiveness of our Internal Control over Financial Reporting</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based on the criteria set forth in Internal Control – Integrated Framework issued by the Committee of Sponsoring Organizations of the Treadway Commission (2013 framework). Based on the Company’s assessment, management has concluded that its internal control over financial reporting was effective as of September 30, 2016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the year ended September 30, 2016 that has materially affected, or is reasonably likely to materially affect, our internal control over financial reporting.</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2017 Annual Meeting of Stockholders, which proxy statement will be filed no later than January 28, 2017.</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2017 Annual Meeting of Stockholders, which proxy statement will be filed no later than January 28, 2017.</w:t>
      </w:r>
    </w:p>
    <w:p>
      <w:pPr>
        <w:spacing w:after="0" w:line="306" w:lineRule="exact"/>
        <w:rPr>
          <w:sz w:val="20"/>
          <w:szCs w:val="20"/>
          <w:color w:val="auto"/>
        </w:rPr>
      </w:pPr>
    </w:p>
    <w:p>
      <w:pPr>
        <w:ind w:left="1040" w:right="480" w:hanging="1025"/>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2017 Annual Meeting of Stockholders, which proxy statement will be filed no later than January 28, 2017.</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2017 Annual Meeting of Stockholders, which proxy statement will be filed no later than January 28, 2017.</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2017 Annual Meeting of Stockholders, which proxy statement will be filed no later than January 28, 2017.</w:t>
      </w:r>
    </w:p>
    <w:p>
      <w:pPr>
        <w:spacing w:after="0" w:line="200" w:lineRule="exact"/>
        <w:rPr>
          <w:sz w:val="20"/>
          <w:szCs w:val="20"/>
          <w:color w:val="auto"/>
        </w:rPr>
      </w:pPr>
    </w:p>
    <w:p>
      <w:pPr>
        <w:spacing w:after="0" w:line="3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3"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Index to Financial Statements and Schedule on page F-1.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7" w:name="page58"/>
    <w:bookmarkEnd w:id="57"/>
    <w:p>
      <w:pPr>
        <w:ind w:left="1040" w:hanging="519"/>
        <w:spacing w:after="0"/>
        <w:tabs>
          <w:tab w:leader="none" w:pos="10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right="60" w:firstLine="495"/>
        <w:spacing w:after="0" w:line="266" w:lineRule="auto"/>
        <w:rPr>
          <w:sz w:val="20"/>
          <w:szCs w:val="20"/>
          <w:color w:val="auto"/>
        </w:rPr>
      </w:pPr>
      <w:r>
        <w:rPr>
          <w:rFonts w:ascii="Times New Roman" w:cs="Times New Roman" w:eastAsia="Times New Roman" w:hAnsi="Times New Roman"/>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64"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exhibits are filed (or incorporated by reference herein) as part of this Annual Report on Form 10-K:</w:t>
      </w:r>
    </w:p>
    <w:p>
      <w:pPr>
        <w:sectPr>
          <w:pgSz w:w="11900" w:h="16838" w:orient="portrait"/>
          <w:cols w:equalWidth="0" w:num="1">
            <w:col w:w="11420"/>
          </w:cols>
          <w:pgMar w:left="240" w:top="468" w:right="239"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6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and Asset Purchase Agreement between Arrowhead Research Corporation and</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Roche entities, dated October 21, 2011†</w:t>
            </w:r>
          </w:p>
        </w:tc>
        <w:tc>
          <w:tcPr>
            <w:tcW w:w="0" w:type="dxa"/>
            <w:vAlign w:val="bottom"/>
          </w:tcPr>
          <w:p>
            <w:pPr>
              <w:spacing w:after="0"/>
              <w:rPr>
                <w:sz w:val="1"/>
                <w:szCs w:val="1"/>
                <w:color w:val="auto"/>
              </w:rPr>
            </w:pPr>
          </w:p>
        </w:tc>
      </w:tr>
      <w:tr>
        <w:trPr>
          <w:trHeight w:val="53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Purchase and Exclusive License Agreement between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and Novartis Institutes for BioMedical Research, Inc., dated March 3,</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Series A Certificate of Designations, filed with the Secretary of State of the State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on October 25, 2011</w:t>
            </w:r>
          </w:p>
        </w:tc>
        <w:tc>
          <w:tcPr>
            <w:tcW w:w="0" w:type="dxa"/>
            <w:vAlign w:val="bottom"/>
          </w:tcPr>
          <w:p>
            <w:pPr>
              <w:spacing w:after="0"/>
              <w:rPr>
                <w:sz w:val="1"/>
                <w:szCs w:val="1"/>
                <w:color w:val="auto"/>
              </w:rPr>
            </w:pP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Series B Certificate of Designations, filed with the Secretary of State of the State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on May 1, 2013</w:t>
            </w:r>
          </w:p>
        </w:tc>
        <w:tc>
          <w:tcPr>
            <w:tcW w:w="0" w:type="dxa"/>
            <w:vAlign w:val="bottom"/>
          </w:tcPr>
          <w:p>
            <w:pPr>
              <w:spacing w:after="0"/>
              <w:rPr>
                <w:sz w:val="1"/>
                <w:szCs w:val="1"/>
                <w:color w:val="auto"/>
              </w:rPr>
            </w:pP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Series C Certificate of Designations, filed with the Secretary of State of the State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on October 10, 2013</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Elimination of Series A Convertible Preferred Stock of Arrowhead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Corporation, filed with the Secretary of State of the State of Delaware on</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5, 2016</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Elimination of Series B Convertible Preferred Stock of Arrowhead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Corporation, filed with the Secretary of State of the State of Delaware on</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5, 2016</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Certificate of Incorporation of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a Delaware corporation, filed with the Secretary of State of the State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on April 5, 2016</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Arrowhead Pharmaceuticals, Inc.</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Common Stock expiring May 2017</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Common Stock expiring December 2015</w:t>
            </w:r>
          </w:p>
        </w:tc>
        <w:tc>
          <w:tcPr>
            <w:tcW w:w="0" w:type="dxa"/>
            <w:vAlign w:val="bottom"/>
          </w:tcPr>
          <w:p>
            <w:pPr>
              <w:spacing w:after="0"/>
              <w:rPr>
                <w:sz w:val="1"/>
                <w:szCs w:val="1"/>
                <w:color w:val="auto"/>
              </w:rPr>
            </w:pPr>
          </w:p>
        </w:tc>
      </w:tr>
      <w:tr>
        <w:trPr>
          <w:trHeight w:val="67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Shares of Common Stock Expiring August 13, 2016</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Arrowhead Research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632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5"/>
                <w:szCs w:val="15"/>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December 20,</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 as Exhibit 2.1</w:t>
            </w:r>
          </w:p>
        </w:tc>
        <w:tc>
          <w:tcPr>
            <w:tcW w:w="1340" w:type="dxa"/>
            <w:vAlign w:val="bottom"/>
          </w:tcPr>
          <w:p>
            <w:pPr>
              <w:spacing w:after="0"/>
              <w:rPr>
                <w:sz w:val="20"/>
                <w:szCs w:val="20"/>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May 11, 2015</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2.1</w:t>
            </w:r>
          </w:p>
        </w:tc>
        <w:tc>
          <w:tcPr>
            <w:tcW w:w="1340" w:type="dxa"/>
            <w:vAlign w:val="bottom"/>
          </w:tcPr>
          <w:p>
            <w:pPr>
              <w:spacing w:after="0"/>
              <w:rPr>
                <w:sz w:val="20"/>
                <w:szCs w:val="20"/>
                <w:color w:val="auto"/>
              </w:rPr>
            </w:pPr>
          </w:p>
        </w:tc>
      </w:tr>
      <w:tr>
        <w:trPr>
          <w:trHeight w:val="63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October 26, 2011</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340" w:type="dxa"/>
            <w:vAlign w:val="bottom"/>
          </w:tcPr>
          <w:p>
            <w:pPr>
              <w:spacing w:after="0"/>
              <w:rPr>
                <w:sz w:val="20"/>
                <w:szCs w:val="20"/>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May 1, 2013</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340" w:type="dxa"/>
            <w:vAlign w:val="bottom"/>
          </w:tcPr>
          <w:p>
            <w:pPr>
              <w:spacing w:after="0"/>
              <w:rPr>
                <w:sz w:val="20"/>
                <w:szCs w:val="20"/>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2013</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340" w:type="dxa"/>
            <w:vAlign w:val="bottom"/>
          </w:tcPr>
          <w:p>
            <w:pPr>
              <w:spacing w:after="0"/>
              <w:rPr>
                <w:sz w:val="20"/>
                <w:szCs w:val="20"/>
                <w:color w:val="auto"/>
              </w:rPr>
            </w:pPr>
          </w:p>
        </w:tc>
      </w:tr>
      <w:tr>
        <w:trPr>
          <w:trHeight w:val="41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April 6, 2016</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340" w:type="dxa"/>
            <w:vAlign w:val="bottom"/>
          </w:tcPr>
          <w:p>
            <w:pPr>
              <w:spacing w:after="0"/>
              <w:rPr>
                <w:sz w:val="20"/>
                <w:szCs w:val="20"/>
                <w:color w:val="auto"/>
              </w:rPr>
            </w:pPr>
          </w:p>
        </w:tc>
      </w:tr>
      <w:tr>
        <w:trPr>
          <w:trHeight w:val="63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April 6, 2016</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w:t>
            </w:r>
          </w:p>
        </w:tc>
        <w:tc>
          <w:tcPr>
            <w:tcW w:w="1340" w:type="dxa"/>
            <w:vAlign w:val="bottom"/>
          </w:tcPr>
          <w:p>
            <w:pPr>
              <w:spacing w:after="0"/>
              <w:rPr>
                <w:sz w:val="20"/>
                <w:szCs w:val="20"/>
                <w:color w:val="auto"/>
              </w:rPr>
            </w:pPr>
          </w:p>
        </w:tc>
      </w:tr>
      <w:tr>
        <w:trPr>
          <w:trHeight w:val="63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April 6, 2016</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3.3</w:t>
            </w:r>
          </w:p>
        </w:tc>
        <w:tc>
          <w:tcPr>
            <w:tcW w:w="1340" w:type="dxa"/>
            <w:vAlign w:val="bottom"/>
          </w:tcPr>
          <w:p>
            <w:pPr>
              <w:spacing w:after="0"/>
              <w:rPr>
                <w:sz w:val="20"/>
                <w:szCs w:val="20"/>
                <w:color w:val="auto"/>
              </w:rPr>
            </w:pPr>
          </w:p>
        </w:tc>
      </w:tr>
      <w:tr>
        <w:trPr>
          <w:trHeight w:val="63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April 6, 2016</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3.4</w:t>
            </w:r>
          </w:p>
        </w:tc>
        <w:tc>
          <w:tcPr>
            <w:tcW w:w="1340" w:type="dxa"/>
            <w:vAlign w:val="bottom"/>
          </w:tcPr>
          <w:p>
            <w:pPr>
              <w:spacing w:after="0"/>
              <w:rPr>
                <w:sz w:val="20"/>
                <w:szCs w:val="20"/>
                <w:color w:val="auto"/>
              </w:rPr>
            </w:pPr>
          </w:p>
        </w:tc>
      </w:tr>
      <w:tr>
        <w:trPr>
          <w:trHeight w:val="41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May 30, 2007</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4.1</w:t>
            </w:r>
          </w:p>
        </w:tc>
        <w:tc>
          <w:tcPr>
            <w:tcW w:w="1340" w:type="dxa"/>
            <w:vAlign w:val="bottom"/>
          </w:tcPr>
          <w:p>
            <w:pPr>
              <w:spacing w:after="0"/>
              <w:rPr>
                <w:sz w:val="20"/>
                <w:szCs w:val="20"/>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June 18, 2010</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4.1</w:t>
            </w:r>
          </w:p>
        </w:tc>
        <w:tc>
          <w:tcPr>
            <w:tcW w:w="1340" w:type="dxa"/>
            <w:vAlign w:val="bottom"/>
          </w:tcPr>
          <w:p>
            <w:pPr>
              <w:spacing w:after="0"/>
              <w:rPr>
                <w:sz w:val="20"/>
                <w:szCs w:val="20"/>
                <w:color w:val="auto"/>
              </w:rPr>
            </w:pPr>
          </w:p>
        </w:tc>
      </w:tr>
      <w:tr>
        <w:trPr>
          <w:trHeight w:val="441"/>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August 13, 2012</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4.1</w:t>
            </w:r>
          </w:p>
        </w:tc>
        <w:tc>
          <w:tcPr>
            <w:tcW w:w="1340" w:type="dxa"/>
            <w:vAlign w:val="bottom"/>
          </w:tcPr>
          <w:p>
            <w:pPr>
              <w:spacing w:after="0"/>
              <w:rPr>
                <w:sz w:val="20"/>
                <w:szCs w:val="20"/>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2 to Registration</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September 11,</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S-1, as Exhibit</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180" w:space="100"/>
            <w:col w:w="4140"/>
          </w:cols>
          <w:pgMar w:left="240" w:top="468"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3"/>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560" w:type="dxa"/>
            <w:vAlign w:val="bottom"/>
          </w:tcPr>
          <w:p>
            <w:pPr>
              <w:spacing w:after="0"/>
              <w:rPr>
                <w:sz w:val="15"/>
                <w:szCs w:val="15"/>
                <w:color w:val="auto"/>
              </w:rPr>
            </w:pPr>
          </w:p>
        </w:tc>
        <w:tc>
          <w:tcPr>
            <w:tcW w:w="3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20" w:type="dxa"/>
            <w:vAlign w:val="bottom"/>
            <w:vMerge w:val="continue"/>
          </w:tcPr>
          <w:p>
            <w:pPr>
              <w:spacing w:after="0"/>
              <w:rPr>
                <w:sz w:val="3"/>
                <w:szCs w:val="3"/>
                <w:color w:val="auto"/>
              </w:rPr>
            </w:pPr>
          </w:p>
        </w:tc>
        <w:tc>
          <w:tcPr>
            <w:tcW w:w="6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line="20" w:lineRule="exact"/>
              <w:rPr>
                <w:sz w:val="1"/>
                <w:szCs w:val="1"/>
                <w:color w:val="auto"/>
              </w:rPr>
            </w:pPr>
          </w:p>
        </w:tc>
      </w:t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560" w:type="dxa"/>
            <w:vAlign w:val="bottom"/>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0</wp:posOffset>
            </wp:positionV>
            <wp:extent cx="8489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171"/>
        </w:trPr>
        <w:tc>
          <w:tcPr>
            <w:tcW w:w="8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4.5</w:t>
            </w:r>
          </w:p>
        </w:tc>
        <w:tc>
          <w:tcPr>
            <w:tcW w:w="6460" w:type="dxa"/>
            <w:vAlign w:val="bottom"/>
            <w:gridSpan w:val="3"/>
          </w:tcPr>
          <w:p>
            <w:pPr>
              <w:ind w:left="100"/>
              <w:spacing w:after="0" w:line="171" w:lineRule="exact"/>
              <w:rPr>
                <w:sz w:val="20"/>
                <w:szCs w:val="20"/>
                <w:color w:val="auto"/>
              </w:rPr>
            </w:pPr>
            <w:r>
              <w:rPr>
                <w:rFonts w:ascii="Times New Roman" w:cs="Times New Roman" w:eastAsia="Times New Roman" w:hAnsi="Times New Roman"/>
                <w:sz w:val="18"/>
                <w:szCs w:val="18"/>
                <w:color w:val="auto"/>
              </w:rPr>
              <w:t>Form of Series B Preferred Stock Certificate</w:t>
            </w:r>
          </w:p>
        </w:tc>
        <w:tc>
          <w:tcPr>
            <w:tcW w:w="27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2013, as Exhibit 4.15</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Shares of Common Stock expiring August 17, 2016</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4.2</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Shares of Common Stock expiring December 12, 2017</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4.2</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Warrant to Purchase Shares of Common Stock expiring January 30, 2018</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4.2</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Series C Preferred Stock Certificate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2013, as Exhibit 4.15</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Arrowhead Pharmaceuticals, Inc.</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Indenture</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S-3</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(File No. 333-214315)</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Arrowhead Research Corporation (fka InterActive, Inc.) 2000 Stock Option Plan</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Schedule 14C, as Exhibit D</w:t>
            </w:r>
          </w:p>
        </w:tc>
      </w:tr>
      <w:tr>
        <w:trPr>
          <w:trHeight w:val="55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Arrowhead Research Corporation 2004 Equity Incentive Plan, as amended</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Schedule 14C, as Annex A</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Arrowhead Research Corporation 2013 Incentive Plan</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Schedule 14C, as Annex A</w:t>
            </w:r>
          </w:p>
        </w:tc>
      </w:tr>
      <w:tr>
        <w:trPr>
          <w:trHeight w:val="53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Stock Option Agreement for use with the 2013 Incentive Plan</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for use with the 2013 Incentive Plan</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Incentive Plan, adopted December 12, 2006</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2006, as Exhibit 10.11</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Arrowhead and Dr. Christopher Anzalone, dated</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r>
      <w:tr>
        <w:trPr>
          <w:trHeight w:val="234"/>
        </w:trPr>
        <w:tc>
          <w:tcPr>
            <w:tcW w:w="820" w:type="dxa"/>
            <w:vAlign w:val="bottom"/>
          </w:tcPr>
          <w:p>
            <w:pPr>
              <w:spacing w:after="0"/>
              <w:rPr>
                <w:sz w:val="20"/>
                <w:szCs w:val="20"/>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11, 2008</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Amendment to Employment Agreement between Arrowhead and Dr. Christopher</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Anzalone, effective May 12, 2009</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2009, as Exhibit 10.8</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Non-Exclusive License Agreement between Arrowhead Research Corporation and</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Roche entities, dated October 21, 2011†</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2011, as Exhibit 10.33</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License and Collaboration Agreement between F. Hoffmann-La Roche Ltd and</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w:t>
            </w:r>
          </w:p>
        </w:tc>
      </w:tr>
      <w:tr>
        <w:trPr>
          <w:trHeight w:val="216"/>
        </w:trPr>
        <w:tc>
          <w:tcPr>
            <w:tcW w:w="820" w:type="dxa"/>
            <w:vAlign w:val="bottom"/>
          </w:tcPr>
          <w:p>
            <w:pPr>
              <w:spacing w:after="0"/>
              <w:rPr>
                <w:sz w:val="18"/>
                <w:szCs w:val="18"/>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Hoffman-La Roche Inc. and Alnylam Pharmaceuticals, Inc., dated July 8, 2007 †</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ended September 30,</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2011, as Exhibit 10.35</w:t>
            </w:r>
          </w:p>
        </w:tc>
      </w:tr>
      <w:tr>
        <w:trPr>
          <w:trHeight w:val="432"/>
        </w:trPr>
        <w:tc>
          <w:tcPr>
            <w:tcW w:w="820" w:type="dxa"/>
            <w:vAlign w:val="bottom"/>
          </w:tcPr>
          <w:p>
            <w:pPr>
              <w:spacing w:after="0"/>
              <w:rPr>
                <w:sz w:val="24"/>
                <w:szCs w:val="24"/>
                <w:color w:val="auto"/>
              </w:rPr>
            </w:pPr>
          </w:p>
        </w:tc>
        <w:tc>
          <w:tcPr>
            <w:tcW w:w="636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76" w:lineRule="auto"/>
        <w:rPr>
          <w:sz w:val="20"/>
          <w:szCs w:val="20"/>
          <w:color w:val="auto"/>
        </w:rPr>
      </w:pPr>
      <w:r>
        <w:rPr>
          <w:rFonts w:ascii="Times New Roman" w:cs="Times New Roman" w:eastAsia="Times New Roman" w:hAnsi="Times New Roman"/>
          <w:sz w:val="18"/>
          <w:szCs w:val="18"/>
          <w:color w:val="auto"/>
        </w:rPr>
        <w:t>December 18, 2013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2012</w:t>
      </w:r>
    </w:p>
    <w:p>
      <w:pPr>
        <w:spacing w:after="0" w:line="3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12, 2012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2013</w:t>
      </w:r>
    </w:p>
    <w:p>
      <w:pPr>
        <w:spacing w:after="0" w:line="34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December 18, 2013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2016</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October 28, 2016</w:t>
      </w:r>
    </w:p>
    <w:p>
      <w:pPr>
        <w:spacing w:after="0" w:line="200" w:lineRule="exact"/>
        <w:rPr>
          <w:sz w:val="20"/>
          <w:szCs w:val="20"/>
          <w:color w:val="auto"/>
        </w:rPr>
      </w:pPr>
    </w:p>
    <w:p>
      <w:pPr>
        <w:spacing w:after="0" w:line="2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22, 2000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2012</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20, 2013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2014</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2014</w:t>
      </w:r>
    </w:p>
    <w:p>
      <w:pPr>
        <w:spacing w:after="0" w:line="3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14, 2006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2008</w:t>
      </w:r>
    </w:p>
    <w:p>
      <w:pPr>
        <w:spacing w:after="0" w:line="3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22, 2009</w:t>
      </w:r>
    </w:p>
    <w:p>
      <w:pPr>
        <w:spacing w:after="0" w:line="2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20, 2011</w:t>
      </w:r>
    </w:p>
    <w:p>
      <w:pPr>
        <w:spacing w:after="0" w:line="2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20, 2011</w:t>
      </w:r>
    </w:p>
    <w:p>
      <w:pPr>
        <w:sectPr>
          <w:pgSz w:w="11900" w:h="16838" w:orient="portrait"/>
          <w:cols w:equalWidth="0" w:num="2">
            <w:col w:w="10000" w:space="80"/>
            <w:col w:w="1340"/>
          </w:cols>
          <w:pgMar w:left="240" w:top="425"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gridSpan w:val="2"/>
            <w:vMerge w:val="continue"/>
          </w:tcPr>
          <w:p>
            <w:pPr>
              <w:spacing w:after="0"/>
              <w:rPr>
                <w:sz w:val="3"/>
                <w:szCs w:val="3"/>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3"/>
                <w:szCs w:val="3"/>
                <w:color w:val="auto"/>
              </w:rPr>
            </w:pPr>
          </w:p>
        </w:tc>
        <w:tc>
          <w:tcPr>
            <w:tcW w:w="27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3"/>
                <w:szCs w:val="3"/>
                <w:color w:val="auto"/>
              </w:rPr>
            </w:pPr>
          </w:p>
        </w:tc>
        <w:tc>
          <w:tcPr>
            <w:tcW w:w="420" w:type="dxa"/>
            <w:vAlign w:val="bottom"/>
            <w:vMerge w:val="restart"/>
          </w:tcPr>
          <w:p>
            <w:pPr>
              <w:spacing w:after="0"/>
              <w:rPr>
                <w:sz w:val="3"/>
                <w:szCs w:val="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line="20" w:lineRule="exact"/>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6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420"/>
          </w:cols>
          <w:pgMar w:left="240" w:top="425" w:right="239" w:bottom="1440" w:gutter="0" w:footer="0" w:header="0"/>
        </w:sectPr>
      </w:pPr>
    </w:p>
    <w:p>
      <w:pPr>
        <w:ind w:left="920" w:hanging="904"/>
        <w:spacing w:after="0" w:line="313" w:lineRule="auto"/>
        <w:tabs>
          <w:tab w:leader="none" w:pos="9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Collaboration Agreement by and among Alnylam Pharmaceuticals, Inc. and F. Hoffmann-La Roche Ltd and Hoffman-La Roche Inc., dated October 29, 2009 †</w:t>
      </w:r>
    </w:p>
    <w:p>
      <w:pPr>
        <w:spacing w:after="0" w:line="20" w:lineRule="exact"/>
        <w:rPr>
          <w:sz w:val="20"/>
          <w:szCs w:val="20"/>
          <w:color w:val="auto"/>
        </w:rPr>
      </w:pPr>
      <w:r>
        <w:rPr>
          <w:sz w:val="20"/>
          <w:szCs w:val="20"/>
          <w:color w:val="auto"/>
        </w:rPr>
        <w:br w:type="column"/>
      </w: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Annual Report on Form 10-K for the</w:t>
        <w:tab/>
        <w:t>December 20,</w:t>
      </w:r>
    </w:p>
    <w:p>
      <w:pPr>
        <w:spacing w:after="0" w:line="2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fiscal year ended September 30,</w:t>
      </w:r>
      <w:r>
        <w:rPr>
          <w:sz w:val="20"/>
          <w:szCs w:val="20"/>
          <w:color w:val="auto"/>
        </w:rPr>
        <w:tab/>
      </w:r>
      <w:r>
        <w:rPr>
          <w:rFonts w:ascii="Times New Roman" w:cs="Times New Roman" w:eastAsia="Times New Roman" w:hAnsi="Times New Roman"/>
          <w:sz w:val="18"/>
          <w:szCs w:val="18"/>
          <w:color w:val="auto"/>
        </w:rPr>
        <w:t>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2011, as Exhibit 10.36</w:t>
      </w:r>
    </w:p>
    <w:p>
      <w:pPr>
        <w:spacing w:after="0" w:line="112" w:lineRule="exact"/>
        <w:rPr>
          <w:sz w:val="20"/>
          <w:szCs w:val="20"/>
          <w:color w:val="auto"/>
        </w:rPr>
      </w:pPr>
    </w:p>
    <w:p>
      <w:pPr>
        <w:sectPr>
          <w:pgSz w:w="11900" w:h="16838" w:orient="portrait"/>
          <w:cols w:equalWidth="0" w:num="2">
            <w:col w:w="6680" w:space="600"/>
            <w:col w:w="4140"/>
          </w:cols>
          <w:pgMar w:left="240" w:top="42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 Lease Agreement between South Lake Avenue Investors LLC and the</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dated April 12, 2012</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Securities Purchase Agreement between Arrowhead Research Corporation</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certain Investors</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Purchase Agreement between the Company and the purchasers listed</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thereon.</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Agreement by and between Alnylam Pharmaceuticals, Inc., Arrowhead</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Corporation and Arrowhead Madison, Inc.†</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Agreement between University Research Park, Incorporated and Arrowhead</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Madison, Inc., dated January 8, 2016</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Purchase Agreement between the Company and the purchasers listed</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thereon, dated August 8, 2016</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Collaboration and Licensing Agreement between Arrowhead Pharmaceuticals,</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 and Amgen, Inc., dated September 28, 2016*†</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Collaboration and Licensing Agreement between Arrowhead Pharmaceuticals,</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 and Amgen, Inc., dated September 28, 2016*†</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Purchase Agreement between the Company and Amgen Inc., dated</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28, 2016</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Independent Public Registered Accounting Firm*</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of Attorney (contained on signature page)</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by Chief Executive Officer pursuant to Section 906 of the Sarbanes-</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Certification by Chief Financial Officer pursuant to Section 906 of the Sarbanes-Oxley</w:t>
            </w:r>
          </w:p>
        </w:tc>
      </w:tr>
      <w:tr>
        <w:trPr>
          <w:trHeight w:val="234"/>
        </w:trPr>
        <w:tc>
          <w:tcPr>
            <w:tcW w:w="80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800" w:type="dxa"/>
            <w:vAlign w:val="bottom"/>
          </w:tcPr>
          <w:p>
            <w:pPr>
              <w:spacing w:after="0"/>
              <w:rPr>
                <w:sz w:val="24"/>
                <w:szCs w:val="24"/>
                <w:color w:val="auto"/>
              </w:rPr>
            </w:pPr>
          </w:p>
        </w:tc>
        <w:tc>
          <w:tcPr>
            <w:tcW w:w="638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May 8, 2012 Exhibit 10.1</w:t>
      </w:r>
    </w:p>
    <w:p>
      <w:pPr>
        <w:spacing w:after="0" w:line="6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Current Report on Form 8-K, as</w:t>
      </w:r>
      <w:r>
        <w:rPr>
          <w:sz w:val="20"/>
          <w:szCs w:val="20"/>
          <w:color w:val="auto"/>
        </w:rPr>
        <w:tab/>
      </w:r>
      <w:r>
        <w:rPr>
          <w:rFonts w:ascii="Times New Roman" w:cs="Times New Roman" w:eastAsia="Times New Roman" w:hAnsi="Times New Roman"/>
          <w:sz w:val="18"/>
          <w:szCs w:val="18"/>
          <w:color w:val="auto"/>
        </w:rPr>
        <w:t>April 30,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0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Current Report on Form 8-K, as</w:t>
      </w:r>
      <w:r>
        <w:rPr>
          <w:sz w:val="20"/>
          <w:szCs w:val="20"/>
          <w:color w:val="auto"/>
        </w:rPr>
        <w:tab/>
      </w:r>
      <w:r>
        <w:rPr>
          <w:rFonts w:ascii="Times New Roman" w:cs="Times New Roman" w:eastAsia="Times New Roman" w:hAnsi="Times New Roman"/>
          <w:sz w:val="18"/>
          <w:szCs w:val="18"/>
          <w:color w:val="auto"/>
        </w:rPr>
        <w:t>October 10,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112"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Quarterly Report on Form 10-Q, as</w:t>
        <w:tab/>
        <w:t>August 12,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112"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Quarterly Report on Form 10-Q, as</w:t>
        <w:tab/>
        <w:t>February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0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Current Report on Form 8-K, as</w:t>
      </w:r>
      <w:r>
        <w:rPr>
          <w:sz w:val="20"/>
          <w:szCs w:val="20"/>
          <w:color w:val="auto"/>
        </w:rPr>
        <w:tab/>
      </w:r>
      <w:r>
        <w:rPr>
          <w:rFonts w:ascii="Times New Roman" w:cs="Times New Roman" w:eastAsia="Times New Roman" w:hAnsi="Times New Roman"/>
          <w:sz w:val="18"/>
          <w:szCs w:val="18"/>
          <w:color w:val="auto"/>
        </w:rPr>
        <w:t>August 10,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to the Registration November 25,</w:t>
      </w:r>
    </w:p>
    <w:p>
      <w:pPr>
        <w:spacing w:after="0" w:line="27" w:lineRule="exact"/>
        <w:rPr>
          <w:sz w:val="20"/>
          <w:szCs w:val="20"/>
          <w:color w:val="auto"/>
        </w:rPr>
      </w:pPr>
    </w:p>
    <w:p>
      <w:pPr>
        <w:ind w:right="980"/>
        <w:spacing w:after="0" w:line="261" w:lineRule="auto"/>
        <w:rPr>
          <w:sz w:val="20"/>
          <w:szCs w:val="20"/>
          <w:color w:val="auto"/>
        </w:rPr>
      </w:pPr>
      <w:r>
        <w:rPr>
          <w:rFonts w:ascii="Times New Roman" w:cs="Times New Roman" w:eastAsia="Times New Roman" w:hAnsi="Times New Roman"/>
          <w:sz w:val="18"/>
          <w:szCs w:val="18"/>
          <w:color w:val="auto"/>
        </w:rPr>
        <w:t>Statement on Form S-3 (File No. 2016 333-214311)</w:t>
      </w:r>
    </w:p>
    <w:p>
      <w:pPr>
        <w:sectPr>
          <w:pgSz w:w="11900" w:h="16838" w:orient="portrait"/>
          <w:cols w:equalWidth="0" w:num="2">
            <w:col w:w="7180" w:space="100"/>
            <w:col w:w="4140"/>
          </w:cols>
          <w:pgMar w:left="240" w:top="425"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3"/>
                <w:szCs w:val="3"/>
                <w:color w:val="auto"/>
              </w:rPr>
            </w:pPr>
          </w:p>
        </w:tc>
        <w:tc>
          <w:tcPr>
            <w:tcW w:w="27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3"/>
                <w:szCs w:val="3"/>
                <w:color w:val="auto"/>
              </w:rPr>
            </w:pPr>
          </w:p>
        </w:tc>
        <w:tc>
          <w:tcPr>
            <w:tcW w:w="420" w:type="dxa"/>
            <w:vAlign w:val="bottom"/>
            <w:vMerge w:val="restart"/>
          </w:tcPr>
          <w:p>
            <w:pPr>
              <w:spacing w:after="0"/>
              <w:rPr>
                <w:sz w:val="3"/>
                <w:szCs w:val="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line="20" w:lineRule="exact"/>
              <w:rPr>
                <w:sz w:val="1"/>
                <w:szCs w:val="1"/>
                <w:color w:val="auto"/>
              </w:rPr>
            </w:pPr>
          </w:p>
        </w:tc>
      </w:tr>
      <w:tr>
        <w:trPr>
          <w:trHeight w:val="17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6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compensation plan, contract or arrangement.</w:t>
      </w:r>
    </w:p>
    <w:p>
      <w:pPr>
        <w:spacing w:after="0" w:line="3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7" w:lineRule="exact"/>
        <w:rPr>
          <w:sz w:val="20"/>
          <w:szCs w:val="20"/>
          <w:color w:val="auto"/>
        </w:rPr>
      </w:pPr>
    </w:p>
    <w:p>
      <w:pPr>
        <w:ind w:left="380" w:right="80" w:hanging="372"/>
        <w:spacing w:after="0" w:line="27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80" w:firstLine="3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 on this 14th day of December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14, 2016</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Christopher Anzalone</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5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5"/>
                <w:szCs w:val="15"/>
                <w:color w:val="auto"/>
              </w:rPr>
            </w:pPr>
          </w:p>
        </w:tc>
      </w:tr>
      <w:tr>
        <w:trPr>
          <w:trHeight w:val="331"/>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Anzalone</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Christopher Anzalone</w:t>
            </w:r>
          </w:p>
        </w:tc>
        <w:tc>
          <w:tcPr>
            <w:tcW w:w="1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A. Myszkowski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Kenneth A. Myszkowski</w:t>
            </w:r>
          </w:p>
        </w:tc>
        <w:tc>
          <w:tcPr>
            <w:tcW w:w="1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Douglass Given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Douglass Given</w:t>
            </w: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Mauro Ferrari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Mauro Ferrari</w:t>
            </w: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W. Frykman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Edward W. Frykman</w:t>
            </w: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Perry</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2016</w:t>
            </w:r>
          </w:p>
        </w:tc>
        <w:tc>
          <w:tcPr>
            <w:tcW w:w="20" w:type="dxa"/>
            <w:vAlign w:val="bottom"/>
          </w:tcPr>
          <w:p>
            <w:pPr>
              <w:spacing w:after="0"/>
              <w:rPr>
                <w:sz w:val="24"/>
                <w:szCs w:val="24"/>
                <w:color w:val="auto"/>
              </w:rPr>
            </w:pPr>
          </w:p>
        </w:tc>
      </w:tr>
      <w:tr>
        <w:trPr>
          <w:trHeight w:val="232"/>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S. Perry</w:t>
            </w: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6"/>
        </w:trPr>
        <w:tc>
          <w:tcPr>
            <w:tcW w:w="3340" w:type="dxa"/>
            <w:vAlign w:val="bottom"/>
          </w:tcPr>
          <w:p>
            <w:pPr>
              <w:spacing w:after="0"/>
              <w:rPr>
                <w:sz w:val="24"/>
                <w:szCs w:val="24"/>
                <w:color w:val="auto"/>
              </w:rPr>
            </w:pPr>
          </w:p>
        </w:tc>
        <w:tc>
          <w:tcPr>
            <w:tcW w:w="5560" w:type="dxa"/>
            <w:vAlign w:val="bottom"/>
            <w:gridSpan w:val="2"/>
          </w:tcPr>
          <w:p>
            <w:pPr>
              <w:jc w:val="right"/>
              <w:ind w:right="3012"/>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5"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0660" w:type="dxa"/>
            <w:vAlign w:val="bottom"/>
            <w:gridSpan w:val="7"/>
          </w:tcPr>
          <w:p>
            <w:pPr>
              <w:ind w:left="338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w:t>
            </w:r>
          </w:p>
        </w:tc>
        <w:tc>
          <w:tcPr>
            <w:tcW w:w="660" w:type="dxa"/>
            <w:vAlign w:val="bottom"/>
          </w:tcPr>
          <w:p>
            <w:pPr>
              <w:spacing w:after="0"/>
              <w:rPr>
                <w:sz w:val="20"/>
                <w:szCs w:val="20"/>
                <w:color w:val="auto"/>
              </w:rPr>
            </w:pPr>
          </w:p>
        </w:tc>
      </w:tr>
      <w:tr>
        <w:trPr>
          <w:trHeight w:val="419"/>
        </w:trPr>
        <w:tc>
          <w:tcPr>
            <w:tcW w:w="430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Reports of Independent Registered Public Accounting Firm</w:t>
              </w:r>
            </w:hyperlink>
          </w:p>
        </w:tc>
        <w:tc>
          <w:tcPr>
            <w:tcW w:w="6360" w:type="dxa"/>
            <w:vAlign w:val="bottom"/>
            <w:gridSpan w:val="6"/>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0660" w:type="dxa"/>
            <w:vAlign w:val="bottom"/>
            <w:gridSpan w:val="7"/>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 of Arrowhead Pharmaceuticals, Inc., September 30, 2016 and 2015</w:t>
              </w:r>
            </w:hyperlink>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58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Operations of Arrowhead Pharmaceuticals, Inc. for the years ended September 30, 2016, 2015 and 2014</w:t>
              </w:r>
            </w:hyperlink>
          </w:p>
        </w:tc>
        <w:tc>
          <w:tcPr>
            <w:tcW w:w="1120" w:type="dxa"/>
            <w:vAlign w:val="bottom"/>
            <w:gridSpan w:val="3"/>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0660" w:type="dxa"/>
            <w:vAlign w:val="bottom"/>
            <w:gridSpan w:val="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 of Stockholders’ Equity of Arrowhead Pharmaceuticals, Inc. for the years ended September 30, 2016, 2015, and 2014</w:t>
              </w:r>
            </w:hyperlink>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02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Cash Flows of Arrowhead Pharmaceuticals, Inc. for the years ended September 30, 2016, 2015 and 2014</w:t>
              </w:r>
            </w:hyperlink>
          </w:p>
        </w:tc>
        <w:tc>
          <w:tcPr>
            <w:tcW w:w="4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5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Notes to Consolidated Financial Statements of Arrowhead Pharmaceuticals, Inc.</w:t>
              </w:r>
            </w:hyperlink>
          </w:p>
        </w:tc>
        <w:tc>
          <w:tcPr>
            <w:tcW w:w="3780" w:type="dxa"/>
            <w:vAlign w:val="bottom"/>
            <w:tcBorders>
              <w:top w:val="single" w:sz="8" w:color="0000EE"/>
            </w:tcBorders>
            <w:gridSpan w:val="3"/>
          </w:tcPr>
          <w:p>
            <w:pPr>
              <w:spacing w:after="0"/>
              <w:rPr>
                <w:sz w:val="17"/>
                <w:szCs w:val="17"/>
                <w:color w:val="auto"/>
              </w:rPr>
            </w:pPr>
          </w:p>
        </w:tc>
        <w:tc>
          <w:tcPr>
            <w:tcW w:w="1080" w:type="dxa"/>
            <w:vAlign w:val="bottom"/>
            <w:gridSpan w:val="2"/>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Arrowhead Pharmaceuticals, Inc.</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Arrowhead Pharmaceuticals, Inc. and Subsidiaries (the “Company”) as of September 30, 2016 and 2015, and the related consolidated statements of operations and comprehensive loss, stockholders’ equity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Arrowhead Pharmaceuticals, Inc. and Subsidiaries at September 30, 2016 and 2015, and the consolidated results of their operations and their cash flows for each of the three years in the period ended September 30, 2016, in conformity with U.S. generally accepted accounting principles.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Arrowhead Pharmaceuticals, Inc. and Subsidiaries’ internal control over financial reporting as of September 30, 2016, based on criteria established in Internal Control – Integrated Framework issued by the Committee of Sponsoring Organizations of the Treadway Commission (2013 framework) and our report dated December 14,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3" w:name="page64"/>
    <w:bookmarkEnd w:id="63"/>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Arrowhead Pharmaceuticals, Inc.</w:t>
      </w:r>
    </w:p>
    <w:p>
      <w:pPr>
        <w:spacing w:after="0" w:line="22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have audited Arrowhead Pharmaceuticals, Inc. and Subsidiaries’ (the “Company”) internal control over financial reporting as of September 30, 2016, based on criteria established in Internal Control – Integrated Framework issued by the Committee of Sponsoring Organizations of the Treadway Commission (2013 framework) COSO. Arrowhead Pharmaceuticals,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6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opinion, Arrowhead Pharmaceuticals, Inc. and Subsidiaries maintained, in all material respects, effective internal control over financial reporting as of September 30, 2016, based on the criteria established in Internal Control – Integrated Framework issued by the Committee of Sponsoring Organizations of the Treadway Commission (2013 framework).</w:t>
      </w:r>
    </w:p>
    <w:p>
      <w:pPr>
        <w:spacing w:after="0" w:line="176"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the 2016 consolidated financial statements of Arrowhead Pharmaceuticals, Inc. and Subsidiaries and our report dated December 14, 2016 expressed an unqualified opinion thereon.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9"/>
              </w:rPr>
              <w:t>Arrowhead Pharmaceuticals, Inc.</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81,214,354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Trade receivable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1,289,923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3,293,285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3,771,172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823,620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Short term investments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17,539,902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90,502,543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102,871,161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15,386,761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4,526,848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22,164,868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24,824,116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122,333</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132,267,914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12,232,906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5,031,706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4,587,467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3,969,706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3,824,062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rent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2,569,792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1,602,626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Capital lease obligation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Note Payable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25,643,794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15,900,571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Capital lease obligation,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Contingent consideration obligations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5,862,464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2,274,997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Note Payable,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2,533,455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7,508,452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Arrowhead Pharmaceuticals, Inc. stockholders' equity:</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20" w:type="dxa"/>
            <w:vAlign w:val="bottom"/>
            <w:gridSpan w:val="2"/>
          </w:tcPr>
          <w:p>
            <w:pPr>
              <w:ind w:left="5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5,000,000 shares authorized; 15,652 shares issued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outstanding as of September 30, 2016 and September 30, 2015</w:t>
            </w:r>
          </w:p>
        </w:tc>
        <w:tc>
          <w:tcPr>
            <w:tcW w:w="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20" w:type="dxa"/>
            <w:vAlign w:val="bottom"/>
            <w:gridSpan w:val="2"/>
            <w:shd w:val="clear" w:color="auto" w:fill="CFF0FC"/>
          </w:tcPr>
          <w:p>
            <w:pPr>
              <w:ind w:left="500"/>
              <w:spacing w:after="0" w:line="139" w:lineRule="exact"/>
              <w:rPr>
                <w:sz w:val="20"/>
                <w:szCs w:val="20"/>
                <w:color w:val="auto"/>
              </w:rPr>
            </w:pPr>
            <w:r>
              <w:rPr>
                <w:rFonts w:ascii="Times New Roman" w:cs="Times New Roman" w:eastAsia="Times New Roman" w:hAnsi="Times New Roman"/>
                <w:sz w:val="14"/>
                <w:szCs w:val="14"/>
                <w:color w:val="auto"/>
              </w:rPr>
              <w:t>Common stock, $0.001 par value; 145,000,000 shares authorized; 69,746,685 and 59,544,677 shares</w:t>
            </w:r>
          </w:p>
        </w:tc>
        <w:tc>
          <w:tcPr>
            <w:tcW w:w="14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162,116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issued and outstanding as of September 30, 2016 and September 30, 2015, respectively</w:t>
            </w:r>
          </w:p>
        </w:tc>
        <w:tc>
          <w:tcPr>
            <w:tcW w:w="14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493,844,909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426,873,358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(136,425)</w:t>
            </w: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(398,435,043)</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(316,712,041)</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Total Arrowhead Pharmaceuticals, Inc. stockholders' equity</w:t>
            </w: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95,579,447</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110,176,822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95,024,259</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109,621,634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132,267,914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158,333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382,000</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175,000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41,454,452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47,267,361</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23,138,050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10,142,786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Salaries and payroll-related costs</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19,461,656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16,554,008</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12,829,355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9,940,737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7,931,184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5,894,008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11,595,816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10,232,897</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5,696,173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3,260,045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1,345,655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Impairment expense</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2,050,817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2,172,387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Contingent consideration - fair value adjustments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(5,862,464)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1,891,533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81,901,059</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96,355,976</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53,451,286</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(81,742,726)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(95,973,976)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(53,276,286)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(78,874)</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Gain (loss) on sale of fixed assets, net</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19,195</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(58,878)</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(301,022)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2,869,267</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(6,033,659)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417,874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82,092</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22,124</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4,035,494</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(5,443,826)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(81,720,602)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(91,938,482)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(58,720,112)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(81,723,002)</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(91,940,882)</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(58,725,412)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LOSS ATTRIBUTABLE TO ARROWHEAD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(81,723,002)</w:t>
            </w:r>
          </w:p>
        </w:tc>
        <w:tc>
          <w:tcPr>
            <w:tcW w:w="2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(91,940,882)</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(58,630,190)</w:t>
            </w: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200" w:type="dxa"/>
            <w:vAlign w:val="bottom"/>
            <w:shd w:val="clear" w:color="auto" w:fill="CFF0FC"/>
          </w:tcPr>
          <w:p>
            <w:pPr>
              <w:ind w:left="14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ARROWHEAD</w:t>
            </w:r>
          </w:p>
        </w:tc>
        <w:tc>
          <w:tcPr>
            <w:tcW w:w="34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SHAREHOLDERS - BASIC &amp;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61,050,880</w:t>
            </w:r>
          </w:p>
        </w:tc>
        <w:tc>
          <w:tcPr>
            <w:tcW w:w="2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57,358,442</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46,933,030</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(136,425)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shd w:val="clear" w:color="auto" w:fill="CFF0FC"/>
          </w:tcPr>
          <w:p>
            <w:pPr>
              <w:spacing w:after="0"/>
              <w:rPr>
                <w:sz w:val="19"/>
                <w:szCs w:val="19"/>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(81,579,128)</w:t>
            </w:r>
          </w:p>
        </w:tc>
        <w:tc>
          <w:tcPr>
            <w:tcW w:w="520" w:type="dxa"/>
            <w:vAlign w:val="bottom"/>
            <w:gridSpan w:val="2"/>
            <w:vMerge w:val="restart"/>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(92,077,307)</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(58,630,190)</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200" w:type="dxa"/>
            <w:vAlign w:val="bottom"/>
            <w:tcBorders>
              <w:right w:val="single" w:sz="8" w:color="CFF0FC"/>
            </w:tcBorders>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1400" w:type="dxa"/>
            <w:vAlign w:val="bottom"/>
            <w:tcBorders>
              <w:right w:val="single" w:sz="8" w:color="CFF0FC"/>
            </w:tcBorders>
            <w:gridSpan w:val="2"/>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0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2013</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10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80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0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9,900</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32,489,444</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124,859</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$ 193,514,766</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 (166,140,969)</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(1,763,877)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25,734,789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2,911,919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10,145,133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10,148,044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2,729,545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5,696,173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5,696,173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cash at $5.86,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3,071,672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14,057,040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14,060,112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offering costs</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cash at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6,325,000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112,575,234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112,581,559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$18.95, net of offering costs</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Preferred stock issued for cash at $1,000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45,999,954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to Galloway</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131,579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499,868</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Settlements related to derivative liability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5,956,079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Preferred stock converted to common</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(37,600)</w:t>
            </w:r>
          </w:p>
        </w:tc>
        <w:tc>
          <w:tcPr>
            <w:tcW w:w="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9,272,459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9,272</w:t>
            </w:r>
          </w:p>
        </w:tc>
        <w:tc>
          <w:tcPr>
            <w:tcW w:w="128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(9,234)</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80" w:type="dxa"/>
            <w:vAlign w:val="bottom"/>
            <w:gridSpan w:val="3"/>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Deconsolidation of Calando</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1,303,911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1,303,911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Pharmaceuticals, Inc.</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year ended September</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3"/>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(58,630,190)</w:t>
            </w: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(95,222)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(58,725,412)</w:t>
            </w: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30, 2014</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2014</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18,300</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54,656,936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147,026</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$ 391,164,558</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 (224,771,159)</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165,985,255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79,828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401,795</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101,841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10,232,897</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10,232,897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exchange rights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Preferred stock converted to common</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1,316,215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28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(1,314)</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80" w:type="dxa"/>
            <w:vAlign w:val="bottom"/>
            <w:gridSpan w:val="3"/>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136,307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(26,165)</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(26,029)</w:t>
            </w: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to Novartis at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3,321,383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24,996,679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$7.53</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(136,425)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(136,425)</w:t>
            </w: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year ended September</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3"/>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(91,940,882)</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(91,940,882)</w:t>
            </w: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30, 2015</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2015</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15,652</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59,544,677</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151,914</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$ 426,873,358</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(136,425)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 (316,712,041)</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109,621,634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852,532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3,690,545</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3,691,398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133,832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11,595,816</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11,595,816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428,187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(671,193)</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(670,765)</w:t>
            </w: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cash at $5.90</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7,627,119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43,223,808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43,231,435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 share, net of offering costs</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to Amgen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1,256,983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8,998,743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$7.16 per share</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143,874</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year ended September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8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(81,723,002)</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(81,723,002)</w:t>
            </w:r>
          </w:p>
        </w:tc>
        <w:tc>
          <w:tcPr>
            <w:tcW w:w="0" w:type="dxa"/>
            <w:vAlign w:val="bottom"/>
          </w:tcPr>
          <w:p>
            <w:pPr>
              <w:spacing w:after="0"/>
              <w:rPr>
                <w:sz w:val="1"/>
                <w:szCs w:val="1"/>
                <w:color w:val="auto"/>
              </w:rPr>
            </w:pPr>
          </w:p>
        </w:tc>
      </w:tr>
      <w:tr>
        <w:trPr>
          <w:trHeight w:val="171"/>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30, 2016</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2016</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15,652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69,746,685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162,116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$ 493,844,909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7,449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(398,435,043</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95,024,259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(81,723,002)</w:t>
            </w:r>
          </w:p>
        </w:tc>
        <w:tc>
          <w:tcPr>
            <w:tcW w:w="46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(91,940,882)</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(58,725,412)</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 attributable to Arrowhead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(81,723,002)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(91,940,882)</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(58,630,190)</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loss on disposal of fixed assets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(19,195)</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value of derivatives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(2,869,267)</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6,033,659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Contingent consideration - fair value adjustments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(5,862,464)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1,891,533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2,375,658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impairment expense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2,050,817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2,172,387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Acquired-in-process research and development</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10,142,786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11,595,816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10,232,897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3,260,045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2,336,207</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note premiums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1,110,524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(84,721)</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gain on equity investment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(87,197)</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(95,222)</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(75,000)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(1,020,734)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(3,485,421)</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(54,966)</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Deferred revenue</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2,554,802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2,497,804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(871,833)</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4,435,784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3,478,094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(40,385)</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5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(64,427,486)</w:t>
            </w: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(65,707,615)</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(35,416,373)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(3,860,237)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(1,970,612)</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(1,717,362)</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fixed assets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(46,365,528)</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26,090,950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11,591,120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acquisitions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(10,000,000)</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5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13,447,763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14,120,838</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(36,481,770)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leases and notes payable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(217,549)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(213,991)</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(225,406)</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of taxes for net share settled restricted stock unit issuances</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(634,187)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52,231,433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172,641,671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the exercise of warrants and stock options</w:t>
            </w:r>
          </w:p>
        </w:tc>
        <w:tc>
          <w:tcPr>
            <w:tcW w:w="5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3,752,120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504,512</w:t>
            </w:r>
          </w:p>
        </w:tc>
        <w:tc>
          <w:tcPr>
            <w:tcW w:w="24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12,878,044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55,131,817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290,521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185,294,309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4,152,094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(51,296,256)</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113,396,166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5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81,214,354</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132,510,610</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19,114,444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AT END OF PERIOD</w:t>
            </w:r>
          </w:p>
        </w:tc>
        <w:tc>
          <w:tcPr>
            <w:tcW w:w="5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85,366,448</w:t>
            </w: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81,214,354</w:t>
            </w:r>
          </w:p>
        </w:tc>
        <w:tc>
          <w:tcPr>
            <w:tcW w:w="2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132,510,610</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Supplementary disclosures:</w:t>
            </w: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(11,287)</w:t>
            </w:r>
          </w:p>
        </w:tc>
        <w:tc>
          <w:tcPr>
            <w:tcW w:w="460" w:type="dxa"/>
            <w:vAlign w:val="bottom"/>
            <w:gridSpan w:val="2"/>
            <w:shd w:val="clear" w:color="auto" w:fill="CFF0FC"/>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(14,429)</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(25,635)</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and Equipment purchased through tenant improvement allowance financing</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(4,849,360)</w:t>
            </w:r>
          </w:p>
        </w:tc>
        <w:tc>
          <w:tcPr>
            <w:tcW w:w="46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Property and Equipment expenditures included in accounts payable and accrued expenses</w:t>
            </w: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(4,801,930)</w:t>
            </w:r>
          </w:p>
        </w:tc>
        <w:tc>
          <w:tcPr>
            <w:tcW w:w="460" w:type="dxa"/>
            <w:vAlign w:val="bottom"/>
            <w:gridSpan w:val="2"/>
            <w:shd w:val="clear" w:color="auto" w:fill="CFF0FC"/>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Credits Refunded</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1,365,288</w:t>
            </w:r>
          </w:p>
        </w:tc>
        <w:tc>
          <w:tcPr>
            <w:tcW w:w="80" w:type="dxa"/>
            <w:vAlign w:val="bottom"/>
          </w:tcPr>
          <w:p>
            <w:pPr>
              <w:spacing w:after="0"/>
              <w:rPr>
                <w:sz w:val="14"/>
                <w:szCs w:val="14"/>
                <w:color w:val="auto"/>
              </w:rPr>
            </w:pPr>
          </w:p>
        </w:tc>
        <w:tc>
          <w:tcPr>
            <w:tcW w:w="46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Taxes Paid</w:t>
            </w: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(2,400)</w:t>
            </w:r>
          </w:p>
        </w:tc>
        <w:tc>
          <w:tcPr>
            <w:tcW w:w="460" w:type="dxa"/>
            <w:vAlign w:val="bottom"/>
            <w:gridSpan w:val="2"/>
            <w:shd w:val="clear" w:color="auto" w:fill="CFF0FC"/>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(2,400)</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(5,862)</w:t>
            </w:r>
          </w:p>
        </w:tc>
        <w:tc>
          <w:tcPr>
            <w:tcW w:w="0" w:type="dxa"/>
            <w:vAlign w:val="bottom"/>
          </w:tcPr>
          <w:p>
            <w:pPr>
              <w:spacing w:after="0"/>
              <w:rPr>
                <w:sz w:val="1"/>
                <w:szCs w:val="1"/>
                <w:color w:val="auto"/>
              </w:rPr>
            </w:pPr>
          </w:p>
        </w:tc>
      </w:tr>
      <w:tr>
        <w:trPr>
          <w:trHeight w:val="162"/>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Common stock issued to Galloway Limited in settlement of services agreement</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Common Stock issued to Novartis for asset acquisition</w:t>
            </w: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(25,000,000)</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formerly known as Arrowhead Research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29" w:lineRule="exact"/>
        <w:rPr>
          <w:sz w:val="20"/>
          <w:szCs w:val="20"/>
          <w:color w:val="auto"/>
        </w:rPr>
      </w:pPr>
    </w:p>
    <w:p>
      <w:pPr>
        <w:ind w:right="55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 and Recent Developments</w:t>
      </w:r>
    </w:p>
    <w:p>
      <w:pPr>
        <w:spacing w:after="0" w:line="15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Arrowhead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 cardiovascular target under a license and collaboration agreement with Amgen, Inc., a Delaware corporation (“Amgen”). ARO-LPA for cardiovascular disease was recently out-licensed to Amgen.</w:t>
      </w:r>
    </w:p>
    <w:p>
      <w:pPr>
        <w:spacing w:after="0" w:line="77"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In April 2016, the Company changed its name from Arrowhead Research Corporation to Arrowhead Pharmaceuticals, Inc., to better reflect the Company’s focus on advancing products through clinical development to bring innovative new medicines to patients.</w:t>
      </w:r>
    </w:p>
    <w:p>
      <w:pPr>
        <w:spacing w:after="0" w:line="5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During fiscal year 2016, the Company continued to develop its clinical candidates, ARC-520 and ARC-521, for the treatment of chronic hepatitis B infection as well as its second clinical candidate,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clinical candidates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has also reduced its workforce by approximately 30%, while maintaining resourcing necessary to support current and potential future partner-based programs and the Company’s pipeline.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4" w:lineRule="exact"/>
        <w:rPr>
          <w:sz w:val="20"/>
          <w:szCs w:val="20"/>
          <w:color w:val="auto"/>
        </w:rPr>
      </w:pPr>
    </w:p>
    <w:p>
      <w:pPr>
        <w:ind w:right="40" w:firstLine="518"/>
        <w:spacing w:after="0" w:line="263" w:lineRule="auto"/>
        <w:rPr>
          <w:sz w:val="20"/>
          <w:szCs w:val="20"/>
          <w:color w:val="auto"/>
        </w:rPr>
      </w:pPr>
      <w:r>
        <w:rPr>
          <w:rFonts w:ascii="Times New Roman" w:cs="Times New Roman" w:eastAsia="Times New Roman" w:hAnsi="Times New Roman"/>
          <w:sz w:val="18"/>
          <w:szCs w:val="18"/>
          <w:color w:val="auto"/>
        </w:rPr>
        <w:t>At September 30, 2016, the Company had $85.4 million in cash to fund operations. During the year ended September 30, 2016, the Company’s cash position increased by $4.2 million, which was primarily the result of net proceeds of $43.2 million related to the issuance of Common Stock as part of its August 2016 equity financing, $17.3 million of maturities of fixed income investments, and $9 million related to the issuance of Common Stock as part of the Company’s Common Stock Purchase Agreement with Amgen. The August 2016 equity financing and the Common Stock Purchase Agreement with Amgen, Inc. are discussed in further detail in Note 6 and Note 2, respectively. These inflows were partially offset by cash outflows related to operating activities of $64.4 million.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9" w:name="page70"/>
    <w:bookmarkEnd w:id="69"/>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On November 18, 2016, the Company and Amgen received Hart-Scott-Rodino clearance with regard to the Second Collaboration and License Agreement discussed in Note 2 below. Based on the terms of this agreement, and the Common Stock Purchase Agreement, the Company issued 1,745,810 shares of Common Stock to Amgen, and received proceeds of approximately $12.5 million. Additionally, the Company received a $30 million upfront payment due under the Second Collaboration and License Agreement discussed above.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4"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The Company had no restricted cash at September 30, 2016 and September 30, 2015.</w:t>
      </w:r>
    </w:p>
    <w:p>
      <w:pPr>
        <w:spacing w:after="0" w:line="162"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 During the year ended September 30, 2016, all of the Company’s investments were classified as held-to-maturity, and they all matured during the period.</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0" w:name="page71"/>
    <w:bookmarkEnd w:id="70"/>
    <w:p>
      <w:pPr>
        <w:ind w:firstLine="518"/>
        <w:spacing w:after="0" w:line="254" w:lineRule="auto"/>
        <w:rPr>
          <w:sz w:val="20"/>
          <w:szCs w:val="20"/>
          <w:color w:val="auto"/>
        </w:rPr>
      </w:pPr>
      <w:r>
        <w:rPr>
          <w:rFonts w:ascii="Times New Roman" w:cs="Times New Roman" w:eastAsia="Times New Roman" w:hAnsi="Times New Roman"/>
          <w:sz w:val="18"/>
          <w:szCs w:val="18"/>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86"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99" w:lineRule="exact"/>
        <w:rPr>
          <w:sz w:val="20"/>
          <w:szCs w:val="20"/>
          <w:color w:val="auto"/>
        </w:rPr>
      </w:pPr>
    </w:p>
    <w:p>
      <w:pPr>
        <w:ind w:right="40" w:firstLine="575"/>
        <w:spacing w:after="0" w:line="282" w:lineRule="auto"/>
        <w:rPr>
          <w:sz w:val="20"/>
          <w:szCs w:val="20"/>
          <w:color w:val="auto"/>
        </w:rPr>
      </w:pPr>
      <w:r>
        <w:rPr>
          <w:rFonts w:ascii="Times New Roman" w:cs="Times New Roman" w:eastAsia="Times New Roman" w:hAnsi="Times New Roman"/>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80" w:firstLine="588"/>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control of the vendor.</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1" w:name="page72"/>
    <w:bookmarkEnd w:id="71"/>
    <w:p>
      <w:pPr>
        <w:ind w:right="60"/>
        <w:spacing w:after="0" w:line="258" w:lineRule="auto"/>
        <w:rPr>
          <w:sz w:val="20"/>
          <w:szCs w:val="20"/>
          <w:color w:val="auto"/>
        </w:rPr>
      </w:pPr>
      <w:r>
        <w:rPr>
          <w:rFonts w:ascii="Times New Roman" w:cs="Times New Roman" w:eastAsia="Times New Roman" w:hAnsi="Times New Roman"/>
          <w:sz w:val="18"/>
          <w:szCs w:val="18"/>
          <w:color w:val="auto"/>
        </w:rPr>
        <w:t>estimate the level of effort to complete performance obligations under an arrangement, the Company recognizes revenue under the arrangement on a straight-line basis over the period the Company is expected to complete its performance obligations. Under either method, revenue is limited to the lesser of the cumulative amount of payments received or the cumulative amount of revenue earned, as calculated under either method, as of the period ending date. Significant management judgment is required in determining the level of effort required under an arrangement and the period over which the Company is expected to complete its performance obligations under an arrangement.</w:t>
      </w:r>
    </w:p>
    <w:p>
      <w:pPr>
        <w:spacing w:after="0" w:line="18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89"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years ended September 30, 2016 and 2015 have been excluded from the calculation of Diluted earnings (loss) per share due to their anti-dilutive effect.</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120" w:firstLine="407"/>
        <w:spacing w:after="0" w:line="255"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In April 2016, the FASB issued an amendment to ASU No. 2014-09 with update ASU 2016-10 which provided more specific guidance around the idenitification of performance obligations and licensing arrangements. The Company is evaluating the potential effects of the adoption of this update on its financial statements.</w:t>
      </w:r>
    </w:p>
    <w:p>
      <w:pPr>
        <w:spacing w:after="0" w:line="185" w:lineRule="exact"/>
        <w:rPr>
          <w:sz w:val="20"/>
          <w:szCs w:val="20"/>
          <w:color w:val="auto"/>
        </w:rPr>
      </w:pPr>
    </w:p>
    <w:p>
      <w:pPr>
        <w:ind w:right="120" w:firstLine="407"/>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88" w:lineRule="exact"/>
        <w:rPr>
          <w:sz w:val="20"/>
          <w:szCs w:val="20"/>
          <w:color w:val="auto"/>
        </w:rPr>
      </w:pPr>
    </w:p>
    <w:p>
      <w:pPr>
        <w:ind w:right="100" w:firstLine="497"/>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Improvements to Employee Share-Based Payment Accounting. ASU 2016-09 eliminates additional paid in capital ("APIC") pools and requires excess tax benefits and tax deficiencies to be recorded in the income statement when the awards vest or are settled. The accounting for an employee's use of shares to satisfy the employer's statutory income tax withholding obligation and the accounting for forfeitures is also changing. ASU 2016-09 becomes effective for the Company in the first quarter of 2018. The Company early adopted ASU 2016-09 during the three months ended March 31, 2016, and the adoption of this update is not expected to have a material effect on its Consolidated Financial Statements.</w:t>
      </w:r>
    </w:p>
    <w:p>
      <w:pPr>
        <w:spacing w:after="0" w:line="213" w:lineRule="exact"/>
        <w:rPr>
          <w:sz w:val="20"/>
          <w:szCs w:val="20"/>
          <w:color w:val="auto"/>
        </w:rPr>
      </w:pPr>
    </w:p>
    <w:p>
      <w:pPr>
        <w:jc w:val="both"/>
        <w:ind w:firstLine="461"/>
        <w:spacing w:after="0" w:line="257" w:lineRule="auto"/>
        <w:rPr>
          <w:sz w:val="20"/>
          <w:szCs w:val="20"/>
          <w:color w:val="auto"/>
        </w:rPr>
      </w:pPr>
      <w:r>
        <w:rPr>
          <w:rFonts w:ascii="Times New Roman" w:cs="Times New Roman" w:eastAsia="Times New Roman" w:hAnsi="Times New Roman"/>
          <w:sz w:val="18"/>
          <w:szCs w:val="18"/>
          <w:color w:val="auto"/>
        </w:rPr>
        <w:t>In August 2016, the FASB issued ASU No. 2016-15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Classification of Certain Cash Receipts and Cash Payments. This ASU amends Accounting Standards Codification (“ASC”) 230 and is intended to provide guidance and clarification in regards to the classification of eight types of receipts and payments in the statement of cash flows, including debt repayment or extinguishment costs, settlement of zero-coupon bonds, proceeds from the settlement of insurance claims, distributions received from equity method investees and cash receipts from beneficial interest in securitization transactions. The guidance will be effective for the Company as of October 1, 2018, and the adoption of this update is not expected to have a material effect on its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COLLABORATION AND LICENSE AGREEMENTS – AMGEN, INC.</w:t>
      </w:r>
    </w:p>
    <w:p>
      <w:pPr>
        <w:spacing w:after="0" w:line="121"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Amgen will receive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Amgen received an option to a worldwide, exclusive license for ARO-AMG1, an RNAi therapy for an undisclosed genetically validated cardiovascular target. In both agreements, Amgen will be wholly responsible for clinical development and commercialization.</w:t>
      </w:r>
    </w:p>
    <w:p>
      <w:pPr>
        <w:spacing w:after="0" w:line="18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execution. The Common Stock was delivered in two closings per the terms of the agreement. The first tranche of 1,256,983 shares of Common Stock was issued on September 29, 2016, and the Company received proceeds of approximately $9 million. The second tranche of 1,745,810 shares was subject to Hart-Scott-Rodino clearance which was reached on November 18, 2016. The Company received proceeds of approximately $12.5 million from this tranche of shares. Subject to Amgen’s exercise of the Option, as defined in the First Collaboration and License Agreement, Amgen has agreed to purchase, and the Company has agreed to sell, an additional $5 million worth of shares of Common Stock based on a 30 trading day formula surrounding the date of the Option exercise.</w:t>
      </w:r>
    </w:p>
    <w:p>
      <w:pPr>
        <w:spacing w:after="0" w:line="189"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will receive $35 million in upfront payments, $21.5 million in the form of an equity investment by Amgen in the Company’s Common Stock, and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8"/>
          <w:szCs w:val="18"/>
          <w:color w:val="auto"/>
        </w:rPr>
        <w:t>Under the terms of the First Collaboration and License Agreement, the Company is granting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First Collaboration and License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When multiple deliverables are accounted for as a single unit of accounting, the Company bases its revenue recognition pattern on the final deliverable. The Company will recognize revenue on a straight-line basis from October 1, 2016, through September 30, 2018. The due date for achieving the Arrowhead Deliverable, as defined in the agreement, is September 28, 2018. The Company received the upfront payment of $5 million due under this agreement in September 2016. It has been be initially recorded as deferred revenue in the Company’s Consolidated Balance Sheets, and will be amortized over the period discussed above.</w:t>
      </w:r>
    </w:p>
    <w:p>
      <w:pPr>
        <w:spacing w:after="0" w:line="19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8"/>
          <w:szCs w:val="18"/>
          <w:color w:val="auto"/>
        </w:rPr>
        <w:t>Under the terms of the Second Collaboration and License Agreement, the Company is granting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Second Collaboration and License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When multiple deliverables are accounted for as a single unit of accounting, the Company bases its revenue recognition pattern on the final deliverable.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It will be initially recorded as deferred revenue, and amortized over the period discussed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442,915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11,885,365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3,117,537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19,899,521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(4,512,760)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(5,460,665)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15,386,761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4,526,848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September 30, 2016, the Company’s leasehold improvements increased as the Company has moved into a larger research facility in Madison, Wisconsin. The lease terms of this facility are discussed in Note 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Additionally, during the year ended September 30, 2016, the Company recognized a $1.1 million impairment expense related to leasehold improvements at its previous research facility in Madison, Wisconsin. This amount represented the entire net book value remaining for the leasehold improvements associated with the previous facility, and was recognized during the year ended September 30, 2016.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had invested a portion of its excess cash balances in short-term and long-term debt securities. During the year ended September 30, 2016, the Company’s investments all matured, and the Company has not invested any excess cash at September 30, 2016. The Company may also invest excess cash balances in certificates of deposit, money market accounts, U.S. Treasuries, U.S. government agency obligations, corporate debt securities, and/or commercial paper. The Company has historically accounted for its investments in accordance with FASB ASC 320, Investments – Debt and Equity Securities. All investments historically have been classified as held-to-maturity securities.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short-term investments as of September 30, 2016, and September 30, 2015.</w:t>
      </w:r>
    </w:p>
    <w:p>
      <w:pPr>
        <w:sectPr>
          <w:pgSz w:w="11900" w:h="16838" w:orient="portrait"/>
          <w:cols w:equalWidth="0" w:num="1">
            <w:col w:w="11400"/>
          </w:cols>
          <w:pgMar w:left="240" w:top="7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notes (due within one year)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notes (due within one year)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INTANGIBLE 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As of September 30, 2016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September 30, 2015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17,539,902</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17,234,960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-788035</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-170815</wp:posOffset>
            </wp:positionV>
            <wp:extent cx="72466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3980" w:space="720"/>
            <w:col w:w="6700"/>
          </w:cols>
          <w:pgMar w:left="240" w:top="725" w:right="259" w:bottom="1440" w:gutter="0" w:footer="0" w:header="0"/>
          <w:type w:val="continuous"/>
        </w:sect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(“IPR&amp;D”) not subject to amortization, and patents and license agreements subject to amortization, which were capitalized as a part of an asset acquisition.</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IPR&amp;D represents projects that have not yet received regulatory approval and are required to be classified as indefinite assets until the successful completion or the abandonment of the associated R&amp;D efforts. These assets include IPR&amp;D capitalized as part of a business combination from the acquisition of the Roche RNAi business in 2011. In November 2016, the Company announced the discontinuation of its clinical trial efforts for ARC-520, ARC-AAT and ARC-521. Given this development, the Company has impaired the IPR&amp;D asset previously recorded during the year ended September 30, 2016.</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25" w:right="259" w:bottom="1440" w:gutter="0" w:footer="0" w:header="0"/>
          <w:type w:val="continuous"/>
        </w:sectPr>
      </w:pPr>
    </w:p>
    <w:bookmarkStart w:id="75" w:name="page76"/>
    <w:bookmarkEnd w:id="75"/>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 2015 and license agreements capitalized from the acquisition of the Roche RNAi business in 2011. The license agreement associated with the Novartis RNAi asset acquisition is being amortized over the estimated life remaining at the time of acquisition, which was 21 years, and the accumulated amortization of the asset is approximately $234,975. The license agreements associated with the acquisition of the Roche RNAi business were amortized over the estimated life remaining at the time of acquisition, which was 4 years, and the accumulated amortization of the assets is approximately $230,000. These assets have been fully amortized as of September 30, 2016. The patents associated with the Novartis RNAi asset acquisition are being amortized over the estimated life remaining at the time of acquisition, which was 14 years, and the accumulated amortization of the assets is approximately $2,457,371. Amortization expense for the years ended September 30, 2016, 2015 and 2014 was $1,714,313, $1,046,571 and $54,653, respectively. Amortization expense is expected to be approximately $1,700,429 for fiscal year 2017, $1,700,429 in 2018, $1,700,429 in 2019, $1,700,429 in 2020, $1,700,429 in 2021, $1,700,429 in 2022, and $11,962,294 thereafter.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3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 subject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944,935</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23,879,181</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(944,935)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(1,714,313)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(1,714,313)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22,164,868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At September 30, 2016,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At September 30, 2016, 69,746,685 shares of Common Stock were outstanding. Additionally, 15,652 shares of Series C Preferred Stock were outstanding, which are convertible into 2,670,990 shares of Common Stock. At September 30, 2016, 8,696,623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8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On March 3, 2015, the Company issued 3,321,383 shares of Common Stock as part of the Company’s entry into an Asset Purchase and Exclusive License Agreement (the “RNAi Purchase Agreement”) with Novartis Institutes for BioMedical Research, Inc., a Delaware corporation (“Novartis”), pursuant to which the Company acquired Novartis’ RNAi assets and rights thereunder.</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August 8, 2016 the Company sold 7,627,119 shares of Common Stock to certain institutional investors at a price of $5.90 per share. The aggregate purchase price paid by the investors for the Common Stock was $45.0 million, and the Company received net proceeds of approximately $43.2 million, after advisory fees and offering expenses.</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On September 28, 2016 the Company sold 1,256,983 shares of Common Stock to Amgen, Inc. at a price of $7.16 per share as part of the Common Stock Purchase Agreement executed with Amgen and discussed further in Note 2 – </w:t>
      </w:r>
      <w:r>
        <w:rPr>
          <w:rFonts w:ascii="Times New Roman" w:cs="Times New Roman" w:eastAsia="Times New Roman" w:hAnsi="Times New Roman"/>
          <w:sz w:val="18"/>
          <w:szCs w:val="18"/>
          <w:i w:val="1"/>
          <w:iCs w:val="1"/>
          <w:color w:val="auto"/>
        </w:rPr>
        <w:t>Collaboration and License Agreements – Amgen, Inc</w:t>
      </w:r>
      <w:r>
        <w:rPr>
          <w:rFonts w:ascii="Times New Roman" w:cs="Times New Roman" w:eastAsia="Times New Roman" w:hAnsi="Times New Roman"/>
          <w:sz w:val="18"/>
          <w:szCs w:val="18"/>
          <w:color w:val="auto"/>
        </w:rPr>
        <w:t>. The Company received proceeds of $9 million. On November 18, 2016, a second tranche of 1,745,810 shares were also sold to Amgen at a price of $7.16 per share as part of the Common Stock Purchase Agreement. The Company received proceeds of $12.5 million in November 2016.</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warrants outstanding at September 30, 2016:</w:t>
      </w:r>
    </w:p>
    <w:p>
      <w:pPr>
        <w:spacing w:after="0" w:line="233"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840" w:type="dxa"/>
            <w:vAlign w:val="bottom"/>
            <w:gridSpan w:val="4"/>
            <w:vMerge w:val="continue"/>
          </w:tcPr>
          <w:p>
            <w:pPr>
              <w:spacing w:after="0"/>
              <w:rPr>
                <w:sz w:val="15"/>
                <w:szCs w:val="15"/>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top w:val="single" w:sz="8" w:color="auto"/>
            </w:tcBorders>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528,181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8,500 square feet of office space for its corporate headquarters in Pasadena, California. The lease will expire in September 2019. Rental costs are approximately $26,000 per month, increasing approximately 3% annually.</w:t>
      </w:r>
    </w:p>
    <w:p>
      <w:pPr>
        <w:spacing w:after="0" w:line="270" w:lineRule="exact"/>
        <w:rPr>
          <w:sz w:val="20"/>
          <w:szCs w:val="20"/>
          <w:color w:val="auto"/>
        </w:rPr>
      </w:pPr>
    </w:p>
    <w:p>
      <w:pPr>
        <w:ind w:right="220" w:firstLine="485"/>
        <w:spacing w:after="0" w:line="258" w:lineRule="auto"/>
        <w:rPr>
          <w:sz w:val="20"/>
          <w:szCs w:val="20"/>
          <w:color w:val="auto"/>
        </w:rPr>
      </w:pPr>
      <w:r>
        <w:rPr>
          <w:rFonts w:ascii="Times New Roman" w:cs="Times New Roman" w:eastAsia="Times New Roman" w:hAnsi="Times New Roman"/>
          <w:sz w:val="18"/>
          <w:szCs w:val="18"/>
          <w:color w:val="auto"/>
        </w:rPr>
        <w:t>On January 8, 2016, the Company entered into a new lease for a Madison, Wisconsin research facility. The 10-year lease between with University Research Park, Inc. is for approximately 60,000 square feet of office and laboratory space located at 502 South Rosa Road, Madison, Wisconsin. This lease will replace the Company’s research facility lease, also with University Research Park, Inc. for property located at 465 Science Drive, Madison Wisconsin. The larger facility is designed to accommodate increased research and development space needed for the Company’s pipeline of current and future drug candidates.</w:t>
      </w:r>
    </w:p>
    <w:p>
      <w:pPr>
        <w:spacing w:after="0" w:line="184" w:lineRule="exact"/>
        <w:rPr>
          <w:sz w:val="20"/>
          <w:szCs w:val="20"/>
          <w:color w:val="auto"/>
        </w:rPr>
      </w:pPr>
    </w:p>
    <w:p>
      <w:pPr>
        <w:ind w:firstLine="481"/>
        <w:spacing w:after="0" w:line="254" w:lineRule="auto"/>
        <w:rPr>
          <w:sz w:val="20"/>
          <w:szCs w:val="20"/>
          <w:color w:val="auto"/>
        </w:rPr>
      </w:pPr>
      <w:r>
        <w:rPr>
          <w:rFonts w:ascii="Times New Roman" w:cs="Times New Roman" w:eastAsia="Times New Roman" w:hAnsi="Times New Roman"/>
          <w:sz w:val="18"/>
          <w:szCs w:val="18"/>
          <w:color w:val="auto"/>
        </w:rPr>
        <w:t>The initial term of the lease commenced on January 1, 2016, with occupancy occurring October 2016. The lease payments and payments against a note payable for a tenant improvement allowance, which begin on October 1, 2016, will total approximately $15.2 million over the initial 10-year term. The Company also estimates payments for the Company’s pro rata share of certain real estate taxes, operating expenses and common area maintenance expenses to be approximately $0.6 million for the first year of the lease, and these payments will continue throughout the initial 10-year term. The Company has paid or accrued for approximately $7.0 million for leasehold improvements at September 30, 2016, net of tenant improvement allowances, and the work on the facility has been substantially completed in October 2016. The primary tenant improvement allowance of $2.1 million is accounted for as deferred rent and the secondary tenant improvement allowance of $2.7 million is accounted for as a note payable on the Company’s Consolidated Balance Sheet. Pursuant to the lease, within six months of the expiration of the initial 10-year term, the Company has the option to extend the lease for up to two additional five-year terms, with certain annual increases in base rent.</w:t>
      </w:r>
    </w:p>
    <w:p>
      <w:pPr>
        <w:spacing w:after="0" w:line="189"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Additionally, on January 8, 2016 and in conjunction with signing the new lease agreement as discussed above, the Company entered into an amendment to the Company’s research facility lease for property located at 465 Science Drive, Madison, Wisconsin with University Research Park, Inc. to terminate the lease agreement for this property, effective on October 31, 2016.</w:t>
      </w:r>
    </w:p>
    <w:p>
      <w:pPr>
        <w:spacing w:after="0" w:line="17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Monthly rental expense under the previous facility which was in effect through September 30, 2016 was approximately $26,000. Other monthly rental expenses include common area maintenance and real estate taxes totaling approximately $20,000 per month. Utilities costs are approximately $18,000 per month. Total monthly costs are approximately $83,000 per month, including monthly payments recorded under a capital lease of approximately $19,000.</w:t>
      </w:r>
    </w:p>
    <w:p>
      <w:pPr>
        <w:spacing w:after="0" w:line="176"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Company leased additional research facility space in Middleton, Wisconsin, and this space is leased through December 2016. Monthly rental expense for the additional space is approximately $14,000. Other monthly rental expenses include common area maintenance and real estate taxes totaling approximately $4,000 per month.</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Facility rent expense for the years ended September 30, 2016, 2015 and 2014 was $839,000, $744,000 and $554,000,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color w:val="auto"/>
        </w:rPr>
        <w:t>As of September 30, 2016, future minimum lease payments due in fiscal years under operating leases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7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1,559,259</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1,531,765</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1,435,409</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1,044,431</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1,070,496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5,766,495</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12,407,855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part of the Company’s lease for its new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will bear interest at a rate of 7.1% and shall be payable in equal monthly installments of principal and interest.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2016, future principal payments due in fiscal years under the note payable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8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194,310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208,506</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223,820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240,258</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257,903</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1,602,968</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2,727,765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Times New Roman" w:cs="Times New Roman" w:eastAsia="Times New Roman" w:hAnsi="Times New Roman"/>
          <w:sz w:val="18"/>
          <w:szCs w:val="18"/>
          <w:i w:val="1"/>
          <w:iCs w:val="1"/>
          <w:color w:val="auto"/>
        </w:rPr>
        <w:t>Wang v. Arrowhead Research Corp., et al.</w:t>
      </w:r>
      <w:r>
        <w:rPr>
          <w:rFonts w:ascii="Times New Roman" w:cs="Times New Roman" w:eastAsia="Times New Roman" w:hAnsi="Times New Roman"/>
          <w:sz w:val="18"/>
          <w:szCs w:val="18"/>
          <w:color w:val="auto"/>
        </w:rPr>
        <w:t xml:space="preserve">, No. 2:14-cv-07890 (C.D. Cal., filed Oct. 10, 2014), and </w:t>
      </w:r>
      <w:r>
        <w:rPr>
          <w:rFonts w:ascii="Times New Roman" w:cs="Times New Roman" w:eastAsia="Times New Roman" w:hAnsi="Times New Roman"/>
          <w:sz w:val="18"/>
          <w:szCs w:val="18"/>
          <w:i w:val="1"/>
          <w:iCs w:val="1"/>
          <w:color w:val="auto"/>
        </w:rPr>
        <w:t>Eskinazi v. Arrowhead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Corp., et al.</w:t>
      </w:r>
      <w:r>
        <w:rPr>
          <w:rFonts w:ascii="Times New Roman" w:cs="Times New Roman" w:eastAsia="Times New Roman" w:hAnsi="Times New Roman"/>
          <w:sz w:val="18"/>
          <w:szCs w:val="18"/>
          <w:color w:val="auto"/>
        </w:rPr>
        <w:t>, No. 2:14-cv-07911 (C.D. Cal., filed Oct. 13, 2014), asserted claims under Sections 10(b) and 20(a) of the Securities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1934 and sought damages in an unspecified amount. Additionally, three putative stockholder derivative actions captioned </w:t>
      </w:r>
      <w:r>
        <w:rPr>
          <w:rFonts w:ascii="Times New Roman" w:cs="Times New Roman" w:eastAsia="Times New Roman" w:hAnsi="Times New Roman"/>
          <w:sz w:val="18"/>
          <w:szCs w:val="18"/>
          <w:i w:val="1"/>
          <w:iCs w:val="1"/>
          <w:color w:val="auto"/>
        </w:rPr>
        <w:t>Weisman v. Anzalone et al</w:t>
      </w:r>
      <w:r>
        <w:rPr>
          <w:rFonts w:ascii="Times New Roman" w:cs="Times New Roman" w:eastAsia="Times New Roman" w:hAnsi="Times New Roman"/>
          <w:sz w:val="18"/>
          <w:szCs w:val="18"/>
          <w:color w:val="auto"/>
        </w:rPr>
        <w:t xml:space="preserve">., No. 2:14-cv-08982 (C.D. Cal., filed Nov. 20, 2014), </w:t>
      </w:r>
      <w:r>
        <w:rPr>
          <w:rFonts w:ascii="Times New Roman" w:cs="Times New Roman" w:eastAsia="Times New Roman" w:hAnsi="Times New Roman"/>
          <w:sz w:val="18"/>
          <w:szCs w:val="18"/>
          <w:i w:val="1"/>
          <w:iCs w:val="1"/>
          <w:color w:val="auto"/>
        </w:rPr>
        <w:t>Bernstein (Backus) v. Anzalone, et al.</w:t>
      </w:r>
      <w:r>
        <w:rPr>
          <w:rFonts w:ascii="Times New Roman" w:cs="Times New Roman" w:eastAsia="Times New Roman" w:hAnsi="Times New Roman"/>
          <w:sz w:val="18"/>
          <w:szCs w:val="18"/>
          <w:color w:val="auto"/>
        </w:rPr>
        <w:t xml:space="preserve">, No. 2:14-cv-09247 (C.D. Cal., filed Dec. 2, 2014); and </w:t>
      </w:r>
      <w:r>
        <w:rPr>
          <w:rFonts w:ascii="Times New Roman" w:cs="Times New Roman" w:eastAsia="Times New Roman" w:hAnsi="Times New Roman"/>
          <w:sz w:val="18"/>
          <w:szCs w:val="18"/>
          <w:i w:val="1"/>
          <w:iCs w:val="1"/>
          <w:color w:val="auto"/>
        </w:rPr>
        <w:t>Johnson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Anzalone, et al.</w:t>
      </w:r>
      <w:r>
        <w:rPr>
          <w:rFonts w:ascii="Times New Roman" w:cs="Times New Roman" w:eastAsia="Times New Roman" w:hAnsi="Times New Roman"/>
          <w:sz w:val="18"/>
          <w:szCs w:val="18"/>
          <w:color w:val="auto"/>
        </w:rPr>
        <w:t>, No. 2:15-cv-00446 (C.D. Cal., filed Jan. 22, 2015), were filed in the United States District Court for the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Times New Roman" w:cs="Times New Roman" w:eastAsia="Times New Roman" w:hAnsi="Times New Roman"/>
          <w:sz w:val="18"/>
          <w:szCs w:val="18"/>
          <w:i w:val="1"/>
          <w:iCs w:val="1"/>
          <w:color w:val="auto"/>
        </w:rPr>
        <w:t>Bacchus v. Anzalone, et al.</w:t>
      </w:r>
      <w:r>
        <w:rPr>
          <w:rFonts w:ascii="Times New Roman" w:cs="Times New Roman" w:eastAsia="Times New Roman" w:hAnsi="Times New Roman"/>
          <w:sz w:val="18"/>
          <w:szCs w:val="18"/>
          <w:color w:val="auto"/>
        </w:rPr>
        <w:t xml:space="preserve">, (L.A. Super., filed Mar. 5, 2015); and </w:t>
      </w:r>
      <w:r>
        <w:rPr>
          <w:rFonts w:ascii="Times New Roman" w:cs="Times New Roman" w:eastAsia="Times New Roman" w:hAnsi="Times New Roman"/>
          <w:sz w:val="18"/>
          <w:szCs w:val="18"/>
          <w:i w:val="1"/>
          <w:iCs w:val="1"/>
          <w:color w:val="auto"/>
        </w:rPr>
        <w:t>Jackson v. Anzalone, et al.</w:t>
      </w:r>
      <w:r>
        <w:rPr>
          <w:rFonts w:ascii="Times New Roman" w:cs="Times New Roman" w:eastAsia="Times New Roman" w:hAnsi="Times New Roman"/>
          <w:sz w:val="18"/>
          <w:szCs w:val="18"/>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consolidated class action to the United States Court of Appeals for the Ninth Circuit. The Weisman and Johnson derivative actions have been dismissed without prejudice. The Bernstein derivative action remains pending.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 With regard to legal fees, such as attorney fees related to these matters or any other legal matters, the Company’s recognizes such costs as incurred.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39" w:right="259" w:bottom="1440" w:gutter="0" w:footer="0" w:header="0"/>
        </w:sectPr>
      </w:pPr>
    </w:p>
    <w:bookmarkStart w:id="78" w:name="page79"/>
    <w:bookmarkEnd w:id="78"/>
    <w:p>
      <w:pPr>
        <w:ind w:right="40" w:firstLine="518"/>
        <w:spacing w:after="0" w:line="257" w:lineRule="auto"/>
        <w:rPr>
          <w:sz w:val="20"/>
          <w:szCs w:val="20"/>
          <w:color w:val="auto"/>
        </w:rPr>
      </w:pPr>
      <w:r>
        <w:rPr>
          <w:rFonts w:ascii="Times New Roman" w:cs="Times New Roman" w:eastAsia="Times New Roman" w:hAnsi="Times New Roman"/>
          <w:sz w:val="18"/>
          <w:szCs w:val="18"/>
          <w:color w:val="auto"/>
        </w:rPr>
        <w:t xml:space="preserve">The Company and two of its former executives were named as defendants in a complaint filed on November 11, 2014 and captioned </w:t>
      </w:r>
      <w:r>
        <w:rPr>
          <w:rFonts w:ascii="Times New Roman" w:cs="Times New Roman" w:eastAsia="Times New Roman" w:hAnsi="Times New Roman"/>
          <w:sz w:val="18"/>
          <w:szCs w:val="18"/>
          <w:i w:val="1"/>
          <w:iCs w:val="1"/>
          <w:color w:val="auto"/>
        </w:rPr>
        <w:t>William Marsh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Rice University vs. Unidym, Inc. and Arrowhead Research Corporation</w:t>
      </w:r>
      <w:r>
        <w:rPr>
          <w:rFonts w:ascii="Times New Roman" w:cs="Times New Roman" w:eastAsia="Times New Roman" w:hAnsi="Times New Roman"/>
          <w:sz w:val="18"/>
          <w:szCs w:val="18"/>
          <w:color w:val="auto"/>
        </w:rPr>
        <w:t>, No. 2014-66088, in the United States District Court for the Southern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relating to alleged breaches of a license agreement between Rice University and the Company’s former subsidiary, Unidym, Inc. The Company and the plaintiff settled the matter under an agreement in which the Company paid a confidential settlement amount and the plaintiff permanently dismissed its claims. The amount of the settlement was recorded during the three months ended March 31, 2016 and did not have a material effect on the Company’s Consolidated Financial Statements.</w:t>
      </w:r>
    </w:p>
    <w:p>
      <w:pPr>
        <w:spacing w:after="0" w:line="18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certain executive officers were named as defendants in related putative securities class actions filed on November 15, 2016 and December 2, 2016 in the Central District of California and respectively captioned </w:t>
      </w:r>
      <w:r>
        <w:rPr>
          <w:rFonts w:ascii="Times New Roman" w:cs="Times New Roman" w:eastAsia="Times New Roman" w:hAnsi="Times New Roman"/>
          <w:sz w:val="18"/>
          <w:szCs w:val="18"/>
          <w:i w:val="1"/>
          <w:iCs w:val="1"/>
          <w:color w:val="auto"/>
        </w:rPr>
        <w:t>Meller v. Arrowhead Pharmaceuticals, Inc., et al.</w:t>
      </w:r>
      <w:r>
        <w:rPr>
          <w:rFonts w:ascii="Times New Roman" w:cs="Times New Roman" w:eastAsia="Times New Roman" w:hAnsi="Times New Roman"/>
          <w:sz w:val="18"/>
          <w:szCs w:val="18"/>
          <w:color w:val="auto"/>
        </w:rPr>
        <w:t xml:space="preserve">, No. 2:16-cv-08505, and </w:t>
      </w:r>
      <w:r>
        <w:rPr>
          <w:rFonts w:ascii="Times New Roman" w:cs="Times New Roman" w:eastAsia="Times New Roman" w:hAnsi="Times New Roman"/>
          <w:sz w:val="18"/>
          <w:szCs w:val="18"/>
          <w:i w:val="1"/>
          <w:iCs w:val="1"/>
          <w:color w:val="auto"/>
        </w:rPr>
        <w:t>Siegel v. Arrowhead Pharmaceuticals, Inc., et al</w:t>
      </w:r>
      <w:r>
        <w:rPr>
          <w:rFonts w:ascii="Times New Roman" w:cs="Times New Roman" w:eastAsia="Times New Roman" w:hAnsi="Times New Roman"/>
          <w:sz w:val="18"/>
          <w:szCs w:val="18"/>
          <w:color w:val="auto"/>
        </w:rPr>
        <w:t>., No. 2:16-cv-8954. The plaintiff brings claims under Sections 10(b) and 20(a) of the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1934 regarding certain public statements in connection with the Company’s drug research programs and seek damages in an unspecified amount.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Company’s recognizes such costs as incurred.</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the manufacture of drug components, for toxicology studies, and for clinical studies. As of September 30, 2016, these future commitments were estimated at approximately $10.4 million, of which approximately $10.4 million is expected to be incurred in fiscal 2017, and $0 is expected to be incurred beyond fiscal 2017. The reduction in amount and timing of these commitments is due to the Company’s discontinuation of its clinical trials for ARC-520, ARC-AAT and ARC-521.</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 ended September 30, 2016, 2015, and 2014, we reached milestones amounting to $3.0 million, $1.0 million and $1.0 million, respectively, based on progress achieved on our clinical candidates. In certain agreements, the Company may be required to make mid to high single-digit percentage royalty payments based on a percentage of the sales of the relevant products.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as of September 30, 2016, 2,514,518 and 5,604,151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September 30, 2016, there were options granted and outstanding to purchase 2,514,518 and 3,632,060 shares of Common Stock under the 2004 Equity Incentive Plan and the 2013 Incentive Plan, respectively, and there were 1,323,334 restricted stock units granted and outstanding under the 2013 Incentive Plan. Also, as of September 30, 2016, there were 544,622 shares reserved for options and 33,333 restricted stock units issued as inducement grants to new employees outside of equity compensation plans. During the year ended September 30, 2016, no options or restricted stock units were granted under the 2004 Equity Incentive Plan, 1,402,000 options and 838,517 restricted stock units were granted under the 2013 Incentive Plan, and no options or restricted stock units were granted as inducement awards to new employees outside of equity incentive plans.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5,435,640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1,402,000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(109,253)</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(37,187)</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6,691,200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5"/>
              </w:rPr>
              <w:t>7.3 years</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12,794,064</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2016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3,850,419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6.5 years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9,265,570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years ended September 30, 2016, 2015 and 2014 was $6,361,396, $4,760,831, and $3,144,776,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options granted by the Company for the years ended September 30, 2016, 2015 and 2014 was estimated at $6,426,207, $7,338,395 and $9,267,048, respectively.</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during the years ended September 30, 2016, 2015 and 2014 was $142,690, $128,391 and $4,360,850, respectively.</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2016, the pre-tax compensation expense for all outstanding unvested stock options in the amount of approximately $11,915,534 will be recognized in the Company’s results of operations over a weighted average period of 2.4 years.</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520" w:type="dxa"/>
            <w:vAlign w:val="bottom"/>
            <w:tcBorders>
              <w:bottom w:val="single" w:sz="8" w:color="auto"/>
            </w:tcBorders>
          </w:tcPr>
          <w:p>
            <w:pPr>
              <w:spacing w:after="0"/>
              <w:rPr>
                <w:sz w:val="15"/>
                <w:szCs w:val="15"/>
                <w:color w:val="auto"/>
              </w:rPr>
            </w:pPr>
          </w:p>
        </w:tc>
      </w:tr>
      <w:tr>
        <w:trPr>
          <w:trHeight w:val="196"/>
        </w:trPr>
        <w:tc>
          <w:tcPr>
            <w:tcW w:w="65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 1.89%</w:t>
            </w:r>
          </w:p>
        </w:tc>
        <w:tc>
          <w:tcPr>
            <w:tcW w:w="12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1.46 – 1.89%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 2.4%</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166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rPr>
              <w:t>6 - 6.25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 – 9.47</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$4.58</w:t>
            </w:r>
          </w:p>
        </w:tc>
        <w:tc>
          <w:tcPr>
            <w:tcW w:w="166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w w:val="98"/>
              </w:rPr>
              <w:t>$4.24</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$8.92</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Restricted stock units (RSUs), including time-based and performance-based awards, were granted under the Company’s 2013 Incentive Plan and as inducement grants granted outside of the Plan. During the year ended September 30, 2016, the Company issued 838,517 restricted stock units to certain members of management. Of the restricted stock units granted during the year ended September 30, 2016, 0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Restricted Stock Units: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2015</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(416,017)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September 30, 2016, 2015 and 2014, the Company recorded $5,234,420, $4,489,931 and $2,551,397 of expense,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expense is included in stock-based compensation expense in the Company’s Consolidated Statement of Operations and Comprehensive Loss.</w:t>
      </w:r>
    </w:p>
    <w:p>
      <w:pPr>
        <w:spacing w:after="0" w:line="207"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of the award is based on the Company’s closing stock price at the grant date, with consideration given to the probability of achieving performance conditions for performance based awards.</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2016, the pre-tax compensation expense for all unvested restricted stock units in the amount of approximately $2,567,761 will be recognized in the Company’s results of operations over a weighted average period of 1.4 years.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4"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3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September 30, 2016 and September 30, 2015 for assets and liabilities measured at fair value on a 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1,602,626</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1,602,626</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obligations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432"/>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F-20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6" w:right="2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September 30, 2015:</w:t>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1,301,604</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1,301,604</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obligations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5,862,464</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5,862,464</w:t>
            </w:r>
          </w:p>
        </w:tc>
      </w:tr>
    </w:tbl>
    <w:p>
      <w:pPr>
        <w:spacing w:after="0" w:line="19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part of a financing in December 2012, Arrowhead issued warrants to purchase up to 912,543 shares of Common Stock (the “2012 Warrants”) of which 265,161 warrants were outstanding at September 30, 2016. Further, as part of a financing in January 2013, Arrowhead issued warrants to purchase up to 833,530 shares of Common Stock (the “2013 Warrants” and, together with the 2012 Warrants, the “Warrants”) of which 12,123 warrants were outstanding at September 30, 2016.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years ended September 30, 2016, 2015 and 2014 the Company recorded a non-cash gain/(loss) from the change in fair value of the derivative liability of $(293,072), $2,684,712 and $(5,821,796), respectively. Additionally, as part of an equity financing in June 2010, Arrowhead issued warrants to purchase up to 329,649 shares of Common Stock (the “2010 Warrants”), of which warrants to exercise 24,324 shares remained unexercised and were cancelled at their expiration during fiscal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2012 Warrants</w:t>
            </w:r>
          </w:p>
        </w:tc>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w w:val="98"/>
              </w:rPr>
              <w:t>September 30, 2016</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8"/>
              </w:rPr>
              <w:t>September 30, 2015</w:t>
            </w: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2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0.68%</w:t>
            </w:r>
          </w:p>
        </w:tc>
        <w:tc>
          <w:tcPr>
            <w:tcW w:w="17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252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1.2 Years</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 Years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2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89%</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2013 Warrants</w:t>
            </w:r>
          </w:p>
        </w:tc>
        <w:tc>
          <w:tcPr>
            <w:tcW w:w="2620" w:type="dxa"/>
            <w:vAlign w:val="bottom"/>
            <w:gridSpan w:val="2"/>
          </w:tcPr>
          <w:p>
            <w:pPr>
              <w:jc w:val="right"/>
              <w:ind w:right="1180"/>
              <w:spacing w:after="0" w:line="176" w:lineRule="exact"/>
              <w:rPr>
                <w:sz w:val="20"/>
                <w:szCs w:val="20"/>
                <w:color w:val="auto"/>
              </w:rPr>
            </w:pPr>
            <w:r>
              <w:rPr>
                <w:rFonts w:ascii="Times New Roman" w:cs="Times New Roman" w:eastAsia="Times New Roman" w:hAnsi="Times New Roman"/>
                <w:sz w:val="18"/>
                <w:szCs w:val="18"/>
                <w:color w:val="auto"/>
                <w:w w:val="98"/>
              </w:rPr>
              <w:t>September 30, 2016</w:t>
            </w:r>
          </w:p>
        </w:tc>
        <w:tc>
          <w:tcPr>
            <w:tcW w:w="1740" w:type="dxa"/>
            <w:vAlign w:val="bottom"/>
            <w:gridSpan w:val="3"/>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w w:val="98"/>
              </w:rPr>
              <w:t>September 30, 2015</w:t>
            </w:r>
          </w:p>
        </w:tc>
        <w:tc>
          <w:tcPr>
            <w:tcW w:w="2520" w:type="dxa"/>
            <w:vAlign w:val="bottom"/>
            <w:gridSpan w:val="5"/>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2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0.68%</w:t>
            </w:r>
          </w:p>
        </w:tc>
        <w:tc>
          <w:tcPr>
            <w:tcW w:w="17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252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1.3 Years</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 Years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2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89%</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1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warrants: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2015</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1,272,802</w:t>
            </w:r>
          </w:p>
        </w:tc>
        <w:tc>
          <w:tcPr>
            <w:tcW w:w="1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293,072</w:t>
            </w:r>
          </w:p>
        </w:tc>
        <w:tc>
          <w:tcPr>
            <w:tcW w:w="1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1,565,874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and a current exchange ratio of 0.01. Exchange rights for 675,000 Ablaris shares were sold in fiscal 2011, and 500,000 remain outstanding at September 30, 2016.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years ended September 30, 2016, 2015 and 2014, the Company recorded a non-cash gain/(loss) from the change in fair value of the derivative liability of $(7,950), $184,555 and $(211,860),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CFF0FC"/>
            </w:tcBorders>
          </w:tcPr>
          <w:p>
            <w:pPr>
              <w:spacing w:after="0"/>
              <w:rPr>
                <w:sz w:val="15"/>
                <w:szCs w:val="15"/>
                <w:color w:val="auto"/>
              </w:rPr>
            </w:pPr>
          </w:p>
        </w:tc>
        <w:tc>
          <w:tcPr>
            <w:tcW w:w="578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 Years</w:t>
            </w: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2.5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Years</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41"/>
        </w:trPr>
        <w:tc>
          <w:tcPr>
            <w:tcW w:w="7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exchange rights: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2015</w:t>
            </w:r>
          </w:p>
        </w:tc>
        <w:tc>
          <w:tcPr>
            <w:tcW w:w="1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83" w:name="page84"/>
    <w:bookmarkEnd w:id="83"/>
    <w:p>
      <w:pPr>
        <w:ind w:firstLine="518"/>
        <w:spacing w:after="0" w:line="253" w:lineRule="auto"/>
        <w:rPr>
          <w:sz w:val="20"/>
          <w:szCs w:val="20"/>
          <w:color w:val="auto"/>
        </w:rPr>
      </w:pPr>
      <w:r>
        <w:rPr>
          <w:rFonts w:ascii="Times New Roman" w:cs="Times New Roman" w:eastAsia="Times New Roman" w:hAnsi="Times New Roman"/>
          <w:sz w:val="18"/>
          <w:szCs w:val="18"/>
          <w:color w:val="auto"/>
        </w:rPr>
        <w:t>As of September 30, 2016, the Company has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 and Comprehensive Loss.</w:t>
      </w:r>
    </w:p>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2015</w:t>
            </w:r>
          </w:p>
        </w:tc>
        <w:tc>
          <w:tcPr>
            <w:tcW w:w="17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(5,862,464)</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 In November 2016, the Company announced the discontinuation of its clinical trial efforts for ARC-520, ARC-AAT and ARC-521. Given this development, the Company has assessed the fair value of its contingent consideration obligation to be $0 at September 30, 2016.</w:t>
      </w:r>
    </w:p>
    <w:p>
      <w:pPr>
        <w:spacing w:after="0" w:line="189"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other long-term liabilities approximates fair value based on market interest rates.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62" w:lineRule="exact"/>
        <w:rPr>
          <w:sz w:val="20"/>
          <w:szCs w:val="20"/>
          <w:color w:val="auto"/>
        </w:rPr>
      </w:pPr>
    </w:p>
    <w:p>
      <w:pPr>
        <w:ind w:right="80" w:firstLine="518"/>
        <w:spacing w:after="0" w:line="281" w:lineRule="auto"/>
        <w:rPr>
          <w:sz w:val="20"/>
          <w:szCs w:val="20"/>
          <w:color w:val="auto"/>
        </w:rPr>
      </w:pPr>
      <w:r>
        <w:rPr>
          <w:rFonts w:ascii="Times New Roman" w:cs="Times New Roman" w:eastAsia="Times New Roman" w:hAnsi="Times New Roman"/>
          <w:sz w:val="17"/>
          <w:szCs w:val="17"/>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net deferred tax asset (liability) at September 30, 2016 and 2015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74"/>
        </w:trPr>
        <w:tc>
          <w:tcPr>
            <w:tcW w:w="7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1,691,050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1,513,021</w:t>
            </w: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compensation</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7,224,958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6,571,774</w:t>
            </w:r>
          </w:p>
        </w:tc>
      </w:tr>
      <w:tr>
        <w:trPr>
          <w:trHeight w:val="20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2,957,528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Fair value adjustments</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2,850,125</w:t>
            </w:r>
          </w:p>
        </w:tc>
      </w:tr>
      <w:tr>
        <w:trPr>
          <w:trHeight w:val="203"/>
        </w:trPr>
        <w:tc>
          <w:tcPr>
            <w:tcW w:w="7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7"/>
                <w:szCs w:val="17"/>
                <w:color w:val="auto"/>
              </w:rPr>
              <w:t>Net operating losses</w:t>
            </w:r>
          </w:p>
        </w:tc>
        <w:tc>
          <w:tcPr>
            <w:tcW w:w="26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7"/>
                <w:szCs w:val="17"/>
                <w:color w:val="auto"/>
              </w:rPr>
              <w:t>125,120,957</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7"/>
                <w:szCs w:val="17"/>
                <w:color w:val="auto"/>
              </w:rPr>
              <w:t>88,965,968</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5"/>
        </w:trPr>
        <w:tc>
          <w:tcPr>
            <w:tcW w:w="76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CECFF"/>
            </w:tcBorders>
            <w:vMerge w:val="continue"/>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5,544,091</w:t>
            </w:r>
          </w:p>
        </w:tc>
        <w:tc>
          <w:tcPr>
            <w:tcW w:w="2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5,551,705</w:t>
            </w:r>
          </w:p>
        </w:tc>
        <w:tc>
          <w:tcPr>
            <w:tcW w:w="10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60" w:type="dxa"/>
            <w:vAlign w:val="bottom"/>
            <w:tcBorders>
              <w:top w:val="single" w:sz="8" w:color="CCECFF"/>
            </w:tcBorders>
            <w:shd w:val="clear" w:color="auto" w:fill="CCECFF"/>
          </w:tcPr>
          <w:p>
            <w:pPr>
              <w:ind w:left="220"/>
              <w:spacing w:after="0" w:line="188" w:lineRule="exact"/>
              <w:rPr>
                <w:sz w:val="20"/>
                <w:szCs w:val="20"/>
                <w:color w:val="auto"/>
              </w:rPr>
            </w:pPr>
            <w:r>
              <w:rPr>
                <w:rFonts w:ascii="Times New Roman" w:cs="Times New Roman" w:eastAsia="Times New Roman" w:hAnsi="Times New Roman"/>
                <w:sz w:val="17"/>
                <w:szCs w:val="17"/>
                <w:color w:val="auto"/>
              </w:rPr>
              <w:t>Total deferred tax assets</w:t>
            </w:r>
          </w:p>
        </w:tc>
        <w:tc>
          <w:tcPr>
            <w:tcW w:w="120" w:type="dxa"/>
            <w:vAlign w:val="bottom"/>
            <w:tcBorders>
              <w:top w:val="single" w:sz="8" w:color="CCECFF"/>
            </w:tcBorders>
            <w:shd w:val="clear" w:color="auto" w:fill="CCECFF"/>
          </w:tcPr>
          <w:p>
            <w:pPr>
              <w:spacing w:after="0"/>
              <w:rPr>
                <w:sz w:val="16"/>
                <w:szCs w:val="16"/>
                <w:color w:val="auto"/>
              </w:rPr>
            </w:pPr>
          </w:p>
        </w:tc>
        <w:tc>
          <w:tcPr>
            <w:tcW w:w="1160" w:type="dxa"/>
            <w:vAlign w:val="bottom"/>
            <w:tcBorders>
              <w:top w:val="single" w:sz="8" w:color="CCECFF"/>
              <w:bottom w:val="single" w:sz="8" w:color="auto"/>
            </w:tcBorders>
            <w:shd w:val="clear" w:color="auto" w:fill="CCECFF"/>
          </w:tcPr>
          <w:p>
            <w:pPr>
              <w:jc w:val="right"/>
              <w:spacing w:after="0" w:line="189" w:lineRule="exact"/>
              <w:rPr>
                <w:sz w:val="20"/>
                <w:szCs w:val="20"/>
                <w:color w:val="auto"/>
              </w:rPr>
            </w:pPr>
            <w:r>
              <w:rPr>
                <w:rFonts w:ascii="Times New Roman" w:cs="Times New Roman" w:eastAsia="Times New Roman" w:hAnsi="Times New Roman"/>
                <w:sz w:val="17"/>
                <w:szCs w:val="17"/>
                <w:color w:val="auto"/>
              </w:rPr>
              <w:t>142,538,584</w:t>
            </w:r>
          </w:p>
        </w:tc>
        <w:tc>
          <w:tcPr>
            <w:tcW w:w="220" w:type="dxa"/>
            <w:vAlign w:val="bottom"/>
            <w:tcBorders>
              <w:top w:val="single" w:sz="8" w:color="CCECFF"/>
            </w:tcBorders>
            <w:shd w:val="clear" w:color="auto" w:fill="CCECFF"/>
          </w:tcPr>
          <w:p>
            <w:pPr>
              <w:spacing w:after="0"/>
              <w:rPr>
                <w:sz w:val="16"/>
                <w:szCs w:val="16"/>
                <w:color w:val="auto"/>
              </w:rPr>
            </w:pPr>
          </w:p>
        </w:tc>
        <w:tc>
          <w:tcPr>
            <w:tcW w:w="100" w:type="dxa"/>
            <w:vAlign w:val="bottom"/>
            <w:tcBorders>
              <w:top w:val="single" w:sz="8" w:color="CCECFF"/>
            </w:tcBorders>
            <w:shd w:val="clear" w:color="auto" w:fill="CCECFF"/>
          </w:tcPr>
          <w:p>
            <w:pPr>
              <w:spacing w:after="0"/>
              <w:rPr>
                <w:sz w:val="16"/>
                <w:szCs w:val="16"/>
                <w:color w:val="auto"/>
              </w:rPr>
            </w:pPr>
          </w:p>
        </w:tc>
        <w:tc>
          <w:tcPr>
            <w:tcW w:w="1140" w:type="dxa"/>
            <w:vAlign w:val="bottom"/>
            <w:tcBorders>
              <w:top w:val="single" w:sz="8" w:color="CCECFF"/>
              <w:bottom w:val="single" w:sz="8" w:color="auto"/>
            </w:tcBorders>
            <w:shd w:val="clear" w:color="auto" w:fill="CCEC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105,452,593</w:t>
            </w:r>
          </w:p>
        </w:tc>
        <w:tc>
          <w:tcPr>
            <w:tcW w:w="100" w:type="dxa"/>
            <w:vAlign w:val="bottom"/>
            <w:tcBorders>
              <w:top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(128,695,371)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(95,085,045)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taxes</w:t>
            </w:r>
          </w:p>
        </w:tc>
        <w:tc>
          <w:tcPr>
            <w:tcW w:w="120" w:type="dxa"/>
            <w:vAlign w:val="bottom"/>
          </w:tcPr>
          <w:p>
            <w:pPr>
              <w:spacing w:after="0"/>
              <w:rPr>
                <w:sz w:val="17"/>
                <w:szCs w:val="17"/>
                <w:color w:val="auto"/>
              </w:rPr>
            </w:pP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(13,804,268)</w:t>
            </w: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(10,282,834)</w:t>
            </w:r>
          </w:p>
        </w:tc>
        <w:tc>
          <w:tcPr>
            <w:tcW w:w="0" w:type="dxa"/>
            <w:vAlign w:val="bottom"/>
          </w:tcPr>
          <w:p>
            <w:pPr>
              <w:spacing w:after="0"/>
              <w:rPr>
                <w:sz w:val="1"/>
                <w:szCs w:val="1"/>
                <w:color w:val="auto"/>
              </w:rPr>
            </w:pPr>
          </w:p>
        </w:tc>
      </w:tr>
      <w:tr>
        <w:trPr>
          <w:trHeight w:val="223"/>
        </w:trPr>
        <w:tc>
          <w:tcPr>
            <w:tcW w:w="7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7"/>
                <w:szCs w:val="17"/>
                <w:color w:val="auto"/>
              </w:rPr>
              <w:t>Fixed assets</w:t>
            </w:r>
          </w:p>
        </w:tc>
        <w:tc>
          <w:tcPr>
            <w:tcW w:w="12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75"/>
              <w:spacing w:after="0"/>
              <w:rPr>
                <w:sz w:val="20"/>
                <w:szCs w:val="20"/>
                <w:color w:val="auto"/>
              </w:rPr>
            </w:pPr>
            <w:r>
              <w:rPr>
                <w:rFonts w:ascii="Times New Roman" w:cs="Times New Roman" w:eastAsia="Times New Roman" w:hAnsi="Times New Roman"/>
                <w:sz w:val="17"/>
                <w:szCs w:val="17"/>
                <w:color w:val="auto"/>
              </w:rPr>
              <w:t>(38,945)</w:t>
            </w:r>
          </w:p>
        </w:tc>
        <w:tc>
          <w:tcPr>
            <w:tcW w:w="10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7"/>
                <w:szCs w:val="17"/>
                <w:color w:val="auto"/>
              </w:rPr>
              <w:t>(84,714)</w:t>
            </w:r>
          </w:p>
        </w:tc>
        <w:tc>
          <w:tcPr>
            <w:tcW w:w="0" w:type="dxa"/>
            <w:vAlign w:val="bottom"/>
          </w:tcPr>
          <w:p>
            <w:pPr>
              <w:spacing w:after="0"/>
              <w:rPr>
                <w:sz w:val="1"/>
                <w:szCs w:val="1"/>
                <w:color w:val="auto"/>
              </w:rPr>
            </w:pPr>
          </w:p>
        </w:tc>
      </w:tr>
      <w:tr>
        <w:trPr>
          <w:trHeight w:val="190"/>
        </w:trPr>
        <w:tc>
          <w:tcPr>
            <w:tcW w:w="7660" w:type="dxa"/>
            <w:vAlign w:val="bottom"/>
            <w:tcBorders>
              <w:bottom w:val="single" w:sz="8" w:color="CCECFF"/>
            </w:tcBorders>
          </w:tcPr>
          <w:p>
            <w:pPr>
              <w:ind w:left="220"/>
              <w:spacing w:after="0" w:line="188" w:lineRule="exact"/>
              <w:rPr>
                <w:sz w:val="20"/>
                <w:szCs w:val="20"/>
                <w:color w:val="auto"/>
              </w:rPr>
            </w:pPr>
            <w:r>
              <w:rPr>
                <w:rFonts w:ascii="Times New Roman" w:cs="Times New Roman" w:eastAsia="Times New Roman" w:hAnsi="Times New Roman"/>
                <w:sz w:val="17"/>
                <w:szCs w:val="17"/>
                <w:color w:val="auto"/>
              </w:rPr>
              <w:t>Total deferred tax liability</w:t>
            </w:r>
          </w:p>
        </w:tc>
        <w:tc>
          <w:tcPr>
            <w:tcW w:w="120" w:type="dxa"/>
            <w:vAlign w:val="bottom"/>
            <w:tcBorders>
              <w:bottom w:val="single" w:sz="8" w:color="CCECFF"/>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(13,843,213)</w:t>
            </w:r>
          </w:p>
        </w:tc>
        <w:tc>
          <w:tcPr>
            <w:tcW w:w="220" w:type="dxa"/>
            <w:vAlign w:val="bottom"/>
            <w:tcBorders>
              <w:bottom w:val="single" w:sz="8" w:color="CCECFF"/>
            </w:tcBorders>
          </w:tcPr>
          <w:p>
            <w:pPr>
              <w:spacing w:after="0"/>
              <w:rPr>
                <w:sz w:val="16"/>
                <w:szCs w:val="16"/>
                <w:color w:val="auto"/>
              </w:rPr>
            </w:pPr>
          </w:p>
        </w:tc>
        <w:tc>
          <w:tcPr>
            <w:tcW w:w="100" w:type="dxa"/>
            <w:vAlign w:val="bottom"/>
            <w:tcBorders>
              <w:bottom w:val="single" w:sz="8" w:color="CCEC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(10,367,548)</w:t>
            </w:r>
          </w:p>
        </w:tc>
        <w:tc>
          <w:tcPr>
            <w:tcW w:w="100" w:type="dxa"/>
            <w:vAlign w:val="bottom"/>
            <w:tcBorders>
              <w:top w:val="single" w:sz="8" w:color="auto"/>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Company has concluded, in accordance with the applicable accounting standards, that it is more likely than not that the Company may not realize the benefit of all of its deferred tax assets</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color w:val="auto"/>
        </w:rPr>
        <w:t xml:space="preserve">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recorded a full valuation allowance related to all of its deferred tax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 The Company’s net deferred tax liability is related to indefinite lived assets which are not considered as a source of future taxable income when determining the need for a valuation allowance.</w:t>
      </w:r>
    </w:p>
    <w:p>
      <w:pPr>
        <w:spacing w:after="0" w:line="19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2015, the Company had available gross federal net operating loss (NOL) carry forwards of $185.1 million and gross state NOL carry forwards of $285.4 million. Gross federal NOL carry forwards for 2016 are estimated at $78.7 million, and gross state NOL carry forwards for 2016 are estimated at $133.9 million. The NOLs expire at various dates through 2036.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for the years ended September 30, 2016 and 2015 are as follows:</w:t>
      </w:r>
    </w:p>
    <w:p>
      <w:pPr>
        <w:spacing w:after="0" w:line="34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Federal</w:t>
            </w: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State</w:t>
            </w: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8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differs from the statutory federal income tax rate as follows for the years ended September 30,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U.S. federal statutory rate</w:t>
            </w:r>
          </w:p>
        </w:tc>
        <w:tc>
          <w:tcPr>
            <w:tcW w:w="9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effect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Mark-to-market adjustments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8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8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2016 and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85" w:name="page86"/>
    <w:bookmarkEnd w:id="85"/>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with the Internal Revenue Service (“IRS”), the state of California and certain other taxing jurisdictions. The Company is subject to income tax examinations by the IRS and by state tax authorities until the net operating losses are settled. During the three months ended September 30, 2016, the IRS commenced an audit for the tax year ended September 30, 2015.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0"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2016, 2015, and 2014, we recorded expenses under this plan of approximately $476,835, $407,603 and $264,193, respectively.</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addition to the employee benefit plans described above, the Company provides certain employee benefit plans, including those which provide health and life insurance benefits to employees.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unaudited quarterly financial data for each full quarterly period of the years ended September 30, 2016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2016</w:t>
            </w:r>
          </w:p>
        </w:tc>
        <w:tc>
          <w:tcPr>
            <w:tcW w:w="220" w:type="dxa"/>
            <w:vAlign w:val="bottom"/>
          </w:tcPr>
          <w:p>
            <w:pPr>
              <w:spacing w:after="0"/>
              <w:rPr>
                <w:sz w:val="13"/>
                <w:szCs w:val="13"/>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(19,341,270)</w:t>
            </w:r>
          </w:p>
        </w:tc>
        <w:tc>
          <w:tcPr>
            <w:tcW w:w="3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(21,264,855)</w:t>
            </w:r>
          </w:p>
        </w:tc>
        <w:tc>
          <w:tcPr>
            <w:tcW w:w="4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(19,341,487)</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(21,795,114)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(19,264,414)</w:t>
            </w:r>
          </w:p>
        </w:tc>
        <w:tc>
          <w:tcPr>
            <w:tcW w:w="3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(20,815,860)</w:t>
            </w:r>
          </w:p>
        </w:tc>
        <w:tc>
          <w:tcPr>
            <w:tcW w:w="4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(19,420,743)</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(22,221,985)</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Arrowhead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(19,264,414)</w:t>
            </w:r>
          </w:p>
        </w:tc>
        <w:tc>
          <w:tcPr>
            <w:tcW w:w="3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(20,815,860)</w:t>
            </w:r>
          </w:p>
        </w:tc>
        <w:tc>
          <w:tcPr>
            <w:tcW w:w="4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(19,420,743)</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(22,221,985)</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410"/>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2015</w:t>
            </w:r>
          </w:p>
        </w:tc>
        <w:tc>
          <w:tcPr>
            <w:tcW w:w="220" w:type="dxa"/>
            <w:vAlign w:val="bottom"/>
          </w:tcPr>
          <w:p>
            <w:pPr>
              <w:spacing w:after="0"/>
              <w:rPr>
                <w:sz w:val="20"/>
                <w:szCs w:val="20"/>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(25,115,276)</w:t>
            </w:r>
          </w:p>
        </w:tc>
        <w:tc>
          <w:tcPr>
            <w:tcW w:w="120" w:type="dxa"/>
            <w:vAlign w:val="bottom"/>
          </w:tcPr>
          <w:p>
            <w:pPr>
              <w:spacing w:after="0"/>
              <w:rPr>
                <w:sz w:val="18"/>
                <w:szCs w:val="18"/>
                <w:color w:val="auto"/>
              </w:rPr>
            </w:pP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(29,632,743)</w:t>
            </w:r>
          </w:p>
        </w:tc>
        <w:tc>
          <w:tcPr>
            <w:tcW w:w="180" w:type="dxa"/>
            <w:vAlign w:val="bottom"/>
          </w:tcPr>
          <w:p>
            <w:pPr>
              <w:spacing w:after="0"/>
              <w:rPr>
                <w:sz w:val="18"/>
                <w:szCs w:val="18"/>
                <w:color w:val="auto"/>
              </w:rPr>
            </w:pPr>
          </w:p>
        </w:tc>
        <w:tc>
          <w:tcPr>
            <w:tcW w:w="42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(15,993,706)</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(25,232,251)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(22,575,282)</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(28,683,993)</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(15,936,053)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(24,745,554)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Arrowhead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(22,575,282)</w:t>
            </w:r>
          </w:p>
        </w:tc>
        <w:tc>
          <w:tcPr>
            <w:tcW w:w="120" w:type="dxa"/>
            <w:vAlign w:val="bottom"/>
          </w:tcPr>
          <w:p>
            <w:pPr>
              <w:spacing w:after="0"/>
              <w:rPr>
                <w:sz w:val="18"/>
                <w:szCs w:val="18"/>
                <w:color w:val="auto"/>
              </w:rPr>
            </w:pP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(28,683,993)</w:t>
            </w:r>
          </w:p>
        </w:tc>
        <w:tc>
          <w:tcPr>
            <w:tcW w:w="180" w:type="dxa"/>
            <w:vAlign w:val="bottom"/>
          </w:tcPr>
          <w:p>
            <w:pPr>
              <w:spacing w:after="0"/>
              <w:rPr>
                <w:sz w:val="18"/>
                <w:szCs w:val="18"/>
                <w:color w:val="auto"/>
              </w:rPr>
            </w:pPr>
          </w:p>
        </w:tc>
        <w:tc>
          <w:tcPr>
            <w:tcW w:w="42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(15,936,053)</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(24,745,554)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b w:val="1"/>
          <w:bCs w:val="1"/>
          <w:i w:val="1"/>
          <w:iCs w:val="1"/>
          <w:color w:val="auto"/>
        </w:rPr>
        <w:t>SUBSEQUENT EVENTS</w:t>
      </w:r>
    </w:p>
    <w:p>
      <w:pPr>
        <w:spacing w:after="0" w:line="297" w:lineRule="exact"/>
        <w:rPr>
          <w:sz w:val="20"/>
          <w:szCs w:val="20"/>
          <w:color w:val="auto"/>
        </w:rPr>
      </w:pPr>
    </w:p>
    <w:p>
      <w:pPr>
        <w:ind w:right="40" w:firstLine="305"/>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certain executive officers were named as defendants in related putative securities class actions filed on November 15, 2016 and December 2, 2016 in the Central District of California and respectively captioned </w:t>
      </w:r>
      <w:r>
        <w:rPr>
          <w:rFonts w:ascii="Times New Roman" w:cs="Times New Roman" w:eastAsia="Times New Roman" w:hAnsi="Times New Roman"/>
          <w:sz w:val="18"/>
          <w:szCs w:val="18"/>
          <w:i w:val="1"/>
          <w:iCs w:val="1"/>
          <w:color w:val="auto"/>
        </w:rPr>
        <w:t>Meller v. Arrowhead Pharmaceuticals, Inc., et al.</w:t>
      </w:r>
      <w:r>
        <w:rPr>
          <w:rFonts w:ascii="Times New Roman" w:cs="Times New Roman" w:eastAsia="Times New Roman" w:hAnsi="Times New Roman"/>
          <w:sz w:val="18"/>
          <w:szCs w:val="18"/>
          <w:color w:val="auto"/>
        </w:rPr>
        <w:t xml:space="preserve">, No. 2:16-cv-08505, and </w:t>
      </w:r>
      <w:r>
        <w:rPr>
          <w:rFonts w:ascii="Times New Roman" w:cs="Times New Roman" w:eastAsia="Times New Roman" w:hAnsi="Times New Roman"/>
          <w:sz w:val="18"/>
          <w:szCs w:val="18"/>
          <w:i w:val="1"/>
          <w:iCs w:val="1"/>
          <w:color w:val="auto"/>
        </w:rPr>
        <w:t>Siegel v. Arrowhead Pharmaceuticals, Inc., et al</w:t>
      </w:r>
      <w:r>
        <w:rPr>
          <w:rFonts w:ascii="Times New Roman" w:cs="Times New Roman" w:eastAsia="Times New Roman" w:hAnsi="Times New Roman"/>
          <w:sz w:val="18"/>
          <w:szCs w:val="18"/>
          <w:color w:val="auto"/>
        </w:rPr>
        <w:t>., No. 2:16-cv-8954. The plaintiff brings claims under Sections 10(b) and 20(a) of the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1934 regarding certain public statements in connection with the Company’s drug research programs and seek damages in an unspecified amount.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Company’s recognizes such costs as incurred.</w:t>
      </w:r>
    </w:p>
    <w:p>
      <w:pPr>
        <w:spacing w:after="0" w:line="270" w:lineRule="exact"/>
        <w:rPr>
          <w:sz w:val="20"/>
          <w:szCs w:val="20"/>
          <w:color w:val="auto"/>
        </w:rPr>
      </w:pPr>
    </w:p>
    <w:p>
      <w:pPr>
        <w:ind w:right="20" w:firstLine="305"/>
        <w:spacing w:after="0" w:line="266" w:lineRule="auto"/>
        <w:rPr>
          <w:sz w:val="20"/>
          <w:szCs w:val="20"/>
          <w:color w:val="auto"/>
        </w:rPr>
      </w:pPr>
      <w:r>
        <w:rPr>
          <w:rFonts w:ascii="Times New Roman" w:cs="Times New Roman" w:eastAsia="Times New Roman" w:hAnsi="Times New Roman"/>
          <w:sz w:val="18"/>
          <w:szCs w:val="18"/>
          <w:color w:val="auto"/>
        </w:rPr>
        <w:t>On November 18, 2016, the Company and Amgen received Hart-Scott-Rodino clearance with regard to the Second Collaboration and License Agreement discussed in Note 2 above. Based on the terms of this agreement, and the Common Stock Purchase Agreement, the Company issued 1,745,810 shares of Common Stock to Amgen, and received proceeds of approximately $12.5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million. Additionally, the Company received a $30 million upfront payment due under the Second Collaboration and License Agreement discussed above.</w:t>
      </w:r>
    </w:p>
    <w:p>
      <w:pPr>
        <w:spacing w:after="0" w:line="306" w:lineRule="exact"/>
        <w:rPr>
          <w:sz w:val="20"/>
          <w:szCs w:val="20"/>
          <w:color w:val="auto"/>
        </w:rPr>
      </w:pPr>
    </w:p>
    <w:p>
      <w:pPr>
        <w:ind w:firstLine="305"/>
        <w:spacing w:after="0" w:line="253" w:lineRule="auto"/>
        <w:rPr>
          <w:sz w:val="20"/>
          <w:szCs w:val="20"/>
          <w:color w:val="auto"/>
        </w:rPr>
      </w:pPr>
      <w:r>
        <w:rPr>
          <w:rFonts w:ascii="Times New Roman" w:cs="Times New Roman" w:eastAsia="Times New Roman" w:hAnsi="Times New Roman"/>
          <w:sz w:val="18"/>
          <w:szCs w:val="18"/>
          <w:color w:val="auto"/>
        </w:rPr>
        <w:t>On November 29, 2016, the Company announced that it would be discontinuing its clinical programs ARC-520, ARC-AAT and ARC-521, and redeploying its resources and focus toward utilizing the Company’s new proprietary subcutaneous and extra-hepatic delivery systems. Each of these clinical candidates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has also reduced its workforce by approximately 30%, while maintaining resourcing necessary to support current and potential future partner-based programs and the Company’s pipeline.</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20"/>
          </w:cols>
          <w:pgMar w:left="240" w:top="432" w:right="339" w:bottom="1440" w:gutter="0" w:footer="0" w:header="0"/>
        </w:sectPr>
      </w:pPr>
    </w:p>
    <w:bookmarkStart w:id="87" w:name="page88"/>
    <w:bookmarkEnd w:id="87"/>
    <w:p>
      <w:pPr>
        <w:ind w:left="996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124" w:lineRule="exact"/>
        <w:rPr>
          <w:sz w:val="20"/>
          <w:szCs w:val="20"/>
          <w:color w:val="auto"/>
        </w:rPr>
      </w:pPr>
    </w:p>
    <w:p>
      <w:pPr>
        <w:jc w:val="center"/>
        <w:ind w:left="260" w:right="120"/>
        <w:spacing w:after="0" w:line="246" w:lineRule="auto"/>
        <w:rPr>
          <w:sz w:val="20"/>
          <w:szCs w:val="20"/>
          <w:color w:val="auto"/>
        </w:rPr>
      </w:pPr>
      <w:r>
        <w:rPr>
          <w:rFonts w:ascii="Times New Roman" w:cs="Times New Roman" w:eastAsia="Times New Roman" w:hAnsi="Times New Roman"/>
          <w:sz w:val="22"/>
          <w:szCs w:val="22"/>
          <w:b w:val="1"/>
          <w:bCs w:val="1"/>
          <w:color w:val="auto"/>
        </w:rPr>
        <w:t>THE USE OF THE FOLLOWING NOTATION IN THIS EXHIBIT INDICATES THAT A CONFIDENTIAL PORTION HAS BEEN OMITTED PURSUANT TO A REQUEST FOR CONFIDENTIAL TREATMENT AND THE OMITTED MATERIAL HAS BEEN FILED SEPARATELY WITH THE COMMISSION: [***]</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COLLABORATION AND LICENSE AGREEMENT</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September 28, 2016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(a)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MGEN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Amgen</w:t>
      </w:r>
      <w:r>
        <w:rPr>
          <w:rFonts w:ascii="Times New Roman" w:cs="Times New Roman" w:eastAsia="Times New Roman" w:hAnsi="Times New Roman"/>
          <w:sz w:val="22"/>
          <w:szCs w:val="22"/>
          <w:color w:val="auto"/>
        </w:rPr>
        <w:t xml:space="preserve">”) and (b)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RROWHEAD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Arrowhead</w:t>
      </w:r>
      <w:r>
        <w:rPr>
          <w:rFonts w:ascii="Times New Roman" w:cs="Times New Roman" w:eastAsia="Times New Roman" w:hAnsi="Times New Roman"/>
          <w:sz w:val="22"/>
          <w:szCs w:val="22"/>
          <w:color w:val="auto"/>
        </w:rPr>
        <w:t>”). Arrowhead and Amgen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possesses proprietary technology and know-how related to the discovery, identification, synthesis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development of RNA interference (“</w:t>
      </w:r>
      <w:r>
        <w:rPr>
          <w:rFonts w:ascii="Times New Roman" w:cs="Times New Roman" w:eastAsia="Times New Roman" w:hAnsi="Times New Roman"/>
          <w:sz w:val="22"/>
          <w:szCs w:val="22"/>
          <w:b w:val="1"/>
          <w:bCs w:val="1"/>
          <w:color w:val="auto"/>
        </w:rPr>
        <w:t>RNAi</w:t>
      </w:r>
      <w:r>
        <w:rPr>
          <w:rFonts w:ascii="Times New Roman" w:cs="Times New Roman" w:eastAsia="Times New Roman" w:hAnsi="Times New Roman"/>
          <w:sz w:val="22"/>
          <w:szCs w:val="22"/>
          <w:color w:val="auto"/>
        </w:rPr>
        <w:t>”) therapeutics, using a GalNAc liver targeting approach;</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Amgen possesses resources and expertise in the development and commercialization of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 the field of medicine, and is interested in developing RNAi therapeutics as drug candidates in such field;</w:t>
      </w:r>
    </w:p>
    <w:p>
      <w:pPr>
        <w:spacing w:after="0" w:line="1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and Arrowhead desire to engage in a research collaboration pursuant to which Arrowhead will apply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proprietary technology to work on the development of a drug candidate for a specific target selected by Amgen, and pursuant to which Amgen will have an option, exercisable at Amgen’s sole discretion during a specified period, to obtain an exclusive license from Arrowhead to develop and commercialize Licensed Products with respect to such target, all on the following terms and conditions; and</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concurrently herewith, the Parties are entering into a Common Stock Purchase Agreement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pursuant to which Amgen agrees to purchase, and Arrowhead agrees to sell, up to $14,000,000 worth of shares of common stock, par value $0.001 per share, of Arrowhead.</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foregoing premises and the mutual covenants and conditions contained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the Parties agree as follows:</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9620" w:type="dxa"/>
            <w:vAlign w:val="bottom"/>
          </w:tcPr>
          <w:p>
            <w:pPr>
              <w:ind w:left="3340"/>
              <w:spacing w:after="0"/>
              <w:rPr>
                <w:sz w:val="20"/>
                <w:szCs w:val="20"/>
                <w:color w:val="auto"/>
              </w:rPr>
            </w:pPr>
            <w:r>
              <w:rPr>
                <w:rFonts w:ascii="Times New Roman" w:cs="Times New Roman" w:eastAsia="Times New Roman" w:hAnsi="Times New Roman"/>
                <w:sz w:val="22"/>
                <w:szCs w:val="22"/>
                <w:b w:val="1"/>
                <w:bCs w:val="1"/>
                <w:color w:val="auto"/>
              </w:rPr>
              <w:t>ARTICLE 1</w:t>
            </w:r>
          </w:p>
        </w:tc>
      </w:tr>
      <w:tr>
        <w:trPr>
          <w:trHeight w:val="287"/>
        </w:trPr>
        <w:tc>
          <w:tcPr>
            <w:tcW w:w="920" w:type="dxa"/>
            <w:vAlign w:val="bottom"/>
          </w:tcPr>
          <w:p>
            <w:pPr>
              <w:spacing w:after="0"/>
              <w:rPr>
                <w:sz w:val="24"/>
                <w:szCs w:val="24"/>
                <w:color w:val="auto"/>
              </w:rPr>
            </w:pPr>
          </w:p>
        </w:tc>
        <w:tc>
          <w:tcPr>
            <w:tcW w:w="9620" w:type="dxa"/>
            <w:vAlign w:val="bottom"/>
          </w:tcPr>
          <w:p>
            <w:pPr>
              <w:ind w:left="3200"/>
              <w:spacing w:after="0"/>
              <w:rPr>
                <w:sz w:val="20"/>
                <w:szCs w:val="20"/>
                <w:color w:val="auto"/>
              </w:rPr>
            </w:pPr>
            <w:r>
              <w:rPr>
                <w:rFonts w:ascii="Times New Roman" w:cs="Times New Roman" w:eastAsia="Times New Roman" w:hAnsi="Times New Roman"/>
                <w:sz w:val="22"/>
                <w:szCs w:val="22"/>
                <w:b w:val="1"/>
                <w:bCs w:val="1"/>
                <w:color w:val="auto"/>
              </w:rPr>
              <w:t>DEFINITIONS</w:t>
            </w:r>
          </w:p>
        </w:tc>
      </w:tr>
      <w:tr>
        <w:trPr>
          <w:trHeight w:val="459"/>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1.1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Acquiree</w:t>
            </w:r>
            <w:r>
              <w:rPr>
                <w:rFonts w:ascii="Times New Roman" w:cs="Times New Roman" w:eastAsia="Times New Roman" w:hAnsi="Times New Roman"/>
                <w:sz w:val="22"/>
                <w:szCs w:val="22"/>
                <w:color w:val="auto"/>
              </w:rPr>
              <w:t>” has the meaning set forth in Section 16.6(b).</w:t>
            </w:r>
          </w:p>
        </w:tc>
      </w:tr>
      <w:tr>
        <w:trPr>
          <w:trHeight w:val="459"/>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1.2</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Acquiror</w:t>
            </w:r>
            <w:r>
              <w:rPr>
                <w:rFonts w:ascii="Times New Roman" w:cs="Times New Roman" w:eastAsia="Times New Roman" w:hAnsi="Times New Roman"/>
                <w:sz w:val="22"/>
                <w:szCs w:val="22"/>
                <w:color w:val="auto"/>
              </w:rPr>
              <w:t>” has the meaning set forth in Section 16.6(a).</w:t>
            </w:r>
          </w:p>
        </w:tc>
      </w:tr>
      <w:tr>
        <w:trPr>
          <w:trHeight w:val="459"/>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1.3</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has the meaning set forth in Section 16.6(b).</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1.4</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Affiliate</w:t>
            </w:r>
            <w:r>
              <w:rPr>
                <w:rFonts w:ascii="Times New Roman" w:cs="Times New Roman" w:eastAsia="Times New Roman" w:hAnsi="Times New Roman"/>
                <w:sz w:val="22"/>
                <w:szCs w:val="22"/>
                <w:color w:val="auto"/>
                <w:w w:val="99"/>
              </w:rPr>
              <w:t>” means, with respect to a particular Party, a person, corporation, partnership, or other entity</w:t>
            </w:r>
          </w:p>
        </w:tc>
      </w:tr>
    </w:tbl>
    <w:p>
      <w:pPr>
        <w:spacing w:after="0"/>
        <w:rPr>
          <w:sz w:val="20"/>
          <w:szCs w:val="20"/>
          <w:color w:val="auto"/>
        </w:rPr>
      </w:pPr>
      <w:r>
        <w:rPr>
          <w:rFonts w:ascii="Times New Roman" w:cs="Times New Roman" w:eastAsia="Times New Roman" w:hAnsi="Times New Roman"/>
          <w:sz w:val="22"/>
          <w:szCs w:val="22"/>
          <w:color w:val="auto"/>
        </w:rPr>
        <w:t>that controls, is controlled by or is under common control with such</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8" w:name="page89"/>
    <w:bookmarkEnd w:id="88"/>
    <w:p>
      <w:pPr>
        <w:jc w:val="both"/>
        <w:spacing w:after="0" w:line="239" w:lineRule="auto"/>
        <w:rPr>
          <w:sz w:val="20"/>
          <w:szCs w:val="20"/>
          <w:color w:val="auto"/>
        </w:rPr>
      </w:pPr>
      <w:r>
        <w:rPr>
          <w:rFonts w:ascii="Times New Roman" w:cs="Times New Roman" w:eastAsia="Times New Roman" w:hAnsi="Times New Roman"/>
          <w:sz w:val="22"/>
          <w:szCs w:val="22"/>
          <w:color w:val="auto"/>
        </w:rPr>
        <w:t>Party. For the purposes of this definition, the word “control” (including, with correlative meaning, the terms “controlled by” or “under common control with”) shall mean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w:t>
            </w: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introductory paragraph.</w:t>
            </w:r>
          </w:p>
        </w:tc>
      </w:tr>
      <w:tr>
        <w:trPr>
          <w:trHeight w:val="459"/>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1.6</w:t>
            </w: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Amgen</w:t>
            </w:r>
            <w:r>
              <w:rPr>
                <w:rFonts w:ascii="Times New Roman" w:cs="Times New Roman" w:eastAsia="Times New Roman" w:hAnsi="Times New Roman"/>
                <w:sz w:val="22"/>
                <w:szCs w:val="22"/>
                <w:color w:val="auto"/>
              </w:rPr>
              <w:t>” has the meaning set forth in the introductory paragraph.</w:t>
            </w:r>
          </w:p>
        </w:tc>
      </w:tr>
      <w:tr>
        <w:trPr>
          <w:trHeight w:val="420"/>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1.7</w:t>
            </w: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Amgen Collaboration Results</w:t>
            </w:r>
            <w:r>
              <w:rPr>
                <w:rFonts w:ascii="Times New Roman" w:cs="Times New Roman" w:eastAsia="Times New Roman" w:hAnsi="Times New Roman"/>
                <w:sz w:val="22"/>
                <w:szCs w:val="22"/>
                <w:color w:val="auto"/>
                <w:w w:val="99"/>
              </w:rPr>
              <w:t>” means all Collaboration Results generated solely by or on behalf of</w:t>
            </w: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Amgen or its Affiliates.</w:t>
            </w:r>
          </w:p>
        </w:tc>
        <w:tc>
          <w:tcPr>
            <w:tcW w:w="9160" w:type="dxa"/>
            <w:vAlign w:val="bottom"/>
          </w:tcPr>
          <w:p>
            <w:pPr>
              <w:spacing w:after="0"/>
              <w:rPr>
                <w:sz w:val="24"/>
                <w:szCs w:val="24"/>
                <w:color w:val="auto"/>
              </w:rPr>
            </w:pPr>
          </w:p>
        </w:tc>
      </w:tr>
      <w:tr>
        <w:trPr>
          <w:trHeight w:val="459"/>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1.8</w:t>
            </w: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Amgen Indemnitees</w:t>
            </w:r>
            <w:r>
              <w:rPr>
                <w:rFonts w:ascii="Times New Roman" w:cs="Times New Roman" w:eastAsia="Times New Roman" w:hAnsi="Times New Roman"/>
                <w:sz w:val="22"/>
                <w:szCs w:val="22"/>
                <w:color w:val="auto"/>
              </w:rPr>
              <w:t>” has the meaning set forth in Section 12.1.</w:t>
            </w:r>
          </w:p>
        </w:tc>
      </w:tr>
      <w:tr>
        <w:trPr>
          <w:trHeight w:val="459"/>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1.9</w:t>
            </w: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Amgen Withholding Tax Action</w:t>
            </w:r>
            <w:r>
              <w:rPr>
                <w:rFonts w:ascii="Times New Roman" w:cs="Times New Roman" w:eastAsia="Times New Roman" w:hAnsi="Times New Roman"/>
                <w:sz w:val="22"/>
                <w:szCs w:val="22"/>
                <w:color w:val="auto"/>
              </w:rPr>
              <w:t>” has the meaning set forth in Section 9.13(c).</w:t>
            </w:r>
          </w:p>
        </w:tc>
      </w:tr>
      <w:tr>
        <w:trPr>
          <w:trHeight w:val="459"/>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1.10</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w:t>
            </w:r>
            <w:r>
              <w:rPr>
                <w:rFonts w:ascii="Times New Roman" w:cs="Times New Roman" w:eastAsia="Times New Roman" w:hAnsi="Times New Roman"/>
                <w:sz w:val="22"/>
                <w:szCs w:val="22"/>
                <w:color w:val="auto"/>
              </w:rPr>
              <w:t>” has the meaning set forth in the introductory paragraph.</w:t>
            </w:r>
          </w:p>
        </w:tc>
      </w:tr>
      <w:tr>
        <w:trPr>
          <w:trHeight w:val="420"/>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1.11</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Collaboration Results</w:t>
            </w:r>
            <w:r>
              <w:rPr>
                <w:rFonts w:ascii="Times New Roman" w:cs="Times New Roman" w:eastAsia="Times New Roman" w:hAnsi="Times New Roman"/>
                <w:sz w:val="22"/>
                <w:szCs w:val="22"/>
                <w:color w:val="auto"/>
              </w:rPr>
              <w:t>” means all Collaboration Results generated solely by or on</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behalf of Arrowhead or its Affiliates.</w:t>
            </w:r>
          </w:p>
        </w:tc>
      </w:tr>
      <w:tr>
        <w:trPr>
          <w:trHeight w:val="459"/>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1.12</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Indemnitees</w:t>
            </w:r>
            <w:r>
              <w:rPr>
                <w:rFonts w:ascii="Times New Roman" w:cs="Times New Roman" w:eastAsia="Times New Roman" w:hAnsi="Times New Roman"/>
                <w:sz w:val="22"/>
                <w:szCs w:val="22"/>
                <w:color w:val="auto"/>
              </w:rPr>
              <w:t>” has the meaning set forth in Section 12.2.</w:t>
            </w:r>
          </w:p>
        </w:tc>
      </w:tr>
      <w:tr>
        <w:trPr>
          <w:trHeight w:val="444"/>
        </w:trPr>
        <w:tc>
          <w:tcPr>
            <w:tcW w:w="226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1.13</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Arrowhead Know-How</w:t>
            </w:r>
            <w:r>
              <w:rPr>
                <w:rFonts w:ascii="Times New Roman" w:cs="Times New Roman" w:eastAsia="Times New Roman" w:hAnsi="Times New Roman"/>
                <w:sz w:val="22"/>
                <w:szCs w:val="22"/>
                <w:color w:val="auto"/>
                <w:w w:val="98"/>
              </w:rPr>
              <w:t>” means all Information Controlled by Arrowhead or any of its Affiliates (a)</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as of the Effective Date or during the Term, and (b) (i) (A) that was used by Arrowhead or its Affiliates in its research and development of RNAi Molecules prior to the Effective Date or (B) that is used by Arrowhead or its Affiliates in the course of conducting activities under this Agreement during the Term, and, in each case, is related to the Development, Manufacturing, or Commercialization of Licensed Compounds or Licensed Products in any field, or (ii) that is necessary or reasonably useful for the Development, Manufacturing, Commercialization, use, sale, offer for sale, importation or other exploitation of any Licensed Compound or Licensed Product in any field.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1.14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Licensed Technology</w:t>
            </w:r>
            <w:r>
              <w:rPr>
                <w:rFonts w:ascii="Times New Roman" w:cs="Times New Roman" w:eastAsia="Times New Roman" w:hAnsi="Times New Roman"/>
                <w:sz w:val="22"/>
                <w:szCs w:val="22"/>
                <w:color w:val="auto"/>
              </w:rPr>
              <w:t>” means the Arrowhead Know-How, Arrowhead Patents and</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Arrowhead Collaboration Results.</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1.15</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Patent</w:t>
            </w:r>
            <w:r>
              <w:rPr>
                <w:rFonts w:ascii="Times New Roman" w:cs="Times New Roman" w:eastAsia="Times New Roman" w:hAnsi="Times New Roman"/>
                <w:sz w:val="22"/>
                <w:szCs w:val="22"/>
                <w:color w:val="auto"/>
              </w:rPr>
              <w:t>” means any Patent (other than a Joint Patent) that (a) is Controlled by</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Arrowhead or any of its Affiliates as of the Effective Date or at any time during the Term, and (b) (i) absent a license, would be infringed (or, for purposes of pending patent applications, would be infringed if a patent was issued therefor with claims in their then-current form) by, or (ii) would be reasonably necessary or useful for, in either case, the Development, Manufacture, Commercialization, use, sale, offer for sale, importation or other exploitation of any Licensed Compound or Licensed Product in any field.</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1.16</w:t>
            </w:r>
          </w:p>
        </w:tc>
        <w:tc>
          <w:tcPr>
            <w:tcW w:w="75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Arrowhead Platform Patents</w:t>
            </w:r>
            <w:r>
              <w:rPr>
                <w:rFonts w:ascii="Times New Roman" w:cs="Times New Roman" w:eastAsia="Times New Roman" w:hAnsi="Times New Roman"/>
                <w:sz w:val="22"/>
                <w:szCs w:val="22"/>
                <w:color w:val="auto"/>
                <w:w w:val="97"/>
              </w:rPr>
              <w:t>” has the meaning set forth in Section 10.3(a)(i).</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1.17</w:t>
            </w:r>
          </w:p>
        </w:tc>
        <w:tc>
          <w:tcPr>
            <w:tcW w:w="75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Arrowhead Product Patents</w:t>
            </w:r>
            <w:r>
              <w:rPr>
                <w:rFonts w:ascii="Times New Roman" w:cs="Times New Roman" w:eastAsia="Times New Roman" w:hAnsi="Times New Roman"/>
                <w:sz w:val="22"/>
                <w:szCs w:val="22"/>
                <w:color w:val="auto"/>
                <w:w w:val="98"/>
              </w:rPr>
              <w:t>” has the meaning set forth in Section 10.3(a)(ii).</w:t>
            </w: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ind w:left="720" w:hanging="712"/>
        <w:spacing w:after="0"/>
        <w:tabs>
          <w:tab w:leader="none" w:pos="7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9" w:name="page90"/>
    <w:bookmarkEnd w:id="89"/>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1.18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“Arrowhead Research Deliverables” </w:t>
            </w:r>
            <w:r>
              <w:rPr>
                <w:rFonts w:ascii="Times New Roman" w:cs="Times New Roman" w:eastAsia="Times New Roman" w:hAnsi="Times New Roman"/>
                <w:sz w:val="22"/>
                <w:szCs w:val="22"/>
                <w:color w:val="auto"/>
              </w:rPr>
              <w:t>means [***].</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1.19</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Arrowhead Research IP</w:t>
            </w:r>
            <w:r>
              <w:rPr>
                <w:rFonts w:ascii="Times New Roman" w:cs="Times New Roman" w:eastAsia="Times New Roman" w:hAnsi="Times New Roman"/>
                <w:sz w:val="22"/>
                <w:szCs w:val="22"/>
                <w:color w:val="auto"/>
                <w:w w:val="98"/>
              </w:rPr>
              <w:t>” means all Patents and Information Controlled by Arrowhead or any of its</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Affiliates during the Research Term that are necessary or reasonably useful for Amgen to conduct its activities described under Article 2 solely in connection with the performance of the Research Program in accordance with the terms of this Agreement. For clarity, Arrowhead Research IP includes the Arrowhead Collaboration Results.</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1.20</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Background IP</w:t>
            </w:r>
            <w:r>
              <w:rPr>
                <w:rFonts w:ascii="Times New Roman" w:cs="Times New Roman" w:eastAsia="Times New Roman" w:hAnsi="Times New Roman"/>
                <w:sz w:val="22"/>
                <w:szCs w:val="22"/>
                <w:color w:val="auto"/>
              </w:rPr>
              <w:t>” has the meaning set forth in Section 10.2(c).</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1.21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U.S. Code Sections 101 et seq.</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1.22</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Blocking Patents</w:t>
            </w:r>
            <w:r>
              <w:rPr>
                <w:rFonts w:ascii="Times New Roman" w:cs="Times New Roman" w:eastAsia="Times New Roman" w:hAnsi="Times New Roman"/>
                <w:sz w:val="22"/>
                <w:szCs w:val="22"/>
                <w:color w:val="auto"/>
              </w:rPr>
              <w:t>” means as to a Licensed Compound or Licensed Product, any Patent rights of a</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Third Party that claim, in a particular country, the composition or use or manufacture of such Licensed Compound or Licensed Product, and which such Patent rights would be infringed by the manufacture, use, offer for sale, sale, import or export of such Licensed Compound or Licensed Product in such country.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1.23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Business Day</w:t>
            </w:r>
            <w:r>
              <w:rPr>
                <w:rFonts w:ascii="Times New Roman" w:cs="Times New Roman" w:eastAsia="Times New Roman" w:hAnsi="Times New Roman"/>
                <w:sz w:val="22"/>
                <w:szCs w:val="22"/>
                <w:color w:val="auto"/>
                <w:w w:val="99"/>
              </w:rPr>
              <w:t>” means any weekday that is not a legal holiday in New York, New York, U.S., and is</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 a day on which banking institutions are required by Law to be closed.</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1.24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on March 31, 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17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 for the first Calendar Year of the Term, the period beginning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and ending on December 31, 2016, (b) for each Calendar Year of the Term thereafter, each successive period beginning on January 1 and ending twelve (12) consecutive calendar months later on December 31, and (c) for the last Calendar Year of the Term, the period beginning on January 1 of the Calendar Year in which the Agreement expires or terminates and ending on the effective date of expiration or termination of this Agreement.</w:t>
      </w:r>
    </w:p>
    <w:p>
      <w:pPr>
        <w:spacing w:after="0" w:line="17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(a) a Party enters into a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business combination, recapitalization, share exchange, stock sale or sale or transfer of all or substantially all of its assets to which this Agreement relates, or other similar transaction or series of transactions with a Third Party; or (b) any transaction or series of related transactions in which any Third Party or group of Third Parties acquires beneficial ownership of securities of a Party representing more than fifty percent (50%) of the combined voting power of the then outstanding securities of such Party. Notwithstanding the foregoing clauses (a) or (b), a stock sale to underwriters of a public offering of a Party’s capital stock or other Third Parties solely for the purpose of financing or a transaction solely to change the domicile of a Party shall not constitute a Change of Control.</w:t>
      </w:r>
    </w:p>
    <w:p>
      <w:pPr>
        <w:spacing w:after="0" w:line="179"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has the meaning set forth in Section 12.1.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ind w:left="720" w:hanging="712"/>
        <w:spacing w:after="0"/>
        <w:tabs>
          <w:tab w:leader="none" w:pos="7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1.28</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human clinical trial of a Licensed Product as defined in 21 C.F.R. §</w:t>
            </w:r>
          </w:p>
        </w:tc>
      </w:tr>
      <w:tr>
        <w:trPr>
          <w:trHeight w:val="283"/>
        </w:trPr>
        <w:tc>
          <w:tcPr>
            <w:tcW w:w="1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312.21, or an equivalent human clinical trial prescribed by the Regulatory Authorities in a foreign country.</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1.29</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CMC</w:t>
            </w:r>
            <w:r>
              <w:rPr>
                <w:rFonts w:ascii="Times New Roman" w:cs="Times New Roman" w:eastAsia="Times New Roman" w:hAnsi="Times New Roman"/>
                <w:sz w:val="22"/>
                <w:szCs w:val="22"/>
                <w:color w:val="auto"/>
              </w:rPr>
              <w:t>” has the meaning set forth in Section 1.60.</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1.30</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has the meaning set forth in Section 9.13(b).</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1.31</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Collaboration Results</w:t>
            </w:r>
            <w:r>
              <w:rPr>
                <w:rFonts w:ascii="Times New Roman" w:cs="Times New Roman" w:eastAsia="Times New Roman" w:hAnsi="Times New Roman"/>
                <w:sz w:val="22"/>
                <w:szCs w:val="22"/>
                <w:color w:val="auto"/>
                <w:w w:val="98"/>
              </w:rPr>
              <w:t>” means all Information generated under the Research Program whether by or</w:t>
            </w:r>
          </w:p>
        </w:tc>
      </w:tr>
      <w:tr>
        <w:trPr>
          <w:trHeight w:val="283"/>
        </w:trPr>
        <w:tc>
          <w:tcPr>
            <w:tcW w:w="1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on behalf of Arrowhead or Amgen (or their respective Affiliates) either solely or jointly.</w:t>
            </w:r>
          </w:p>
        </w:tc>
      </w:tr>
      <w:tr>
        <w:trPr>
          <w:trHeight w:val="407"/>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1.32</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Target</w:t>
            </w:r>
            <w:r>
              <w:rPr>
                <w:rFonts w:ascii="Times New Roman" w:cs="Times New Roman" w:eastAsia="Times New Roman" w:hAnsi="Times New Roman"/>
                <w:sz w:val="22"/>
                <w:szCs w:val="22"/>
                <w:color w:val="auto"/>
              </w:rPr>
              <w:t>” means the Target identified in Exhibit A.</w:t>
            </w:r>
          </w:p>
        </w:tc>
      </w:tr>
      <w:tr>
        <w:trPr>
          <w:trHeight w:val="20"/>
        </w:trPr>
        <w:tc>
          <w:tcPr>
            <w:tcW w:w="19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52"/>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1.33</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Licensed Product sold in combination with at least one (1)</w:t>
            </w:r>
          </w:p>
        </w:tc>
      </w:tr>
      <w:tr>
        <w:trPr>
          <w:trHeight w:val="283"/>
        </w:trPr>
        <w:tc>
          <w:tcPr>
            <w:tcW w:w="1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additional pharmaceutical product other than a Licensed Compound.</w:t>
            </w:r>
          </w:p>
        </w:tc>
      </w:tr>
      <w:tr>
        <w:trPr>
          <w:trHeight w:val="416"/>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1.34</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the marketing, promotion, sale, distribution or other activities relating</w:t>
            </w:r>
          </w:p>
        </w:tc>
      </w:tr>
      <w:tr>
        <w:trPr>
          <w:trHeight w:val="287"/>
        </w:trPr>
        <w:tc>
          <w:tcPr>
            <w:tcW w:w="1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to the commercialization of a Licensed Product in any field in the Territory.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has a correlative meaning.</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1.35</w:t>
            </w:r>
          </w:p>
        </w:tc>
        <w:tc>
          <w:tcPr>
            <w:tcW w:w="950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(a) with respect to a Party’s obligations under this</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Agreement during the Research Term, the level of efforts and resources reasonably required to carry out such obligations hereunder and consistent with the efforts and resources such Party normally uses relating to the discovery and development of biopharmaceutical products and (b) with respect to a Party’s obligations under this Agreement following Amgen’s exercise of the Option, and, in the case of Amgen, with respect to a Licensed Product, efforts consistent with the efforts and resources normally used by a similarly situated pharmaceutical or biotechnology company in the exercise of its reasonable business discretion relating to the development or commercialization of a pharmaceutical product with similar product characteristics that is of similar market potential at a similar stage of development or commercialization, and in the case of either Party taking into account other relevant factors including technical, legal, intellectual property, competition, scientific and medical factors.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1.36</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Competing Product</w:t>
            </w:r>
            <w:r>
              <w:rPr>
                <w:rFonts w:ascii="Times New Roman" w:cs="Times New Roman" w:eastAsia="Times New Roman" w:hAnsi="Times New Roman"/>
                <w:sz w:val="22"/>
                <w:szCs w:val="22"/>
                <w:color w:val="auto"/>
              </w:rPr>
              <w:t>” means any compound directed to the Collaboration Target.</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1.37</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Competing Program</w:t>
            </w:r>
            <w:r>
              <w:rPr>
                <w:rFonts w:ascii="Times New Roman" w:cs="Times New Roman" w:eastAsia="Times New Roman" w:hAnsi="Times New Roman"/>
                <w:sz w:val="22"/>
                <w:szCs w:val="22"/>
                <w:color w:val="auto"/>
                <w:w w:val="99"/>
              </w:rPr>
              <w:t>” means the research, development, commercialization or manufacture, in the</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Territory, of any Competing Product.</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1.38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collectively,  (i)  the  Confidential  Disclosure  Agreement</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between Arrowhead and Amgen, effective as of April 21, 2014, as amended and (ii) the Confidential Disclosure Agreement between Arrowhead and Amgen, effective as of August 8, 2016.</w:t>
      </w:r>
    </w:p>
    <w:p>
      <w:pPr>
        <w:spacing w:after="0" w:line="17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any and all Information of such Party (or of any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that is disclosed by a Party to the other Party under this Agreement, except as otherwise set forth in Article 13 or as otherwise expressly set forth in this Agreement, whether in oral, written, graphic, or electronic form. All Information disclosed by a Party pursuant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ind w:left="720" w:hanging="712"/>
        <w:spacing w:after="0"/>
        <w:tabs>
          <w:tab w:leader="none" w:pos="7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22"/>
          <w:szCs w:val="22"/>
          <w:color w:val="auto"/>
        </w:rPr>
        <w:t>to the Confidentiality Agreement shall be deemed to be such Party’s Confidential Information disclosed hereunder (with the mutual understanding and agreement that any use or disclosure thereof that is authorized under Article 13 shall not be restricted by, or be deemed a violation of, the Confidentiality Agreement).</w:t>
      </w:r>
    </w:p>
    <w:p>
      <w:pPr>
        <w:spacing w:after="0" w:line="17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with respect to any Information or intellectual property right, that an entity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owns or (b) has the right to grant access, a license, or a sublicense (as applicable) to such Information or intellectual property right on the terms and conditions set forth in this Agreement without (i) violating the terms of any then-existing agreement with any Third Party or (ii) requiring any payment (whether or not then due and payable) with respect to the grant or exercise of such access, license or sublicense under any then-existing agreement with any Third Party (unless the other Party agrees in writing to be responsible for such payments).</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1.41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has the meaning set forth in Section 14.3.</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1.42</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activities that relate to obtaining, maintaining or expanding Regulatory</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Approval for a Licensed Product, including preclinical testing, toxicology, formulation, Clinical Trials, preparation, submission, review, and development of data or information for the purpose of submission to a Governmental Authority to obtain, maintain or expand Regulatory Approval for a Licensed Product.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Developing</w:t>
      </w:r>
      <w:r>
        <w:rPr>
          <w:rFonts w:ascii="Times New Roman" w:cs="Times New Roman" w:eastAsia="Times New Roman" w:hAnsi="Times New Roman"/>
          <w:sz w:val="22"/>
          <w:szCs w:val="22"/>
          <w:color w:val="auto"/>
        </w:rPr>
        <w:t>” have correlative meanings.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has the meaning set forth in Section 15.1.</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w:t>
            </w:r>
            <w:r>
              <w:rPr>
                <w:rFonts w:ascii="Times New Roman" w:cs="Times New Roman" w:eastAsia="Times New Roman" w:hAnsi="Times New Roman"/>
                <w:sz w:val="22"/>
                <w:szCs w:val="22"/>
                <w:color w:val="auto"/>
              </w:rPr>
              <w:t>” means a U.S. dollar,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shall be interpreted accordingly.</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1.45</w:t>
            </w:r>
          </w:p>
        </w:tc>
        <w:tc>
          <w:tcPr>
            <w:tcW w:w="950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set forth in the introductory paragraph.</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1.46</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or any successor entity.</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1.47</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Executive Officer</w:t>
            </w:r>
            <w:r>
              <w:rPr>
                <w:rFonts w:ascii="Times New Roman" w:cs="Times New Roman" w:eastAsia="Times New Roman" w:hAnsi="Times New Roman"/>
                <w:sz w:val="22"/>
                <w:szCs w:val="22"/>
                <w:color w:val="auto"/>
                <w:w w:val="98"/>
              </w:rPr>
              <w:t>” means, with respect to Arrowhead, its Chief Executive Officer, and with respect</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Amgen, a designated official who shall be a Vice President or higher with authority to resolve such matter</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U.S. Federal Food, Drug and Cosmetic Act, as amended, and applicable</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regulations promulgated thereunder by the FDA.</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1.49</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entity.</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1.50</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First Commercial Sale</w:t>
            </w:r>
            <w:r>
              <w:rPr>
                <w:rFonts w:ascii="Times New Roman" w:cs="Times New Roman" w:eastAsia="Times New Roman" w:hAnsi="Times New Roman"/>
                <w:sz w:val="22"/>
                <w:szCs w:val="22"/>
                <w:color w:val="auto"/>
                <w:w w:val="98"/>
              </w:rPr>
              <w:t>” means, with respect to a Licensed Product, the first sale to a Third Party for</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end use or consumption of such Licensed Product in a given country following the receipt of Regulatory Approval in such country, provided that “First Commercial Sale” shall not include sale, disposal or use of a Licensed Product for marketing, regulatory, development or charitable purposes, such as clinical trials, pre-clinical trials, compassionate use, named patient use, or indigent patient programs, without consideration.</w:t>
      </w:r>
    </w:p>
    <w:p>
      <w:pPr>
        <w:sectPr>
          <w:pgSz w:w="11900" w:h="16838" w:orient="portrait"/>
          <w:cols w:equalWidth="0" w:num="1">
            <w:col w:w="11420"/>
          </w:cols>
          <w:pgMar w:left="240" w:top="531" w:right="239" w:bottom="1440" w:gutter="0" w:footer="0" w:header="0"/>
        </w:sectPr>
      </w:pP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1.51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consistent basis.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the then current generally accepted accounting principles in the U.S., as applied on a</w:t>
      </w:r>
    </w:p>
    <w:p>
      <w:pPr>
        <w:spacing w:after="0" w:line="463" w:lineRule="exact"/>
        <w:rPr>
          <w:sz w:val="20"/>
          <w:szCs w:val="20"/>
          <w:color w:val="auto"/>
        </w:rPr>
      </w:pPr>
    </w:p>
    <w:p>
      <w:pPr>
        <w:sectPr>
          <w:pgSz w:w="11900" w:h="16838" w:orient="portrait"/>
          <w:cols w:equalWidth="0" w:num="2">
            <w:col w:w="1840" w:space="720"/>
            <w:col w:w="8860"/>
          </w:cols>
          <w:pgMar w:left="240" w:top="53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ind w:left="720" w:hanging="712"/>
        <w:spacing w:after="0"/>
        <w:tabs>
          <w:tab w:leader="none" w:pos="7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92" w:name="page93"/>
    <w:bookmarkEnd w:id="92"/>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Clinical Practices</w:t>
      </w:r>
      <w:r>
        <w:rPr>
          <w:rFonts w:ascii="Times New Roman" w:cs="Times New Roman" w:eastAsia="Times New Roman" w:hAnsi="Times New Roman"/>
          <w:sz w:val="22"/>
          <w:szCs w:val="22"/>
          <w:color w:val="auto"/>
        </w:rPr>
        <w:t>” means the then-current standards, practices and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or endorsed by the 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 as they may be updated from time to time, including applicable quality guidelines promulgated under the ICH.</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Laboratory Practices</w:t>
      </w:r>
      <w:r>
        <w:rPr>
          <w:rFonts w:ascii="Times New Roman" w:cs="Times New Roman" w:eastAsia="Times New Roman" w:hAnsi="Times New Roman"/>
          <w:sz w:val="22"/>
          <w:szCs w:val="22"/>
          <w:color w:val="auto"/>
        </w:rPr>
        <w:t>” means the then-current good laboratory practice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or endorsed 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17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means the then-current Good Manufacturing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the FDA, as set forth in the FD&amp;C Act and the regulations 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federal, state, local, municipal, provincial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governmental authority of any nature (including any governmental division, prefecture, subdivision, department, agency, bureau, branch, office, commission, council, court or other tribunal).</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1.56</w:t>
            </w:r>
          </w:p>
        </w:tc>
        <w:tc>
          <w:tcPr>
            <w:tcW w:w="9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means International Conference on Harmonisation.</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1.57</w:t>
            </w:r>
          </w:p>
        </w:tc>
        <w:tc>
          <w:tcPr>
            <w:tcW w:w="9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 an Investigational New Drug Application as defined in the FD&amp;C Act and</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applicable regulations promulgated thereunder by the FDA, or (b) the equivalent application to the equivalent agency in any other regulatory jurisdiction, the filing of which is necessary to Initiate or conduct a Clinical Trial of a pharmaceutical product in humans in such jurisdiction.</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1.58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has the meaning set forth in Section 12.3.</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1.59</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the meaning set forth in Section 12.3.</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1.60</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any and all data, results, technology, business or financial information or</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information of any type whatsoever, in any tangible or intangible form, including know-how, trade secrets, practices, techniques, methods, processes, developments, specifications, formulations, or formulae of any type or kind (patentable or otherwise), software, algorithms, marketing reports, expertise, technology, test data (including pharmacological, biological, chemical, biochemical, clinical test data and data resulting from non-clinical studies), chemistry, manufacture and control (“</w:t>
      </w:r>
      <w:r>
        <w:rPr>
          <w:rFonts w:ascii="Times New Roman" w:cs="Times New Roman" w:eastAsia="Times New Roman" w:hAnsi="Times New Roman"/>
          <w:sz w:val="22"/>
          <w:szCs w:val="22"/>
          <w:b w:val="1"/>
          <w:bCs w:val="1"/>
          <w:color w:val="auto"/>
        </w:rPr>
        <w:t>CMC</w:t>
      </w:r>
      <w:r>
        <w:rPr>
          <w:rFonts w:ascii="Times New Roman" w:cs="Times New Roman" w:eastAsia="Times New Roman" w:hAnsi="Times New Roman"/>
          <w:sz w:val="22"/>
          <w:szCs w:val="22"/>
          <w:color w:val="auto"/>
        </w:rPr>
        <w:t>”) information, stability data and other study data and procedures.</w:t>
      </w:r>
    </w:p>
    <w:p>
      <w:pPr>
        <w:spacing w:after="0" w:line="176"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of a Clinical Trial means the first dosing of the first subject in such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has a correlative meaning.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ind w:left="720" w:hanging="712"/>
        <w:spacing w:after="0"/>
        <w:tabs>
          <w:tab w:leader="none" w:pos="7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87"/>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1.62</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has the meaning set forth in Section 10.1.</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Collaboration Results</w:t>
            </w:r>
            <w:r>
              <w:rPr>
                <w:rFonts w:ascii="Times New Roman" w:cs="Times New Roman" w:eastAsia="Times New Roman" w:hAnsi="Times New Roman"/>
                <w:sz w:val="22"/>
                <w:szCs w:val="22"/>
                <w:color w:val="auto"/>
              </w:rPr>
              <w:t>” means all Collaboration Results generated jointly by or on behalf of</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both Amgen and Arrowhead (or their respective Affiliates).</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Invention</w:t>
            </w:r>
            <w:r>
              <w:rPr>
                <w:rFonts w:ascii="Times New Roman" w:cs="Times New Roman" w:eastAsia="Times New Roman" w:hAnsi="Times New Roman"/>
                <w:sz w:val="22"/>
                <w:szCs w:val="22"/>
                <w:color w:val="auto"/>
              </w:rPr>
              <w:t>” has the meaning set forth in Section 10.2(a).</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1.65</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IPR</w:t>
            </w:r>
            <w:r>
              <w:rPr>
                <w:rFonts w:ascii="Times New Roman" w:cs="Times New Roman" w:eastAsia="Times New Roman" w:hAnsi="Times New Roman"/>
                <w:sz w:val="22"/>
                <w:szCs w:val="22"/>
                <w:color w:val="auto"/>
              </w:rPr>
              <w:t>” has the meaning set forth in 10.2(a).</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1.66</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Patent</w:t>
            </w:r>
            <w:r>
              <w:rPr>
                <w:rFonts w:ascii="Times New Roman" w:cs="Times New Roman" w:eastAsia="Times New Roman" w:hAnsi="Times New Roman"/>
                <w:sz w:val="22"/>
                <w:szCs w:val="22"/>
                <w:color w:val="auto"/>
              </w:rPr>
              <w:t>” has the meaning set forth in Section 10.2(a).</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1.67</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Research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has the meaning set forth in Section 2.2.</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of a Party has the meaning set forth in Section 11.6.</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1.69</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Laws</w:t>
            </w:r>
            <w:r>
              <w:rPr>
                <w:rFonts w:ascii="Times New Roman" w:cs="Times New Roman" w:eastAsia="Times New Roman" w:hAnsi="Times New Roman"/>
                <w:sz w:val="22"/>
                <w:szCs w:val="22"/>
                <w:color w:val="auto"/>
                <w:w w:val="99"/>
              </w:rPr>
              <w:t>” means all laws, statutes, rules, regulations, ordinances and other pronouncements having the</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effect of law of any federal, national, multinational, state, provincial, county, city or other political subdivision.</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1.70</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Compounds</w:t>
            </w:r>
            <w:r>
              <w:rPr>
                <w:rFonts w:ascii="Times New Roman" w:cs="Times New Roman" w:eastAsia="Times New Roman" w:hAnsi="Times New Roman"/>
                <w:sz w:val="22"/>
                <w:szCs w:val="22"/>
                <w:color w:val="auto"/>
              </w:rPr>
              <w:t>”  means  any  RNAi  Molecules  for  inhibiting  the  expression  of  the</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Collaboration Target that are provided in, or optimized or modified directly from, the Arrowhead Research Deliverables and any back-up RNAi Molecules thereto that have been generated by Arrowhead on or before the Effective Date or during the Term, which RNAi Molecules are licensed to Amgen hereunder.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1.71</w:t>
            </w:r>
          </w:p>
        </w:tc>
        <w:tc>
          <w:tcPr>
            <w:tcW w:w="7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pharmaceutical product containing</w:t>
            </w:r>
          </w:p>
        </w:tc>
        <w:tc>
          <w:tcPr>
            <w:tcW w:w="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or</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comprising a Licensed</w:t>
            </w:r>
          </w:p>
        </w:tc>
      </w:tr>
      <w:tr>
        <w:trPr>
          <w:trHeight w:val="283"/>
        </w:trPr>
        <w:tc>
          <w:tcPr>
            <w:tcW w:w="8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Compound as an active pharmaceutical ingredient.</w:t>
            </w: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1.72</w:t>
            </w:r>
          </w:p>
        </w:tc>
        <w:tc>
          <w:tcPr>
            <w:tcW w:w="7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means all activities related to the manufacturing of</w:t>
            </w:r>
          </w:p>
        </w:tc>
        <w:tc>
          <w:tcPr>
            <w:tcW w:w="2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Licensed Compound or</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Licensed Product, or any ingredient thereof, including test method development and stability testing, formulation, process development, manufacturing scale-up, manufacturing any Licensed Compound or Licensed Product in bulk or finished form for Development, manufacturing finished Licensed Product for Commercialization, packaging, in-process and finished Licensed Product testing, release of Licensed Product or any component or ingredient thereof, quality assurance activities related to manufacturing and release of Licensed Product, and regulatory activities related to any of the foregoing.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has a correlative meaning.</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has the meaning set forth in Section 2.9.</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1.74</w:t>
            </w:r>
          </w:p>
        </w:tc>
        <w:tc>
          <w:tcPr>
            <w:tcW w:w="950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Net Sales</w:t>
            </w:r>
            <w:r>
              <w:rPr>
                <w:rFonts w:ascii="Times New Roman" w:cs="Times New Roman" w:eastAsia="Times New Roman" w:hAnsi="Times New Roman"/>
                <w:sz w:val="22"/>
                <w:szCs w:val="22"/>
                <w:color w:val="auto"/>
                <w:w w:val="98"/>
              </w:rPr>
              <w:t>” means, with respect to a given period of time, gross sales of Licensed Product (following</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its Regulatory Approval) by Amgen, its Affiliates and Sublicensees in such period, less the following deductions which are actually incurred, allowed, paid, accrued or specifically allocated to such gross sales amounts of Licensed Product using GAAP applied on a consistent basis:</w:t>
      </w:r>
    </w:p>
    <w:p>
      <w:pPr>
        <w:spacing w:after="0" w:line="174" w:lineRule="exact"/>
        <w:rPr>
          <w:sz w:val="20"/>
          <w:szCs w:val="20"/>
          <w:color w:val="auto"/>
        </w:rPr>
      </w:pPr>
    </w:p>
    <w:p>
      <w:pPr>
        <w:jc w:val="both"/>
        <w:ind w:firstLine="1755"/>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credits or allowances for defective or damaged Licensed Product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allowances for spoiled, outdated or withdrawn Licensed Product), returns or rejections of Licensed Product, price adjustments and billing errors;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ind w:left="720" w:hanging="712"/>
        <w:spacing w:after="0"/>
        <w:tabs>
          <w:tab w:leader="none" w:pos="72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94" w:name="page95"/>
    <w:bookmarkEnd w:id="94"/>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governmental payments and other rebates, refunds and chargebacks (or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granted to managed health care organizations; pharmacy benefit managers (or equivalents thereof); federal, state/provincial, local and other governments, their agencies and purchasers and reimbursers; or to trade customers;</w:t>
      </w:r>
    </w:p>
    <w:p>
      <w:pPr>
        <w:spacing w:after="0" w:line="167" w:lineRule="exact"/>
        <w:rPr>
          <w:sz w:val="20"/>
          <w:szCs w:val="20"/>
          <w:color w:val="auto"/>
        </w:rPr>
      </w:pPr>
    </w:p>
    <w:p>
      <w:pPr>
        <w:jc w:val="both"/>
        <w:ind w:right="20"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normal and customary trade, cash, prompt payment and/or quantity discounts,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allowances and credits and mandated discounts;</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2"/>
          <w:szCs w:val="22"/>
          <w:color w:val="auto"/>
        </w:rPr>
        <w:t>distribution services agreement fees allowed or paid to Third Party distributors and</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reasonable fees paid to wholesalers, selling agents (excluding any sales representatives of Amgen or any of its Affiliates or Sublicensees), group purchasing organizations, Third Party payors, other contractees and managed care entities, in each case with respect to such Licensed Product;</w:t>
      </w:r>
    </w:p>
    <w:p>
      <w:pPr>
        <w:spacing w:after="0" w:line="174"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 of gross sales to cover such items as transportation costs, including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outbound freight, other transportation charges, additional special packaging and bad debt;</w:t>
      </w:r>
    </w:p>
    <w:p>
      <w:pPr>
        <w:spacing w:after="0" w:line="150" w:lineRule="exact"/>
        <w:rPr>
          <w:sz w:val="20"/>
          <w:szCs w:val="20"/>
          <w:color w:val="auto"/>
        </w:rPr>
      </w:pPr>
    </w:p>
    <w:p>
      <w:pPr>
        <w:ind w:left="1760"/>
        <w:spacing w:after="0"/>
        <w:tabs>
          <w:tab w:leader="none" w:pos="3900" w:val="left"/>
        </w:tabs>
        <w:rPr>
          <w:sz w:val="20"/>
          <w:szCs w:val="20"/>
          <w:color w:val="auto"/>
        </w:rPr>
      </w:pPr>
      <w:r>
        <w:rPr>
          <w:rFonts w:ascii="Times New Roman" w:cs="Times New Roman" w:eastAsia="Times New Roman" w:hAnsi="Times New Roman"/>
          <w:sz w:val="22"/>
          <w:szCs w:val="22"/>
          <w:b w:val="1"/>
          <w:bCs w:val="1"/>
          <w:color w:val="auto"/>
        </w:rPr>
        <w:t>(f)</w:t>
      </w:r>
      <w:r>
        <w:rPr>
          <w:sz w:val="20"/>
          <w:szCs w:val="20"/>
          <w:color w:val="auto"/>
        </w:rPr>
        <w:tab/>
      </w:r>
      <w:r>
        <w:rPr>
          <w:rFonts w:ascii="Times New Roman" w:cs="Times New Roman" w:eastAsia="Times New Roman" w:hAnsi="Times New Roman"/>
          <w:sz w:val="22"/>
          <w:szCs w:val="22"/>
          <w:color w:val="auto"/>
        </w:rPr>
        <w:t>sales taxes, value added taxes and other taxes (other than income taxes) and duties</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paid in relation to such Licensed Product and any other equivalent governmental charges imposed upon the importation, use or sale of Licensed Product; and</w:t>
      </w:r>
    </w:p>
    <w:p>
      <w:pPr>
        <w:sectPr>
          <w:pgSz w:w="11900" w:h="16838" w:orient="portrait"/>
          <w:cols w:equalWidth="0" w:num="1">
            <w:col w:w="11420"/>
          </w:cols>
          <w:pgMar w:left="240" w:top="527" w:right="239" w:bottom="1440" w:gutter="0" w:footer="0" w:header="0"/>
        </w:sectPr>
      </w:pPr>
    </w:p>
    <w:p>
      <w:pPr>
        <w:spacing w:after="0" w:line="17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b w:val="1"/>
          <w:bCs w:val="1"/>
          <w:color w:val="auto"/>
        </w:rPr>
        <w:t>(g)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retroactive price reductions to the Third Party applicable to sales of such Licensed</w:t>
      </w:r>
    </w:p>
    <w:p>
      <w:pPr>
        <w:spacing w:after="0" w:line="20" w:lineRule="exact"/>
        <w:rPr>
          <w:sz w:val="20"/>
          <w:szCs w:val="20"/>
          <w:color w:val="auto"/>
        </w:rPr>
      </w:pPr>
    </w:p>
    <w:p>
      <w:pPr>
        <w:sectPr>
          <w:pgSz w:w="11900" w:h="16838" w:orient="portrait"/>
          <w:cols w:equalWidth="0" w:num="2">
            <w:col w:w="3240" w:space="720"/>
            <w:col w:w="746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Product.</w:t>
      </w:r>
    </w:p>
    <w:p>
      <w:pPr>
        <w:sectPr>
          <w:pgSz w:w="11900" w:h="16838" w:orient="portrait"/>
          <w:cols w:equalWidth="0" w:num="1">
            <w:col w:w="11420"/>
          </w:cols>
          <w:pgMar w:left="240" w:top="527" w:right="239" w:bottom="1440" w:gutter="0" w:footer="0" w:header="0"/>
          <w:type w:val="continuous"/>
        </w:sectPr>
      </w:pP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Sales of Licensed Product between or among Amgen and its Affiliates or Sublicensees shall be excluded from the computation of Net Sales, but the subsequent final sales of Licensed Product to Third Parties by such Affiliates and Sublicensees shall be included in the computation of Net Sales.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the event a Licensed Product is sold in a country in the Territory as a Combination Product, Net Sales of the Combination Product will be calculated as follows:</w:t>
      </w:r>
    </w:p>
    <w:p>
      <w:pPr>
        <w:spacing w:after="0" w:line="158" w:lineRule="exact"/>
        <w:rPr>
          <w:sz w:val="20"/>
          <w:szCs w:val="20"/>
          <w:color w:val="auto"/>
        </w:rPr>
      </w:pPr>
    </w:p>
    <w:p>
      <w:pPr>
        <w:jc w:val="both"/>
        <w:ind w:left="880" w:firstLine="816"/>
        <w:spacing w:after="0" w:line="235" w:lineRule="auto"/>
        <w:tabs>
          <w:tab w:leader="none" w:pos="25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Licensed Product and other active component(s) each are sold separately in such country, Net Sales will be calculated by multiplying the total Net Sales (as described above) of the Combination Product by the fraction A/(A+B), where A is the average gross selling price in such country of the Licensed Product sold separately in the same formulation and dosage, and B is the sum of the average gross selling prices in such country of such other active component(s) sold separately in the same formulation and dosage, during the applicable Calendar Quarter, or if sales of both the Licensed Product and the other product(s) did not occur in such period, then the most recent royalty reporting period in which such separate sales of both such Licensed Product and the other product(s) occurred.</w:t>
      </w:r>
    </w:p>
    <w:p>
      <w:pPr>
        <w:spacing w:after="0" w:line="183"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60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Licensed Product is sold independently of the other active component(s) therein in such country, but the average selling price of such other active component(s) cannot be determined, Net Sales will be calculated by multiplying the total Net Sales (as described above) of the Combination Product by the fraction A/C where A 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ind w:left="720" w:hanging="712"/>
        <w:spacing w:after="0"/>
        <w:tabs>
          <w:tab w:leader="none" w:pos="72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95" w:name="page96"/>
    <w:bookmarkEnd w:id="95"/>
    <w:p>
      <w:pPr>
        <w:ind w:left="880"/>
        <w:spacing w:after="0" w:line="258" w:lineRule="auto"/>
        <w:rPr>
          <w:sz w:val="20"/>
          <w:szCs w:val="20"/>
          <w:color w:val="auto"/>
        </w:rPr>
      </w:pPr>
      <w:r>
        <w:rPr>
          <w:rFonts w:ascii="Times New Roman" w:cs="Times New Roman" w:eastAsia="Times New Roman" w:hAnsi="Times New Roman"/>
          <w:sz w:val="22"/>
          <w:szCs w:val="22"/>
          <w:color w:val="auto"/>
        </w:rPr>
        <w:t>the average selling price in such country of such Licensed Product sold independently and C is the average selling price in such country of the entire Combination Product.</w:t>
      </w:r>
    </w:p>
    <w:p>
      <w:pPr>
        <w:spacing w:after="0" w:line="158" w:lineRule="exact"/>
        <w:rPr>
          <w:sz w:val="20"/>
          <w:szCs w:val="20"/>
          <w:color w:val="auto"/>
        </w:rPr>
      </w:pPr>
    </w:p>
    <w:p>
      <w:pPr>
        <w:jc w:val="both"/>
        <w:ind w:left="880" w:firstLine="816"/>
        <w:spacing w:after="0" w:line="244" w:lineRule="auto"/>
        <w:tabs>
          <w:tab w:leader="none" w:pos="266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Licensed Product is not sold independently in such country, the Parties shall determine Net Sales for such Combination Product by mutual agreement based on the relative contribution of the Licensed Product and the other active ingredient(s) in the Combination Product.</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discounts, allowances, credits, rebates and other deductions shall be fairly allocated to the Licensed Product and, as between Licensed Product and other products or services of Amgen, its Affiliates or Sublicensees, shall not be inappropriately allocated. Amgen shall not attempt to reduce compensation rightly due to Arrowhead hereunder by shifting compensation otherwise payable to Amgen from a Third Party with respect to any Licensed Product to another product or service for which no royalties are payable hereunder.</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1.75</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Non-Breaching Party</w:t>
            </w:r>
            <w:r>
              <w:rPr>
                <w:rFonts w:ascii="Times New Roman" w:cs="Times New Roman" w:eastAsia="Times New Roman" w:hAnsi="Times New Roman"/>
                <w:sz w:val="22"/>
                <w:szCs w:val="22"/>
                <w:color w:val="auto"/>
              </w:rPr>
              <w:t>” has the meaning set forth in Section 14.3.</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1.76</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has the meaning set forth in Section 4.2.</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1.77</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 has the meaning set forth in Section 4.2.</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1.78</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has the meaning set forth in the introductory paragraph.</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1.79</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 pending patent applications, issued patents, utility models and designs; (b)</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reissues, 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7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 Clinical Trial of a Licensed Product in any and all fields conducted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patients with the disease or condition under study to evaluate the effectiveness of the Licensed Product, as and to the extent defined for the U.S. in 21 C.F.R. § 312.21(b), as amended from time to time, or equivalent law or regulation in regulatory jurisdictions outside the U.S.</w:t>
      </w:r>
    </w:p>
    <w:p>
      <w:pPr>
        <w:spacing w:after="0" w:line="17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pivotal Clinical Trial of a Licensed Product in any and all fields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 defined dose or a set of defined doses of such Licensed Product on sufficient numbers of human patients designed to confirm with statistical significance the safety and efficacy of such Licensed Product and to support a Regulatory Approval as and to the extent defined for the U.S. in 21 C.F.R. § 312.21(c), as amended from time to time, or equivalent law or regulation in regulatory jurisdictions outside the U.S.</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from the relevant Regulatory Authority in a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or regulatory jurisdiction of the Regulatory Approval Application for a Licensed Product in any field, including all licenses, registrations, and pricing or reimbursement approvals, that are necessary for the sale and marketing of such Licensed Product, including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ind w:left="720" w:hanging="712"/>
        <w:spacing w:after="0"/>
        <w:tabs>
          <w:tab w:leader="none" w:pos="72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clinical testing, manufacture, distribution, or use of such Licensed Product, in such country or regulatory jurisdiction.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1.83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 Application</w:t>
            </w:r>
            <w:r>
              <w:rPr>
                <w:rFonts w:ascii="Times New Roman" w:cs="Times New Roman" w:eastAsia="Times New Roman" w:hAnsi="Times New Roman"/>
                <w:sz w:val="22"/>
                <w:szCs w:val="22"/>
                <w:color w:val="auto"/>
              </w:rPr>
              <w:t>” means an application to the appropriate Regulatory Authority</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 approval to sell a Licensed Product in any particular jurisdiction, including an NDA in the U.S.</w:t>
            </w:r>
          </w:p>
        </w:tc>
      </w:tr>
      <w:tr>
        <w:trPr>
          <w:trHeight w:val="444"/>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1.84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Regulatory Authority</w:t>
            </w:r>
            <w:r>
              <w:rPr>
                <w:rFonts w:ascii="Times New Roman" w:cs="Times New Roman" w:eastAsia="Times New Roman" w:hAnsi="Times New Roman"/>
                <w:sz w:val="22"/>
                <w:szCs w:val="22"/>
                <w:color w:val="auto"/>
                <w:w w:val="99"/>
              </w:rPr>
              <w:t>” means, in a particular country or jurisdiction, any applicable Governmental</w:t>
            </w:r>
          </w:p>
        </w:tc>
      </w:tr>
    </w:tbl>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Authority that has the authority to regulate the manufacture, marketing, testing, pricing, or sale of drug products in such country or jurisdiction.</w:t>
      </w:r>
    </w:p>
    <w:p>
      <w:pPr>
        <w:spacing w:after="0" w:line="175"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any exclusive marketing rights or data exclusivity rights conferred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Governmental Authority under applicable Law with respect to a Licensed Product in a country or jurisdiction in the Territory to prevent Third Parties from Commercializing such Licensed Product in such country or jurisdiction, other than a Patent right, including orphan drug exclusivity, pediatric exclusivity, rights conferred in the U.S. under the Hatch-Waxman Act or the FDA Modernization Act of 1997, in the EU under Directive 2001/83/EC, or rights similar thereto in other countries or regulatory jurisdictions in the Territory.</w:t>
      </w:r>
    </w:p>
    <w:p>
      <w:pPr>
        <w:spacing w:after="0" w:line="17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regulatory applications, submissions, notifications,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registrations, Regulatory Approvals or other filings made to, received from or otherwise conducted with a Regulatory Authority in order to Develop, Manufacture, or Commercialize a Licensed Product in a particular country or jurisdiction.</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1.87</w:t>
            </w:r>
          </w:p>
        </w:tc>
        <w:tc>
          <w:tcPr>
            <w:tcW w:w="948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has the meaning set forth in Section 5.1(i).</w:t>
            </w:r>
          </w:p>
        </w:tc>
      </w:tr>
      <w:tr>
        <w:trPr>
          <w:trHeight w:val="40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1.88</w:t>
            </w:r>
          </w:p>
        </w:tc>
        <w:tc>
          <w:tcPr>
            <w:tcW w:w="948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Plan Outline</w:t>
            </w:r>
            <w:r>
              <w:rPr>
                <w:rFonts w:ascii="Times New Roman" w:cs="Times New Roman" w:eastAsia="Times New Roman" w:hAnsi="Times New Roman"/>
                <w:sz w:val="22"/>
                <w:szCs w:val="22"/>
                <w:color w:val="auto"/>
              </w:rPr>
              <w:t>” means the outline of the Research Plan as set forth on Exhibit B.</w:t>
            </w:r>
          </w:p>
        </w:tc>
      </w:tr>
      <w:tr>
        <w:trPr>
          <w:trHeight w:val="492"/>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1.89</w:t>
            </w:r>
          </w:p>
        </w:tc>
        <w:tc>
          <w:tcPr>
            <w:tcW w:w="76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 has the meaning set forth in Section 2.1.</w:t>
            </w:r>
          </w:p>
        </w:tc>
        <w:tc>
          <w:tcPr>
            <w:tcW w:w="8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1.90</w:t>
            </w:r>
          </w:p>
        </w:tc>
        <w:tc>
          <w:tcPr>
            <w:tcW w:w="948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 means the period commencing on the Effective Date and ending on the earlier to</w:t>
            </w:r>
          </w:p>
        </w:tc>
      </w:tr>
    </w:tbl>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occur of (x) the delivery of the Arrowhead Research Deliverables by Arrowhead to Amgen and (y) the date that is twenty-four (24) months following the Effective Date.</w:t>
      </w:r>
    </w:p>
    <w:p>
      <w:pPr>
        <w:spacing w:after="0" w:line="175"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1.91 “RNAi Molecule” </w:t>
      </w:r>
      <w:r>
        <w:rPr>
          <w:rFonts w:ascii="Times New Roman" w:cs="Times New Roman" w:eastAsia="Times New Roman" w:hAnsi="Times New Roman"/>
          <w:sz w:val="22"/>
          <w:szCs w:val="22"/>
          <w:color w:val="auto"/>
        </w:rPr>
        <w:t>means an exogenous double-stranded oligomeric (i.e., RNA or modified variants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molecule incorporating N-acetyl-galactosamine (GalNAc) ligand conjugates capable of binding to the asialoglycoprotein receptor (ASGPR) to enhance targeting to the liver.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1.92</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has the meaning set forth in Section 9.7(b).</w:t>
            </w:r>
          </w:p>
        </w:tc>
      </w:tr>
      <w:tr>
        <w:trPr>
          <w:trHeight w:val="420"/>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1.93</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Collaboration  Agreement</w:t>
            </w:r>
            <w:r>
              <w:rPr>
                <w:rFonts w:ascii="Times New Roman" w:cs="Times New Roman" w:eastAsia="Times New Roman" w:hAnsi="Times New Roman"/>
                <w:sz w:val="22"/>
                <w:szCs w:val="22"/>
                <w:color w:val="auto"/>
              </w:rPr>
              <w:t>”  means  that  certain  Second  Collaboration  and  License</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 entered into between Arrowhead and Amgen as of even date herewith.</w:t>
            </w:r>
          </w:p>
        </w:tc>
      </w:tr>
      <w:tr>
        <w:trPr>
          <w:trHeight w:val="459"/>
        </w:trPr>
        <w:tc>
          <w:tcPr>
            <w:tcW w:w="192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1.94</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has the meaning set forth in the Recitals.</w:t>
            </w: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ind w:left="720" w:hanging="712"/>
        <w:spacing w:after="0"/>
        <w:tabs>
          <w:tab w:leader="none" w:pos="72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7" w:name="page98"/>
    <w:bookmarkEnd w:id="97"/>
    <w:tbl>
      <w:tblPr>
        <w:tblLayout w:type="fixed"/>
        <w:tblInd w:w="880" w:type="dxa"/>
        <w:tblCellMar>
          <w:top w:w="0" w:type="dxa"/>
          <w:left w:w="0" w:type="dxa"/>
          <w:bottom w:w="0" w:type="dxa"/>
          <w:right w:w="0" w:type="dxa"/>
        </w:tblCellMar>
      </w:tblPr>
      <w:tr>
        <w:trPr>
          <w:trHeight w:val="287"/>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1.95</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Subject Patent</w:t>
            </w:r>
            <w:r>
              <w:rPr>
                <w:rFonts w:ascii="Times New Roman" w:cs="Times New Roman" w:eastAsia="Times New Roman" w:hAnsi="Times New Roman"/>
                <w:sz w:val="22"/>
                <w:szCs w:val="22"/>
                <w:color w:val="auto"/>
              </w:rPr>
              <w:t>” has the meaning set forth in Section 10.6.</w:t>
            </w:r>
          </w:p>
        </w:tc>
      </w:tr>
      <w:tr>
        <w:trPr>
          <w:trHeight w:val="459"/>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1.96</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has the meaning set forth in Section 4.6(a).</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1.97</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Target</w:t>
            </w:r>
            <w:r>
              <w:rPr>
                <w:rFonts w:ascii="Times New Roman" w:cs="Times New Roman" w:eastAsia="Times New Roman" w:hAnsi="Times New Roman"/>
                <w:sz w:val="22"/>
                <w:szCs w:val="22"/>
                <w:color w:val="auto"/>
                <w:w w:val="99"/>
              </w:rPr>
              <w:t>” means (a) a polypeptide or entity comprising a combination of at least one polypeptide and</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other macromolecules, that is a site or potential site of therapeutic intervention by a therapeutic agent; (b) variants of a polypeptide (including any splice variant thereof), cellular entity or nucleic acid described in clause (a); or (c) a defined non-peptide entity, including a microorganism, virus, or bacterium or single cell parasite, provided that the entire genome of a virus shall be regarded as a single Target.</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1.98</w:t>
            </w:r>
          </w:p>
        </w:tc>
        <w:tc>
          <w:tcPr>
            <w:tcW w:w="946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14.1.</w:t>
            </w:r>
          </w:p>
        </w:tc>
      </w:tr>
      <w:tr>
        <w:trPr>
          <w:trHeight w:val="459"/>
        </w:trPr>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1.99</w:t>
            </w:r>
          </w:p>
        </w:tc>
        <w:tc>
          <w:tcPr>
            <w:tcW w:w="946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all of the countries of the world.</w:t>
            </w:r>
          </w:p>
        </w:tc>
      </w:tr>
      <w:tr>
        <w:trPr>
          <w:trHeight w:val="459"/>
        </w:trPr>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1.100</w:t>
            </w:r>
          </w:p>
        </w:tc>
        <w:tc>
          <w:tcPr>
            <w:tcW w:w="94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entity other than Arrowhead or Amgen or an Affiliate of either of them.</w:t>
            </w:r>
          </w:p>
        </w:tc>
      </w:tr>
      <w:tr>
        <w:trPr>
          <w:trHeight w:val="459"/>
        </w:trPr>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1.101</w:t>
            </w:r>
          </w:p>
        </w:tc>
        <w:tc>
          <w:tcPr>
            <w:tcW w:w="94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including all possessions and territories thereof.</w:t>
            </w:r>
          </w:p>
        </w:tc>
      </w:tr>
      <w:tr>
        <w:trPr>
          <w:trHeight w:val="444"/>
        </w:trPr>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1.102</w:t>
            </w:r>
          </w:p>
        </w:tc>
        <w:tc>
          <w:tcPr>
            <w:tcW w:w="946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Valid Claim</w:t>
            </w:r>
            <w:r>
              <w:rPr>
                <w:rFonts w:ascii="Times New Roman" w:cs="Times New Roman" w:eastAsia="Times New Roman" w:hAnsi="Times New Roman"/>
                <w:sz w:val="22"/>
                <w:szCs w:val="22"/>
                <w:color w:val="auto"/>
                <w:w w:val="98"/>
              </w:rPr>
              <w:t>” means an issued claim that has not: (a) expired or been revoked or canceled; (b) been</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declared invalid or unenforceable by a patent office or a decision of a court or other Governmental Authority of competent jurisdiction; provided that if any such claim that has been declared invalid or unenforceable is subsequently determined to be valid and enforceable by a court or other Governmental Authority of competent jurisdiction from which no appeal can be taken (or was taken within the allowable time period), then such claim shall thereafter be a Valid Claim except as otherwise provided under subsection (a), (c), or (d); (c) been admitted to be invalid or unenforceable through reissue, re-examination, disclaimer or otherwise; or (d) been abandoned or disclaimed.</w:t>
      </w:r>
    </w:p>
    <w:p>
      <w:pPr>
        <w:spacing w:after="0" w:line="163"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ARTICLE 2</w:t>
            </w:r>
          </w:p>
        </w:tc>
      </w:tr>
      <w:tr>
        <w:trPr>
          <w:trHeight w:val="287"/>
        </w:trPr>
        <w:tc>
          <w:tcPr>
            <w:tcW w:w="920" w:type="dxa"/>
            <w:vAlign w:val="bottom"/>
          </w:tcPr>
          <w:p>
            <w:pPr>
              <w:spacing w:after="0"/>
              <w:rPr>
                <w:sz w:val="24"/>
                <w:szCs w:val="24"/>
                <w:color w:val="auto"/>
              </w:rPr>
            </w:pPr>
          </w:p>
        </w:tc>
        <w:tc>
          <w:tcPr>
            <w:tcW w:w="962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8"/>
              </w:rPr>
              <w:t>RESEARCH PROGRAM</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2.1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Pursuant to this Agreement and as further described in this Article 2 and in Article 5</w:t>
            </w:r>
            <w:r>
              <w:rPr>
                <w:rFonts w:ascii="Times New Roman" w:cs="Times New Roman" w:eastAsia="Times New Roman" w:hAnsi="Times New Roman"/>
                <w:sz w:val="22"/>
                <w:szCs w:val="22"/>
                <w:b w:val="1"/>
                <w:bCs w:val="1"/>
                <w:color w:val="auto"/>
              </w:rPr>
              <w:t>.</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hereof, Arrowhead will conduct a research program to identify and optimize RNAi Molecules capable of inhibiting expression of the Collaboration Target for use in any and all fields, under the direction and oversight of the JRC and in accordance with the Research Plan (the “</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 During the Research Term, Arrowhead shall prepare and deliver to Amgen the Arrowhead Research Deliverables. At any time during the Option Period, Amgen may exercise the Option to further develop and commercialize the Licensed Product under a license from Arrowhead, as provided in Article 4.</w:t>
      </w:r>
    </w:p>
    <w:p>
      <w:pPr>
        <w:spacing w:after="0" w:line="17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2.2 Governance</w:t>
      </w:r>
      <w:r>
        <w:rPr>
          <w:rFonts w:ascii="Times New Roman" w:cs="Times New Roman" w:eastAsia="Times New Roman" w:hAnsi="Times New Roman"/>
          <w:sz w:val="22"/>
          <w:szCs w:val="22"/>
          <w:color w:val="auto"/>
        </w:rPr>
        <w:t>. The Parties’ activities during the Research Term will be directed and overseen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Research Committee formed under and operated in accordance with Article 5 of this Agreement (the “</w:t>
      </w:r>
      <w:r>
        <w:rPr>
          <w:rFonts w:ascii="Times New Roman" w:cs="Times New Roman" w:eastAsia="Times New Roman" w:hAnsi="Times New Roman"/>
          <w:sz w:val="22"/>
          <w:szCs w:val="22"/>
          <w:b w:val="1"/>
          <w:bCs w:val="1"/>
          <w:color w:val="auto"/>
        </w:rPr>
        <w:t>Joint Research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ind w:left="720" w:hanging="712"/>
        <w:spacing w:after="0"/>
        <w:tabs>
          <w:tab w:leader="none" w:pos="72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53"/>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2.3</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Arrowhead Responsibilities</w:t>
            </w:r>
            <w:r>
              <w:rPr>
                <w:rFonts w:ascii="Times New Roman" w:cs="Times New Roman" w:eastAsia="Times New Roman" w:hAnsi="Times New Roman"/>
                <w:sz w:val="22"/>
                <w:szCs w:val="22"/>
                <w:color w:val="auto"/>
              </w:rPr>
              <w:t>.   During the Research Term, Arrowhead shall use Commercially</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Reasonable Efforts to conduct the activities assigned to it pursuant to this Article 2.</w:t>
            </w:r>
          </w:p>
        </w:tc>
      </w:tr>
      <w:tr>
        <w:trPr>
          <w:trHeight w:val="420"/>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2.4</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Amgen Responsibilities</w:t>
            </w:r>
            <w:r>
              <w:rPr>
                <w:rFonts w:ascii="Times New Roman" w:cs="Times New Roman" w:eastAsia="Times New Roman" w:hAnsi="Times New Roman"/>
                <w:sz w:val="22"/>
                <w:szCs w:val="22"/>
                <w:color w:val="auto"/>
              </w:rPr>
              <w:t>. During the Research Term, Amgen shall conduct those activities necessary</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 Amgen to determine, in its sole discretion, whether or not to exercise the Option pursuant to Section 4.2.</w:t>
            </w:r>
          </w:p>
        </w:tc>
      </w:tr>
      <w:tr>
        <w:trPr>
          <w:trHeight w:val="420"/>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2.5</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Except as otherwise expressly provided in this Article 2 or Article 9, each Party will bear</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 expenses it incurs to conduct its activities during the Research Term.</w:t>
            </w:r>
          </w:p>
        </w:tc>
      </w:tr>
      <w:tr>
        <w:trPr>
          <w:trHeight w:val="444"/>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2.6</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Data Exchange</w:t>
            </w:r>
            <w:r>
              <w:rPr>
                <w:rFonts w:ascii="Times New Roman" w:cs="Times New Roman" w:eastAsia="Times New Roman" w:hAnsi="Times New Roman"/>
                <w:sz w:val="22"/>
                <w:szCs w:val="22"/>
                <w:color w:val="auto"/>
              </w:rPr>
              <w:t>. Reasonably promptly following the Effective Date, Arrowhead will provide Amgen</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with a reasonably detailed summary of the Arrowhead Research IP existing as of the Effective Date. During the Research Term, Arrowhead shall provide updates to such summary to Amgen at least quarterly. Upon the reasonable request of, Arrowhead will provide Amgen with electronic copies of the portions of the Arrowhead Research IP requested by Amgen, Notwithstanding anything in this Agreement to the contrary, Arrowhead may decline to share with Amgen a portion of the Arrowhead Research IP if Arrowhead determines that doing so would reasonably be expected to have a material adverse effect on the Arrowhead Research IP.</w:t>
      </w:r>
    </w:p>
    <w:p>
      <w:pPr>
        <w:spacing w:after="0" w:line="173"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2.7 Collaboration Results. </w:t>
      </w:r>
      <w:r>
        <w:rPr>
          <w:rFonts w:ascii="Times New Roman" w:cs="Times New Roman" w:eastAsia="Times New Roman" w:hAnsi="Times New Roman"/>
          <w:sz w:val="22"/>
          <w:szCs w:val="22"/>
          <w:color w:val="auto"/>
        </w:rPr>
        <w:t>Subject to the terms and conditions of this Agreement, (a) Arrowhead will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Arrowhead Collaboration Results, (b) Amgen will own all Amgen Collaboration Results, and (c) each Party will jointly own all Joint Collaboration Results. Except as otherwise provided in this Agreement, each Party shall have the right to use and exploit the Joint Collaboration Results for any purpose without the duty of accounting or seeking consent from the other Party. Each Party shall notify the other Party promptly after developing any Collaboration Results of which the other Party is the owner. Each Party shall assign and hereby assigns to the other Party its entire right, title and interest in and to the Collaboration Results and all intellectual property rights therein as needed to implement the ownership of the Collaboration Results in accordance with the provisions of this Section 2.7.</w:t>
      </w:r>
    </w:p>
    <w:p>
      <w:pPr>
        <w:spacing w:after="0" w:line="179"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2.8 Records and Reports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shall maintain reasonably complete and accurate records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of technical notebooks and/or electronic files where appropriate) of all work conducted by it under the Research Program and all Information resulting from such work. Such records, including any electronic files where such Information may also be contained, shall reasonably reflect all work done and results achieved in the performance of the Research Program in sufficient detail and in good scientific manner appropriate for patent and regulatory purposes and shall be stored in a manner that allows the maintaining Party to access such records in a reasonably timely manner. Upon a Party’s reasonable request and subject to Section 2.6, such Party shall have the right to review and copy such records maintained by the other Party at reasonable times and to obtain access, in a reasonably timely manner, to originals to the extent needed for patent or regulatory purposes or for other legal proceedings.</w:t>
      </w:r>
    </w:p>
    <w:p>
      <w:pPr>
        <w:spacing w:after="0" w:line="17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2.9 Material Transfer. </w:t>
      </w:r>
      <w:r>
        <w:rPr>
          <w:rFonts w:ascii="Times New Roman" w:cs="Times New Roman" w:eastAsia="Times New Roman" w:hAnsi="Times New Roman"/>
          <w:sz w:val="22"/>
          <w:szCs w:val="22"/>
          <w:color w:val="auto"/>
        </w:rPr>
        <w:t>To facilitate the conduct of the Research Program, either Party may provide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certain biological materials or chemical compounds, owned by or licensed to the supplying Party for use by the other Party in furtherance of the Research Program (such materials or compounds provided hereunder are referred to, collectively, as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ind w:left="720" w:hanging="712"/>
        <w:spacing w:after="0"/>
        <w:tabs>
          <w:tab w:leader="none" w:pos="72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99" w:name="page100"/>
    <w:bookmarkEnd w:id="99"/>
    <w:p>
      <w:pPr>
        <w:jc w:val="both"/>
        <w:spacing w:after="0" w:line="244" w:lineRule="auto"/>
        <w:rPr>
          <w:sz w:val="20"/>
          <w:szCs w:val="20"/>
          <w:color w:val="auto"/>
        </w:rPr>
      </w:pPr>
      <w:r>
        <w:rPr>
          <w:rFonts w:ascii="Times New Roman" w:cs="Times New Roman" w:eastAsia="Times New Roman" w:hAnsi="Times New Roman"/>
          <w:sz w:val="21"/>
          <w:szCs w:val="21"/>
          <w:color w:val="auto"/>
        </w:rPr>
        <w:t>Except as otherwise expressly provided under this Agreement, all such Materials delivered to the other Party shall remain the sole property of the supplying Party, shall be used only in furtherance of the exercise of rights or performance of obligations under this Agreement and in accordance with this Agreement and solely under the control of the other Party, shall not be used or delivered to or for the benefit of any Third Party without the prior written consent of the supplying Party, and shall not be used in research or testing involving human subjects or in animals intended for food use, in each case unless otherwise specifically contemplated hereunder), and will be used in compliance with all applicable laws, rules and regulations. The provision of Materials to the receiving Party hereunder does not grant such Party any rights other than those specifically granted in this Agreement. Delivery of the Materials shall be [***] Incoterms 2010. [***]. The receiving Party shall be responsible for any and all consents, approvals, authorizations or other permits necessary for the use, handling, transfer, and/or storage of the Materials. The receiving Party shall:</w:t>
      </w:r>
    </w:p>
    <w:p>
      <w:pPr>
        <w:spacing w:after="0" w:line="2" w:lineRule="exact"/>
        <w:rPr>
          <w:sz w:val="20"/>
          <w:szCs w:val="20"/>
          <w:color w:val="auto"/>
        </w:rPr>
      </w:pPr>
    </w:p>
    <w:p>
      <w:pPr>
        <w:jc w:val="both"/>
        <w:ind w:firstLine="8"/>
        <w:spacing w:after="0" w:line="242" w:lineRule="auto"/>
        <w:tabs>
          <w:tab w:leader="none" w:pos="27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the Materials; (ii) promptly notify the supplying Party when the Materials have been received; and (iii) forward to the supplying Party any applicable chain of custody forms, in-transport temperature record(s) and receipt verification documentation and such other documentation reasonably requested by the supplying Party. The receiving Party shall be responsible for import clearance (including preparing any necessary documentation with respect thereto) and making entry of shipment. The supplying Party shall provide the relevant shipping documentation, pro forma invoice and airway bill, together with such other documentation necessary for the use, handling, transfer, and/or storage of the Materials. The Materials supplied under this Section 2.9 are supplied “as is” and must be used with prudence and appropriate caution in any experimental work, since not all of their characteristics may be known. Except as expressly set forth herein, THE MATERIALS ARE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 During the Research Term, for record-keeping purposes, the Parties shall compile a list (that shall include the type of material, quantity, shipping date and any other relevant details) on a quarterly basis setting forth the Materials provided to/from each Party, which document shall be signed by an authorized representative of each Party. For clarity, this Section 2.9 shall apply during the Research Term only, after which the Parties will enter into an appropriate material transfer agreement with respect to any transfer of Materials, which agreement will be subject to this Agreement and will be interpreted consistent with the terms hereof</w:t>
      </w:r>
    </w:p>
    <w:p>
      <w:pPr>
        <w:spacing w:after="0" w:line="182"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2.10 Subcontracting</w:t>
      </w:r>
      <w:r>
        <w:rPr>
          <w:rFonts w:ascii="Times New Roman" w:cs="Times New Roman" w:eastAsia="Times New Roman" w:hAnsi="Times New Roman"/>
          <w:sz w:val="22"/>
          <w:szCs w:val="22"/>
          <w:color w:val="auto"/>
        </w:rPr>
        <w:t>. Each Party may perform any of its Research Program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through one or more subcontractors or consultants, provided that (a) the subcontracting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no less restrictive than those undertaken by the Parties pursuant to Article 13 hereof; and (c) the subcontractor agrees in writing to assign all intellectual property developed in the course of performing any such work under the Research Program to the Party retaining such subcontractor.</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2.11 Disclaimer. </w:t>
      </w:r>
      <w:r>
        <w:rPr>
          <w:rFonts w:ascii="Times New Roman" w:cs="Times New Roman" w:eastAsia="Times New Roman" w:hAnsi="Times New Roman"/>
          <w:sz w:val="22"/>
          <w:szCs w:val="22"/>
          <w:color w:val="auto"/>
        </w:rPr>
        <w:t>Without limiting the generality of the warranty disclaimer set forth in Section 11.5,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disclaims any warranties with regards to: (a) the success of any activities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ind w:left="720" w:hanging="712"/>
        <w:spacing w:after="0"/>
        <w:tabs>
          <w:tab w:leader="none" w:pos="72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00" w:name="page101"/>
    <w:bookmarkEnd w:id="10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conducted under the Research Program or (b) the safety or usefulness for any purpose of any compound provided or discovered under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EXCLUSIVITY AND RELATED RESTRICTIONS</w:t>
      </w:r>
    </w:p>
    <w:p>
      <w:pPr>
        <w:spacing w:after="0" w:line="178"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3.1 Exclusivity</w:t>
      </w:r>
      <w:r>
        <w:rPr>
          <w:rFonts w:ascii="Times New Roman" w:cs="Times New Roman" w:eastAsia="Times New Roman" w:hAnsi="Times New Roman"/>
          <w:sz w:val="22"/>
          <w:szCs w:val="22"/>
          <w:color w:val="auto"/>
        </w:rPr>
        <w:t>. During the Term, Arrowhead and its Affiliates shall not conduct or participate 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 assist or enable any Third Party to conduct or participate in, the research, development, manufacture or commercialization of any compound directed to the Collaboration Target. If Amgen exercises the Option pursuant to Section 4.2 and pays the Option exercise fee pursuant to Section 9.2, Amgen shall have acquired from Arrowhead exclusive access to the Collaboration Target and during the Term and thereafter, Arrowhead and its Affiliates shall not conduct or participate in, or advise, assist or enable any Third Party to conduct or participate in, the research, development, manufacture or commercialization of any compound directed to the Collaboration Target.</w:t>
      </w:r>
    </w:p>
    <w:p>
      <w:pPr>
        <w:spacing w:after="0" w:line="176"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b w:val="1"/>
          <w:bCs w:val="1"/>
          <w:color w:val="auto"/>
        </w:rPr>
        <w:t>3.2 Change of Control</w:t>
      </w:r>
      <w:r>
        <w:rPr>
          <w:rFonts w:ascii="Times New Roman" w:cs="Times New Roman" w:eastAsia="Times New Roman" w:hAnsi="Times New Roman"/>
          <w:sz w:val="21"/>
          <w:szCs w:val="21"/>
          <w:color w:val="auto"/>
        </w:rPr>
        <w:t>. Notwithstanding anything to the contrary in this Agreement, in the event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Control of Arrowhead (or successor entity thereto, applying the definition of Change of Control to such successor in place of Arrowhead) occurring after the exercise by Amgen of the Option, and subject to Section 16.6, Section 3.1 shall not apply to or otherwise restrict (i) the activities of the Acquiror or its Affiliates (except for Arrowhead and its Affiliates prior to the acquisition) with respect to any product, product candidate or device being clinically developed or commercialized prior to the date of acquisition, including the making, using, selling, offering for sale, importing, or otherwise developing, commercializing, or exploiting thereof, or the intellectual property rights Controlled by such Acquiror or its Affiliates (other than Arrowhead and its Affiliates prior to the acquisition) related thereto; provided that, such product, product candidate, device or service was not developed through the use of any Information or intellectual property right Controlled by Arrowhead or its pre-acquisition Affiliates as of the date of such Change of Control or thereafter. Arrowhead shall give Amgen written notice within five (5) days after the public announcement or disclosure of any proposed Change of Control of Arrowhead. From and after such notice, Amgen</w:t>
      </w:r>
    </w:p>
    <w:p>
      <w:pPr>
        <w:spacing w:after="0" w:line="1" w:lineRule="exact"/>
        <w:rPr>
          <w:sz w:val="20"/>
          <w:szCs w:val="20"/>
          <w:color w:val="auto"/>
        </w:rPr>
      </w:pPr>
    </w:p>
    <w:p>
      <w:pPr>
        <w:jc w:val="both"/>
        <w:ind w:firstLine="8"/>
        <w:spacing w:after="0" w:line="232" w:lineRule="auto"/>
        <w:tabs>
          <w:tab w:leader="none" w:pos="2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the right to transfer some or all of the Research Program activities from Arrowhead to Amgen, upon written notice by Amgen, (ii) may exclude Arrowhead (following such Change of Control) from participation in whole or in part from any working teams, (iii) shall no longer be subject to the obligations set forth in Section 7.2 and Section 7.3 and (iv) shall not be required to (A) share correspondence, filings or other information with Arrowhead or (B) discuss with Arrowhead and consider its comments, in either case with respect to intellectual property matters as set forth in Article 10. In the event of a Change of Control of Arrowhead, if the Acquiror, itself or through any of its Affiliates, directly or indirectly conducts or participates in any Competing Program, the Acquiror shall hold separate such Competing Program, including ensuring that no personnel working on Licensed Compounds or Licensed Products or activities hereunder works on a Competing Program (and vice versa), and ensuring that information and materials relating to Licensed Compounds or Licensed Products or activities hereunder are not shared with or used for the benefit of, and are sequestered from, personnel working on the Competing Program (and vice versa).</w:t>
      </w:r>
    </w:p>
    <w:p>
      <w:pPr>
        <w:spacing w:after="0" w:line="174"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b w:val="1"/>
          <w:bCs w:val="1"/>
          <w:color w:val="auto"/>
        </w:rPr>
        <w:t xml:space="preserve">Amgen  Target-Related  Confidential  Information.  </w:t>
      </w:r>
      <w:r>
        <w:rPr>
          <w:rFonts w:ascii="Times New Roman" w:cs="Times New Roman" w:eastAsia="Times New Roman" w:hAnsi="Times New Roman"/>
          <w:sz w:val="22"/>
          <w:szCs w:val="22"/>
          <w:color w:val="auto"/>
        </w:rPr>
        <w:t>During  the  Term  and  thereafter,  neither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Arrowhead nor any of its Affiliates shall use or reference, or advise, assist or</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14.</w:t>
      </w:r>
    </w:p>
    <w:p>
      <w:pPr>
        <w:ind w:left="720" w:hanging="712"/>
        <w:spacing w:after="0"/>
        <w:tabs>
          <w:tab w:leader="none" w:pos="7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21"/>
          <w:szCs w:val="21"/>
          <w:color w:val="auto"/>
        </w:rPr>
        <w:t>enable any Third Party to use or reference, (i) any such Background IP of Amgen or Confidential Information of Amgen disclosed by Amgen to Arrowhead before or during the Term or (ii) any intellectual property or Information generated by the Parties in the Research Program or hereunder (solely or jointly by or on behalf of the Parties or their Affiliates), for the research, development, manufacture or commercialization of any compounds directed [***]; except in performing its obligations under this Agreement.</w:t>
      </w:r>
    </w:p>
    <w:p>
      <w:pPr>
        <w:spacing w:after="0" w:line="158" w:lineRule="exact"/>
        <w:rPr>
          <w:sz w:val="20"/>
          <w:szCs w:val="20"/>
          <w:color w:val="auto"/>
        </w:rPr>
      </w:pPr>
    </w:p>
    <w:p>
      <w:pPr>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3.4 Collaboration Results</w:t>
      </w:r>
      <w:r>
        <w:rPr>
          <w:rFonts w:ascii="Times New Roman" w:cs="Times New Roman" w:eastAsia="Times New Roman" w:hAnsi="Times New Roman"/>
          <w:sz w:val="22"/>
          <w:szCs w:val="22"/>
          <w:color w:val="auto"/>
        </w:rPr>
        <w:t>. Arrowhead shall not publicly disclose any Collaboration Results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written consent of Amgen, which consent may be granted or withheld in Amgen’s sole discretion.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OPTIONS AND LICENSES</w:t>
      </w:r>
    </w:p>
    <w:p>
      <w:pPr>
        <w:sectPr>
          <w:pgSz w:w="11900" w:h="16838" w:orient="portrait"/>
          <w:cols w:equalWidth="0" w:num="1">
            <w:col w:w="11420"/>
          </w:cols>
          <w:pgMar w:left="240" w:top="531" w:right="239" w:bottom="1440" w:gutter="0" w:footer="0" w:header="0"/>
        </w:sectPr>
      </w:pP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4.1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Research Licenses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1740" w:space="720"/>
            <w:col w:w="8960"/>
          </w:cols>
          <w:pgMar w:left="240" w:top="531" w:right="239" w:bottom="1440" w:gutter="0" w:footer="0" w:header="0"/>
          <w:type w:val="continuous"/>
        </w:sectPr>
      </w:pPr>
    </w:p>
    <w:p>
      <w:pPr>
        <w:spacing w:after="0" w:line="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Subject to the terms and conditions of this Agreement, Arrowhead hereby grants to</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Amgen during the Research Term a nonexclusive, worldwide, royalty-free license, with the right to sublicense solely as provided in Section 4.6, under the Arrowhead Research IP to the extent necessary or reasonably useful for Amgen solely (i) to conduct its activities described under Article 2 in connection with the performance of the Research Program in accordance with the terms of this Agreement and (ii) to conduct those activities necessary for Amgen to determine, in its sole discretion, whether or not to exercise the Option pursuant to Section 4.2; provided, however, Amgen shall not be permitted to conduct IND-enabling GLP studies under the license from Arrowhead provided in this Section 4.1(a). Notwithstanding anything to the contrary in this Agreement, Arrowhead agrees to supply Amgen at cost with such non-GMP materials as Amgen may reasonably require to carry out the activities contemplated by clauses (i) and (ii) in this Section 4.1(a)</w:t>
      </w:r>
    </w:p>
    <w:p>
      <w:pPr>
        <w:spacing w:after="0" w:line="178"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Subject to the terms and conditions of this Agreement, Amgen hereby grants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during the Research Term a nonexclusive, worldwide, royalty-free license, with the right to sublicense solely as provided in Section 4.6, under all Patents and Information Controlled by Amgen solely to the extent necessary or reasonably useful for Arrowhead solely to conduct its activities under the Research Program in accordance with the terms of this Agreement.</w:t>
      </w:r>
    </w:p>
    <w:p>
      <w:pPr>
        <w:spacing w:after="0" w:line="172" w:lineRule="exact"/>
        <w:rPr>
          <w:sz w:val="20"/>
          <w:szCs w:val="20"/>
          <w:color w:val="auto"/>
        </w:rPr>
      </w:pPr>
    </w:p>
    <w:p>
      <w:pPr>
        <w:jc w:val="both"/>
        <w:ind w:firstLine="877"/>
        <w:spacing w:after="0"/>
        <w:rPr>
          <w:sz w:val="20"/>
          <w:szCs w:val="20"/>
          <w:color w:val="auto"/>
        </w:rPr>
      </w:pPr>
      <w:r>
        <w:rPr>
          <w:rFonts w:ascii="Times New Roman" w:cs="Times New Roman" w:eastAsia="Times New Roman" w:hAnsi="Times New Roman"/>
          <w:sz w:val="22"/>
          <w:szCs w:val="22"/>
          <w:b w:val="1"/>
          <w:bCs w:val="1"/>
          <w:color w:val="auto"/>
        </w:rPr>
        <w:t>4.2 Option</w:t>
      </w:r>
      <w:r>
        <w:rPr>
          <w:rFonts w:ascii="Times New Roman" w:cs="Times New Roman" w:eastAsia="Times New Roman" w:hAnsi="Times New Roman"/>
          <w:sz w:val="22"/>
          <w:szCs w:val="22"/>
          <w:color w:val="auto"/>
        </w:rPr>
        <w:t>. Arrowhead hereby grants to Amgen an exclusive option to obtain the exclusive license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4.4(a)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Such Option will expire, if not then exercised, at the [***] anniversary of the expiration of the Research Term (as it may be extended, the “</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 Amgen may exercise such Option by written notice to Arrowhead prior to expiration of the Option Period. In such event, Amgen will pay Arrowhead the Option exercise fee under Section 9.2.</w:t>
      </w:r>
    </w:p>
    <w:p>
      <w:pPr>
        <w:spacing w:after="0" w:line="200" w:lineRule="exact"/>
        <w:rPr>
          <w:sz w:val="20"/>
          <w:szCs w:val="20"/>
          <w:color w:val="auto"/>
        </w:rPr>
      </w:pPr>
    </w:p>
    <w:p>
      <w:pPr>
        <w:spacing w:after="0" w:line="22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4.3 Option Extensions</w:t>
      </w:r>
      <w:r>
        <w:rPr>
          <w:rFonts w:ascii="Times New Roman" w:cs="Times New Roman" w:eastAsia="Times New Roman" w:hAnsi="Times New Roman"/>
          <w:sz w:val="22"/>
          <w:szCs w:val="22"/>
          <w:color w:val="auto"/>
        </w:rPr>
        <w:t>. Prior to the end of the Option Period, Amgen has the right to extend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additional [***] periods by notifying Arrowhead thereof in writing; provided, however, that Amgen only has the right to extend the Option Period a total of [***] times. For each extension of the Option Period pursuant to this Section, Amgen will pay Arrowhead the Option extension fee under Section 9.3.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ind w:left="720" w:hanging="712"/>
        <w:spacing w:after="0"/>
        <w:tabs>
          <w:tab w:leader="none" w:pos="7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02" w:name="page103"/>
    <w:bookmarkEnd w:id="102"/>
    <w:p>
      <w:pPr>
        <w:ind w:left="880"/>
        <w:spacing w:after="0"/>
        <w:rPr>
          <w:sz w:val="20"/>
          <w:szCs w:val="20"/>
          <w:color w:val="auto"/>
        </w:rPr>
      </w:pPr>
      <w:r>
        <w:rPr>
          <w:rFonts w:ascii="Times New Roman" w:cs="Times New Roman" w:eastAsia="Times New Roman" w:hAnsi="Times New Roman"/>
          <w:sz w:val="22"/>
          <w:szCs w:val="22"/>
          <w:b w:val="1"/>
          <w:bCs w:val="1"/>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License to Amgen</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1740" w:space="720"/>
            <w:col w:w="8960"/>
          </w:cols>
          <w:pgMar w:left="240" w:top="527" w:right="239" w:bottom="1440" w:gutter="0" w:footer="0" w:header="0"/>
        </w:sectPr>
      </w:pPr>
    </w:p>
    <w:p>
      <w:pPr>
        <w:spacing w:after="0" w:line="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Arrowhead Developed IP</w:t>
      </w:r>
      <w:r>
        <w:rPr>
          <w:rFonts w:ascii="Times New Roman" w:cs="Times New Roman" w:eastAsia="Times New Roman" w:hAnsi="Times New Roman"/>
          <w:sz w:val="22"/>
          <w:szCs w:val="22"/>
          <w:color w:val="auto"/>
        </w:rPr>
        <w:t>.  Subject to the terms and conditions of this Agreement,</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upon Amgen’s exercise of the Option in accordance with Section 4.2 and Arrowhead’s receipt of the Option exercise fee, Arrowhead shall grant to Amgen an exclusive (even as to Arrowhead except as provided in Section 4.5), royalty-bearing license, with the right to sublicense solely as provided in Section 4.6, under the Arrowhead Licensed Technology with respect to the Licensed Compounds and Licensed Products, and Arrowhead’s rights under the Joint IPR, to make, have made, use, sell, offer for sale, import and otherwise exploit such Licensed Compound and Licensed Product for any and all uses in the Territory.</w:t>
      </w:r>
    </w:p>
    <w:p>
      <w:pPr>
        <w:spacing w:after="0" w:line="17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(b) Arrowhead Background IP</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Amgen’s exercise of the Option in accordance with Section 4.2 and Arrowhead’s receipt of the Option exercise fee, Arrowhead shall grant to Amgen a non-exclusive license, with the right to sublicense solely as provided in Section 4.6, under the Arrowhead Background IP with respect to the Licensed Compounds and Licensed Products, to make, have made, use, sell, offer for sale, import and otherwise exploit such Licensed Compound and Licensed Product for any and all uses in the Territory.</w:t>
      </w:r>
    </w:p>
    <w:p>
      <w:pPr>
        <w:spacing w:after="0" w:line="17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4.5 Arrowhead Retained Rights</w:t>
      </w:r>
      <w:r>
        <w:rPr>
          <w:rFonts w:ascii="Times New Roman" w:cs="Times New Roman" w:eastAsia="Times New Roman" w:hAnsi="Times New Roman"/>
          <w:sz w:val="22"/>
          <w:szCs w:val="22"/>
          <w:color w:val="auto"/>
        </w:rPr>
        <w:t>. Except as expressly granted under Section 4.4 and as limited by Article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 Arrowhead retains the right, under the Arrowhead Licensed Technology, (a) in the Territory, to fulfill its obligations under this Agreement, (b) to exploit the Arrowhead Licensed Technology and Joint IPR other than in connection with compounds directed to the Collaboration Target, Licensed Compounds and Licensed Products; and (c) to use the Arrowhead Know-How in connection with Arrowhead’s conduct of general research and discovery of molecules other than compounds directed to the Collaboration Target, Licensed Compound and Licensed Products, provided that the activities permitted under this subsection (c) are permitted by Article 3.</w:t>
      </w:r>
    </w:p>
    <w:p>
      <w:pPr>
        <w:sectPr>
          <w:pgSz w:w="11900" w:h="16838" w:orient="portrait"/>
          <w:cols w:equalWidth="0" w:num="1">
            <w:col w:w="11420"/>
          </w:cols>
          <w:pgMar w:left="240" w:top="527" w:right="239" w:bottom="1440" w:gutter="0" w:footer="0" w:header="0"/>
          <w:type w:val="continuous"/>
        </w:sectPr>
      </w:pP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4.6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Sublicense Rights and Subcontracting.</w:t>
      </w:r>
    </w:p>
    <w:p>
      <w:pPr>
        <w:spacing w:after="0" w:line="211" w:lineRule="exact"/>
        <w:rPr>
          <w:sz w:val="20"/>
          <w:szCs w:val="20"/>
          <w:color w:val="auto"/>
        </w:rPr>
      </w:pPr>
    </w:p>
    <w:p>
      <w:pPr>
        <w:sectPr>
          <w:pgSz w:w="11900" w:h="16838" w:orient="portrait"/>
          <w:cols w:equalWidth="0" w:num="2">
            <w:col w:w="1740" w:space="720"/>
            <w:col w:w="8960"/>
          </w:cols>
          <w:pgMar w:left="240" w:top="527" w:right="239" w:bottom="1440" w:gutter="0" w:footer="0" w:header="0"/>
          <w:type w:val="continuous"/>
        </w:sectPr>
      </w:pPr>
    </w:p>
    <w:p>
      <w:pPr>
        <w:spacing w:after="0" w:line="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Amgen shall have the right to grant a sublicense of the licenses granted in Sections</w:t>
      </w:r>
    </w:p>
    <w:p>
      <w:pPr>
        <w:sectPr>
          <w:pgSz w:w="11900" w:h="16838" w:orient="portrait"/>
          <w:cols w:equalWidth="0" w:num="1">
            <w:col w:w="11420"/>
          </w:cols>
          <w:pgMar w:left="240" w:top="527"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and 4.4 to its Affiliates or Third Parties (whether directly or through multiple tiers in accordance with the terms of subsection</w:t>
      </w:r>
    </w:p>
    <w:p>
      <w:pPr>
        <w:jc w:val="both"/>
        <w:ind w:firstLine="8"/>
        <w:spacing w:after="0" w:line="241" w:lineRule="auto"/>
        <w:tabs>
          <w:tab w:leader="none" w:pos="31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(each, a “</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provided that Amgen reports the identity of any Third Party Sublicensee to Arrowhead within thirty (30) days of granting such sublicense and provided further that any sublicenses to Third Parties shall be subject to Sections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4.6(a)(i) through (v):</w:t>
      </w:r>
    </w:p>
    <w:p>
      <w:pPr>
        <w:spacing w:after="0" w:line="178" w:lineRule="exact"/>
        <w:rPr>
          <w:sz w:val="20"/>
          <w:szCs w:val="20"/>
          <w:color w:val="auto"/>
        </w:rPr>
      </w:pPr>
    </w:p>
    <w:p>
      <w:pPr>
        <w:ind w:firstLine="263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Amgen shall remain primarily responsible for the performance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and any and all failures by its Sublicensees to comply with the applicable terms of this Agreement;</w:t>
      </w:r>
    </w:p>
    <w:p>
      <w:pPr>
        <w:sectPr>
          <w:pgSz w:w="11900" w:h="16838" w:orient="portrait"/>
          <w:cols w:equalWidth="0" w:num="1">
            <w:col w:w="11420"/>
          </w:cols>
          <w:pgMar w:left="240" w:top="527" w:right="239" w:bottom="1440" w:gutter="0" w:footer="0" w:header="0"/>
          <w:type w:val="continuous"/>
        </w:sectPr>
      </w:pPr>
    </w:p>
    <w:p>
      <w:pPr>
        <w:spacing w:after="0" w:line="15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b w:val="1"/>
          <w:bCs w:val="1"/>
          <w:color w:val="auto"/>
        </w:rPr>
        <w:t>(ii)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Amgen’s obligations hereunder;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sublicense shall refer to this Agreement, shall not conflict with</w:t>
      </w:r>
    </w:p>
    <w:p>
      <w:pPr>
        <w:spacing w:after="0" w:line="456" w:lineRule="exact"/>
        <w:rPr>
          <w:sz w:val="20"/>
          <w:szCs w:val="20"/>
          <w:color w:val="auto"/>
        </w:rPr>
      </w:pPr>
    </w:p>
    <w:p>
      <w:pPr>
        <w:sectPr>
          <w:pgSz w:w="11900" w:h="16838" w:orient="portrait"/>
          <w:cols w:equalWidth="0" w:num="2">
            <w:col w:w="4780" w:space="720"/>
            <w:col w:w="5920"/>
          </w:cols>
          <w:pgMar w:left="240" w:top="527" w:right="239" w:bottom="1440" w:gutter="0" w:footer="0" w:header="0"/>
          <w:type w:val="continuous"/>
        </w:sectPr>
      </w:pPr>
    </w:p>
    <w:p>
      <w:pPr>
        <w:ind w:left="2640"/>
        <w:spacing w:after="0"/>
        <w:tabs>
          <w:tab w:leader="none" w:pos="5540" w:val="left"/>
        </w:tabs>
        <w:rPr>
          <w:sz w:val="20"/>
          <w:szCs w:val="20"/>
          <w:color w:val="auto"/>
        </w:rPr>
      </w:pPr>
      <w:r>
        <w:rPr>
          <w:rFonts w:ascii="Times New Roman" w:cs="Times New Roman" w:eastAsia="Times New Roman" w:hAnsi="Times New Roman"/>
          <w:sz w:val="21"/>
          <w:szCs w:val="21"/>
          <w:b w:val="1"/>
          <w:bCs w:val="1"/>
          <w:color w:val="auto"/>
        </w:rPr>
        <w:t>(iii)</w:t>
      </w:r>
      <w:r>
        <w:rPr>
          <w:sz w:val="20"/>
          <w:szCs w:val="20"/>
          <w:color w:val="auto"/>
        </w:rPr>
        <w:tab/>
      </w:r>
      <w:r>
        <w:rPr>
          <w:rFonts w:ascii="Times New Roman" w:cs="Times New Roman" w:eastAsia="Times New Roman" w:hAnsi="Times New Roman"/>
          <w:sz w:val="21"/>
          <w:szCs w:val="21"/>
          <w:color w:val="auto"/>
        </w:rPr>
        <w:t>within a reasonable time after execution of such sublicense, Amgen</w:t>
      </w:r>
    </w:p>
    <w:p>
      <w:pPr>
        <w:sectPr>
          <w:pgSz w:w="11900" w:h="16838" w:orient="portrait"/>
          <w:cols w:equalWidth="0" w:num="1">
            <w:col w:w="11420"/>
          </w:cols>
          <w:pgMar w:left="240" w:top="527"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provide to Arrowhead a copy of such sublicense, which may be redacted to omit any terms</w:t>
      </w:r>
    </w:p>
    <w:p>
      <w:pPr>
        <w:spacing w:after="0" w:line="1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16.</w:t>
      </w:r>
    </w:p>
    <w:p>
      <w:pPr>
        <w:ind w:left="720" w:hanging="712"/>
        <w:spacing w:after="0"/>
        <w:tabs>
          <w:tab w:leader="none" w:pos="7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not relevant to determining Amgen’s and such Sublicensee’s obligations under this Agreement; and</w:t>
      </w:r>
    </w:p>
    <w:p>
      <w:pPr>
        <w:spacing w:after="0" w:line="202" w:lineRule="exact"/>
        <w:rPr>
          <w:sz w:val="20"/>
          <w:szCs w:val="20"/>
          <w:color w:val="auto"/>
        </w:rPr>
      </w:pPr>
    </w:p>
    <w:p>
      <w:pPr>
        <w:jc w:val="both"/>
        <w:ind w:firstLine="263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color w:val="auto"/>
        </w:rPr>
        <w:t>except as otherwise provided in the sublicense, if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for any reason, upon Amgen’s written request to Arrowhead, any Sublicensee of the licenses set forth in Section 4.4 shall, from the effective date of such termination, automatically become a direct licensee of Arrowhead on the terms and conditions hereunder with respect to the rights licensed to Amgen and sublicensed to the Sublicensee by Amgen; and</w:t>
      </w:r>
    </w:p>
    <w:p>
      <w:pPr>
        <w:spacing w:after="0" w:line="172" w:lineRule="exact"/>
        <w:rPr>
          <w:sz w:val="20"/>
          <w:szCs w:val="20"/>
          <w:color w:val="auto"/>
        </w:rPr>
      </w:pPr>
    </w:p>
    <w:p>
      <w:pPr>
        <w:jc w:val="both"/>
        <w:ind w:firstLine="263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(v) </w:t>
      </w:r>
      <w:r>
        <w:rPr>
          <w:rFonts w:ascii="Times New Roman" w:cs="Times New Roman" w:eastAsia="Times New Roman" w:hAnsi="Times New Roman"/>
          <w:sz w:val="22"/>
          <w:szCs w:val="22"/>
          <w:color w:val="auto"/>
        </w:rPr>
        <w:t>such Sublicensees of the licenses contained in Section 4.4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grant further sublicenses to Third Parties of same or lesser scope as its sublicense from Amgen under the licenses contained in Section 4.4, provided that such further Sublicenses shall be in accordance with and subject to all of the terms and conditions of this Section 4.6 (i.e., such Sublicensee shall be subject to this Section 4.6 in the same manner and to the same extent as Amgen). For clarity, any person or entity to whom a Sublicensee grants a sublicense as permitted by the terms of this Agreement shall be deemed to be a Sublicensee for purposes of this Agreement.</w:t>
      </w:r>
    </w:p>
    <w:p>
      <w:pPr>
        <w:spacing w:after="0" w:line="17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Amgen shall have the right to retain Third Party contractors, to perform any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Amgen’s exercise of any of its rights granted under Section 4.1 or Section 4.4, where such activity is to be performed at the direction and control and for the sole benefit of Amgen, its Affiliates and/or Sublicensees. Such retention of the Third Party contractor shall not be a sublicense within the meaning of this Section 4.6 but shall be considered an activity of Amgen under the license granted in Section 4.1 or Section 4.4, as applicable.</w:t>
      </w:r>
    </w:p>
    <w:p>
      <w:pPr>
        <w:spacing w:after="0" w:line="177"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4.7 No Implied Licenses</w:t>
      </w:r>
      <w:r>
        <w:rPr>
          <w:rFonts w:ascii="Times New Roman" w:cs="Times New Roman" w:eastAsia="Times New Roman" w:hAnsi="Times New Roman"/>
          <w:sz w:val="22"/>
          <w:szCs w:val="22"/>
          <w:color w:val="auto"/>
        </w:rPr>
        <w:t>. Except as explicitly set forth in this Agreement, neither Party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estoppel or implication to have granted the other Party any license or other right to any intellectual property of such Party.</w:t>
      </w:r>
    </w:p>
    <w:p>
      <w:pPr>
        <w:sectPr>
          <w:pgSz w:w="11900" w:h="16838" w:orient="portrait"/>
          <w:cols w:equalWidth="0" w:num="1">
            <w:col w:w="11420"/>
          </w:cols>
          <w:pgMar w:left="240" w:top="531" w:right="239" w:bottom="1440" w:gutter="0" w:footer="0" w:header="0"/>
        </w:sectPr>
      </w:pP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4.8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Expiration of Rights; Amgen Collaboration Results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1740" w:space="720"/>
            <w:col w:w="8960"/>
          </w:cols>
          <w:pgMar w:left="240" w:top="531" w:right="239" w:bottom="1440" w:gutter="0" w:footer="0" w:header="0"/>
          <w:type w:val="continuous"/>
        </w:sectPr>
      </w:pPr>
    </w:p>
    <w:p>
      <w:pPr>
        <w:spacing w:after="0" w:line="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For clarity, upon the expiration of the Option Period (including any extensions</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thereto), if Amgen has not exercised the Option, it will have no further rights to the Collaboration Results, except for Amgen Collaboration Results and Joint Collaboration Results.</w:t>
      </w:r>
    </w:p>
    <w:p>
      <w:pPr>
        <w:spacing w:after="0" w:line="174"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Reasonably promptly following the expiration of the Option Period, if Amgen has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exercised the Option, Amgen will provide Arrowhead with a reasonably detailed summary of any Joint Collaboration Results derived by and in possession of Amgen. Upon the reasonable request of Arrowhead, Amgen will reasonably promptly provide Arrowhead with electronic copies of the portions of any Amgen Collaboration Results described in any such summary.</w:t>
      </w:r>
    </w:p>
    <w:p>
      <w:pPr>
        <w:spacing w:after="0" w:line="172" w:lineRule="exact"/>
        <w:rPr>
          <w:sz w:val="20"/>
          <w:szCs w:val="20"/>
          <w:color w:val="auto"/>
        </w:rPr>
      </w:pPr>
    </w:p>
    <w:p>
      <w:pPr>
        <w:jc w:val="both"/>
        <w:ind w:firstLine="877"/>
        <w:spacing w:after="0" w:line="248" w:lineRule="auto"/>
        <w:rPr>
          <w:sz w:val="20"/>
          <w:szCs w:val="20"/>
          <w:color w:val="auto"/>
        </w:rPr>
      </w:pPr>
      <w:r>
        <w:rPr>
          <w:rFonts w:ascii="Times New Roman" w:cs="Times New Roman" w:eastAsia="Times New Roman" w:hAnsi="Times New Roman"/>
          <w:sz w:val="22"/>
          <w:szCs w:val="22"/>
          <w:b w:val="1"/>
          <w:bCs w:val="1"/>
          <w:color w:val="auto"/>
        </w:rPr>
        <w:t>4.9 Contractors</w:t>
      </w:r>
      <w:r>
        <w:rPr>
          <w:rFonts w:ascii="Times New Roman" w:cs="Times New Roman" w:eastAsia="Times New Roman" w:hAnsi="Times New Roman"/>
          <w:sz w:val="22"/>
          <w:szCs w:val="22"/>
          <w:color w:val="auto"/>
        </w:rPr>
        <w:t>. To the extent that a Party contracts with a Third Party contractor to perform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it shall do so on terms that are commercially reasonable, including with respect to confidentiality and intellectual property rights.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ind w:left="720" w:hanging="712"/>
        <w:spacing w:after="0"/>
        <w:tabs>
          <w:tab w:leader="none" w:pos="72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04" w:name="page105"/>
    <w:bookmarkEnd w:id="104"/>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ARTICLE 5</w:t>
            </w:r>
          </w:p>
        </w:tc>
      </w:tr>
      <w:tr>
        <w:trPr>
          <w:trHeight w:val="287"/>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GOVERNANCE AND RESEARCH PLAN</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5.1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Joint Research Committee. </w:t>
            </w:r>
            <w:r>
              <w:rPr>
                <w:rFonts w:ascii="Times New Roman" w:cs="Times New Roman" w:eastAsia="Times New Roman" w:hAnsi="Times New Roman"/>
                <w:sz w:val="22"/>
                <w:szCs w:val="22"/>
                <w:color w:val="auto"/>
              </w:rPr>
              <w:t>The joint research committee established pursuant to this Article 5, will</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have oversight responsibility for the overall review of the research activities pursuant to and subject to the terms and conditions of this Agreement during the Research Term.</w:t>
      </w:r>
    </w:p>
    <w:p>
      <w:pPr>
        <w:spacing w:after="0" w:line="175"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 Formation and Purpose. </w:t>
      </w:r>
      <w:r>
        <w:rPr>
          <w:rFonts w:ascii="Times New Roman" w:cs="Times New Roman" w:eastAsia="Times New Roman" w:hAnsi="Times New Roman"/>
          <w:sz w:val="22"/>
          <w:szCs w:val="22"/>
          <w:color w:val="auto"/>
        </w:rPr>
        <w:t>Within [***] after the Effective Date, the Parties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establish and convene a JRC in accordance with Section 2.2 that will direct and oversee the research activities during the Research Term under this Agreement. The JRC shall consist of representatives from Arrowhead and Amgen, and operate in accordance with the procedures set forth in Section 5.1 and any other procedures as agreed upon by the JRC members. Except as otherwise provided herein, the role of the Joint Research Committee shall be:</w:t>
      </w:r>
    </w:p>
    <w:p>
      <w:pPr>
        <w:spacing w:after="0" w:line="177" w:lineRule="exact"/>
        <w:rPr>
          <w:sz w:val="20"/>
          <w:szCs w:val="20"/>
          <w:color w:val="auto"/>
        </w:rPr>
      </w:pPr>
    </w:p>
    <w:p>
      <w:pPr>
        <w:ind w:firstLine="263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to encourage and facilitate ongoing communication and 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with respect to the research activities during the Research Term under this Agreement;</w:t>
      </w:r>
    </w:p>
    <w:p>
      <w:pPr>
        <w:sectPr>
          <w:pgSz w:w="11900" w:h="16838" w:orient="portrait"/>
          <w:cols w:equalWidth="0" w:num="1">
            <w:col w:w="11420"/>
          </w:cols>
          <w:pgMar w:left="240" w:top="517" w:right="239" w:bottom="1440" w:gutter="0" w:footer="0" w:header="0"/>
        </w:sectPr>
      </w:pPr>
    </w:p>
    <w:p>
      <w:pPr>
        <w:spacing w:after="0" w:line="150"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22"/>
          <w:szCs w:val="22"/>
          <w:b w:val="1"/>
          <w:bCs w:val="1"/>
          <w:color w:val="auto"/>
        </w:rPr>
        <w:t>(ii)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any proposed amendments or revisions to such Research Plans;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review, discuss and approve, as appropriate, Research Plans and</w:t>
      </w:r>
    </w:p>
    <w:p>
      <w:pPr>
        <w:spacing w:after="0" w:line="445" w:lineRule="exact"/>
        <w:rPr>
          <w:sz w:val="20"/>
          <w:szCs w:val="20"/>
          <w:color w:val="auto"/>
        </w:rPr>
      </w:pPr>
    </w:p>
    <w:p>
      <w:pPr>
        <w:sectPr>
          <w:pgSz w:w="11900" w:h="16838" w:orient="portrait"/>
          <w:cols w:equalWidth="0" w:num="2">
            <w:col w:w="5480" w:space="20"/>
            <w:col w:w="5920"/>
          </w:cols>
          <w:pgMar w:left="240" w:top="517" w:right="239" w:bottom="1440" w:gutter="0" w:footer="0" w:header="0"/>
          <w:type w:val="continuous"/>
        </w:sectPr>
      </w:pPr>
    </w:p>
    <w:p>
      <w:pPr>
        <w:ind w:left="2640"/>
        <w:spacing w:after="0"/>
        <w:tabs>
          <w:tab w:leader="none" w:pos="554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2"/>
          <w:szCs w:val="22"/>
          <w:color w:val="auto"/>
        </w:rPr>
        <w:t>to establish other such working groups or subcommittees, as</w:t>
      </w:r>
    </w:p>
    <w:p>
      <w:pPr>
        <w:sectPr>
          <w:pgSz w:w="11900" w:h="16838" w:orient="portrait"/>
          <w:cols w:equalWidth="0" w:num="1">
            <w:col w:w="11420"/>
          </w:cols>
          <w:pgMar w:left="240" w:top="517" w:right="239" w:bottom="1440" w:gutter="0" w:footer="0" w:header="0"/>
          <w:type w:val="continuous"/>
        </w:sectPr>
      </w:pPr>
    </w:p>
    <w:p>
      <w:pPr>
        <w:spacing w:after="0" w:line="3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needed to further the purposes of the Agreement relating to Licensed Compounds and Licensed Products, as mutually agreed by the Parties in writing;</w:t>
      </w:r>
    </w:p>
    <w:p>
      <w:pPr>
        <w:sectPr>
          <w:pgSz w:w="11900" w:h="16838" w:orient="portrait"/>
          <w:cols w:equalWidth="0" w:num="1">
            <w:col w:w="11420"/>
          </w:cols>
          <w:pgMar w:left="240" w:top="517" w:right="239" w:bottom="1440" w:gutter="0" w:footer="0" w:header="0"/>
          <w:type w:val="continuous"/>
        </w:sectPr>
      </w:pPr>
    </w:p>
    <w:p>
      <w:pPr>
        <w:spacing w:after="0" w:line="17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(iv)</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resolve any disputes referred to the JRC; and</w:t>
      </w:r>
    </w:p>
    <w:p>
      <w:pPr>
        <w:spacing w:after="0" w:line="207" w:lineRule="exact"/>
        <w:rPr>
          <w:sz w:val="20"/>
          <w:szCs w:val="20"/>
          <w:color w:val="auto"/>
        </w:rPr>
      </w:pPr>
    </w:p>
    <w:p>
      <w:pPr>
        <w:sectPr>
          <w:pgSz w:w="11900" w:h="16838" w:orient="portrait"/>
          <w:cols w:equalWidth="0" w:num="2">
            <w:col w:w="4820" w:space="720"/>
            <w:col w:w="5880"/>
          </w:cols>
          <w:pgMar w:left="240" w:top="517" w:right="239" w:bottom="1440" w:gutter="0" w:footer="0" w:header="0"/>
          <w:type w:val="continuous"/>
        </w:sectPr>
      </w:pPr>
    </w:p>
    <w:p>
      <w:pPr>
        <w:spacing w:after="0" w:line="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approve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decide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such</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other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matters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as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provided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this</w:t>
      </w:r>
    </w:p>
    <w:p>
      <w:pPr>
        <w:spacing w:after="0" w:line="20" w:lineRule="exact"/>
        <w:rPr>
          <w:sz w:val="20"/>
          <w:szCs w:val="20"/>
          <w:color w:val="auto"/>
        </w:rPr>
      </w:pPr>
    </w:p>
    <w:p>
      <w:pPr>
        <w:sectPr>
          <w:pgSz w:w="11900" w:h="16838" w:orient="portrait"/>
          <w:cols w:equalWidth="0" w:num="12">
            <w:col w:w="4760" w:space="720"/>
            <w:col w:w="180" w:space="140"/>
            <w:col w:w="700" w:space="140"/>
            <w:col w:w="180" w:space="140"/>
            <w:col w:w="560" w:space="140"/>
            <w:col w:w="400" w:space="140"/>
            <w:col w:w="440" w:space="140"/>
            <w:col w:w="640" w:space="140"/>
            <w:col w:w="180" w:space="140"/>
            <w:col w:w="780" w:space="140"/>
            <w:col w:w="160" w:space="140"/>
            <w:col w:w="320"/>
          </w:cols>
          <w:pgMar w:left="240" w:top="5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3" w:lineRule="exact"/>
        <w:rPr>
          <w:sz w:val="20"/>
          <w:szCs w:val="20"/>
          <w:color w:val="auto"/>
        </w:rPr>
      </w:pPr>
    </w:p>
    <w:p>
      <w:pPr>
        <w:ind w:left="1760"/>
        <w:spacing w:after="0"/>
        <w:tabs>
          <w:tab w:leader="none" w:pos="3960" w:val="left"/>
          <w:tab w:leader="none" w:pos="970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JRC Decisions; Final Decision Authority.</w:t>
      </w:r>
      <w:r>
        <w:rPr>
          <w:sz w:val="20"/>
          <w:szCs w:val="20"/>
          <w:color w:val="auto"/>
        </w:rPr>
        <w:tab/>
      </w:r>
      <w:r>
        <w:rPr>
          <w:rFonts w:ascii="Times New Roman" w:cs="Times New Roman" w:eastAsia="Times New Roman" w:hAnsi="Times New Roman"/>
          <w:sz w:val="21"/>
          <w:szCs w:val="21"/>
          <w:color w:val="auto"/>
        </w:rPr>
        <w:t>The JRC will make</w:t>
      </w:r>
    </w:p>
    <w:p>
      <w:pPr>
        <w:sectPr>
          <w:pgSz w:w="11900" w:h="16838" w:orient="portrait"/>
          <w:cols w:equalWidth="0" w:num="1">
            <w:col w:w="11420"/>
          </w:cols>
          <w:pgMar w:left="240" w:top="517" w:right="239" w:bottom="1440" w:gutter="0" w:footer="0" w:header="0"/>
          <w:type w:val="continuous"/>
        </w:sectPr>
      </w:pPr>
    </w:p>
    <w:p>
      <w:pPr>
        <w:spacing w:after="0" w:line="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good faith efforts to make all decisions by consensus. Except as set forth in this Section 5.1(b), actions to be taken by the Joint Research Committee shall be taken only following unanimous vote, with each Party’s representatives collectively having one (1) vote. If the Joint Research Committee fails to reach unanimous agreement on a matter before it for decision for a period in excess of fifteen (15) days from the date first presented to the JRC in writing, either Party may submit such matter for resolution to the Executive Officers of the Parties for attempted resolution by good faith negotiation after such notice is received among the Executive Officers. In the event that such Executive Officers are unable to reach agreement regarding any matter referred to them, then (a) if the decision relates solely to the Collaboration Target, the decision will be made by Amgen, unless such decision would reasonably be expected to have a material adverse effect on the Arrowhead Research IP, in which case the decision will be made by Arrowhead, and (b) if the decision relates solely to Arrowhead Research IP, the decision will be made by Arrowhead.</w:t>
      </w:r>
    </w:p>
    <w:p>
      <w:pPr>
        <w:sectPr>
          <w:pgSz w:w="11900" w:h="16838" w:orient="portrait"/>
          <w:cols w:equalWidth="0" w:num="1">
            <w:col w:w="11420"/>
          </w:cols>
          <w:pgMar w:left="240" w:top="517" w:right="239" w:bottom="1440" w:gutter="0" w:footer="0" w:header="0"/>
          <w:type w:val="continuous"/>
        </w:sectPr>
      </w:pPr>
    </w:p>
    <w:p>
      <w:pPr>
        <w:spacing w:after="0" w:line="17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Discontinuation of JRC.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the expiration of the Research Term, the JRC shall</w:t>
      </w:r>
    </w:p>
    <w:p>
      <w:pPr>
        <w:spacing w:after="0" w:line="30" w:lineRule="exact"/>
        <w:rPr>
          <w:sz w:val="20"/>
          <w:szCs w:val="20"/>
          <w:color w:val="auto"/>
        </w:rPr>
      </w:pPr>
    </w:p>
    <w:p>
      <w:pPr>
        <w:sectPr>
          <w:pgSz w:w="11900" w:h="16838" w:orient="portrait"/>
          <w:cols w:equalWidth="0" w:num="3">
            <w:col w:w="3220" w:space="720"/>
            <w:col w:w="2260" w:space="140"/>
            <w:col w:w="5080"/>
          </w:cols>
          <w:pgMar w:left="240" w:top="5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be discontinued.</w:t>
      </w:r>
    </w:p>
    <w:p>
      <w:pPr>
        <w:sectPr>
          <w:pgSz w:w="11900" w:h="16838" w:orient="portrait"/>
          <w:cols w:equalWidth="0" w:num="1">
            <w:col w:w="11420"/>
          </w:cols>
          <w:pgMar w:left="240" w:top="517"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2" w:lineRule="exact"/>
        <w:rPr>
          <w:sz w:val="20"/>
          <w:szCs w:val="20"/>
          <w:color w:val="auto"/>
        </w:rPr>
      </w:pPr>
    </w:p>
    <w:p>
      <w:pPr>
        <w:ind w:left="720" w:hanging="712"/>
        <w:spacing w:after="0"/>
        <w:tabs>
          <w:tab w:leader="none" w:pos="7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05" w:name="page106"/>
    <w:bookmarkEnd w:id="105"/>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(d) Membership. </w:t>
      </w:r>
      <w:r>
        <w:rPr>
          <w:rFonts w:ascii="Times New Roman" w:cs="Times New Roman" w:eastAsia="Times New Roman" w:hAnsi="Times New Roman"/>
          <w:sz w:val="22"/>
          <w:szCs w:val="22"/>
          <w:color w:val="auto"/>
        </w:rPr>
        <w:t>Arrowhead and Amgen shall each designate an equal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to serve on the JRC by written notices to the other Party. Promptly after the Effective Date, each Party shall designate three (3) representatives for the JRC. The JRC may elect to vary the number of representatives from time to time during the Term; provided that the JRC shall maintain an equal number of representatives from each Party. Each representative shall have the appropriate level of experience in the subject area of the JRC, and at least one (1) representative shall have sufficient seniority within the applicable Party’s organization to have the necessary decision-making authority in order for the JRC to fulfill its responsibilities. Either Party may designate substitutes for its JRC representatives if one (1) or more of such Party’s designated representatives is unable to be present at a meeting. From time to time each Party may replace its JRC representatives by written notice to the other Party specifying the prior representative(s) and their replacement(s). The JRC in its discretion may create functional subcommittees or working teams.</w:t>
      </w:r>
    </w:p>
    <w:p>
      <w:pPr>
        <w:spacing w:after="0" w:line="180"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(e) Chairperson</w:t>
      </w:r>
      <w:r>
        <w:rPr>
          <w:rFonts w:ascii="Times New Roman" w:cs="Times New Roman" w:eastAsia="Times New Roman" w:hAnsi="Times New Roman"/>
          <w:sz w:val="22"/>
          <w:szCs w:val="22"/>
          <w:color w:val="auto"/>
        </w:rPr>
        <w:t>. The JRC will have two chairpersons, one designated by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The chairpersons shall be responsible for calling and convening meetings, but shall have no special authority over the other members of the JRC, and shall have no additional voting rights. The chairpersons (or their designates) shall jointly: (i) prepare and circulate an agenda reasonably in advance of each upcoming meeting; and (ii) prepare and issue minutes of each JRC meeting as promptly as practicable thereafter. Such minutes shall not be finalized until each JRC representative reviews and approves such minutes in writing.</w:t>
      </w:r>
    </w:p>
    <w:p>
      <w:pPr>
        <w:sectPr>
          <w:pgSz w:w="11900" w:h="16838" w:orient="portrait"/>
          <w:cols w:equalWidth="0" w:num="1">
            <w:col w:w="11420"/>
          </w:cols>
          <w:pgMar w:left="240" w:top="527" w:right="239" w:bottom="1440" w:gutter="0" w:footer="0" w:header="0"/>
        </w:sectPr>
      </w:pPr>
    </w:p>
    <w:p>
      <w:pPr>
        <w:spacing w:after="0" w:line="17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b w:val="1"/>
          <w:bCs w:val="1"/>
          <w:color w:val="auto"/>
        </w:rPr>
        <w:t>(f)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Meetings.</w:t>
      </w:r>
    </w:p>
    <w:p>
      <w:pPr>
        <w:spacing w:after="0" w:line="211" w:lineRule="exact"/>
        <w:rPr>
          <w:sz w:val="20"/>
          <w:szCs w:val="20"/>
          <w:color w:val="auto"/>
        </w:rPr>
      </w:pPr>
    </w:p>
    <w:p>
      <w:pPr>
        <w:sectPr>
          <w:pgSz w:w="11900" w:h="16838" w:orient="portrait"/>
          <w:cols w:equalWidth="0" w:num="2">
            <w:col w:w="3200" w:space="720"/>
            <w:col w:w="7500"/>
          </w:cols>
          <w:pgMar w:left="240" w:top="527" w:right="239" w:bottom="1440" w:gutter="0" w:footer="0" w:header="0"/>
          <w:type w:val="continuous"/>
        </w:sectPr>
      </w:pPr>
    </w:p>
    <w:p>
      <w:pPr>
        <w:spacing w:after="0" w:line="6"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b w:val="1"/>
          <w:bCs w:val="1"/>
          <w:color w:val="auto"/>
        </w:rPr>
        <w:t xml:space="preserve">JRC Meetings.  </w:t>
      </w:r>
      <w:r>
        <w:rPr>
          <w:rFonts w:ascii="Times New Roman" w:cs="Times New Roman" w:eastAsia="Times New Roman" w:hAnsi="Times New Roman"/>
          <w:sz w:val="22"/>
          <w:szCs w:val="22"/>
          <w:color w:val="auto"/>
        </w:rPr>
        <w:t>The JRC shall meet at least once each Calendar</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Quarter or at such other frequency as shall be agreed by the members of the JRC. Additional meetings of the JRC may be held with the consent of each Party (such consent not to be unreasonably withheld, conditioned or delayed), as required under this Agreement. In the case of any dispute referred to the JRC, such meeting shall be held as soon as reasonably possible following referral to the JRC. In addition, as they may mutually agree, the Parties may hold joint meetings of the JRC and any governance body established under the Second Collaboration Agreement.</w:t>
      </w:r>
    </w:p>
    <w:p>
      <w:pPr>
        <w:spacing w:after="0" w:line="176" w:lineRule="exact"/>
        <w:rPr>
          <w:sz w:val="20"/>
          <w:szCs w:val="20"/>
          <w:color w:val="auto"/>
        </w:rPr>
      </w:pPr>
    </w:p>
    <w:p>
      <w:pPr>
        <w:jc w:val="both"/>
        <w:ind w:firstLine="2634"/>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(ii) General Requirements. </w:t>
      </w:r>
      <w:r>
        <w:rPr>
          <w:rFonts w:ascii="Times New Roman" w:cs="Times New Roman" w:eastAsia="Times New Roman" w:hAnsi="Times New Roman"/>
          <w:sz w:val="22"/>
          <w:szCs w:val="22"/>
          <w:color w:val="auto"/>
        </w:rPr>
        <w:t>Meetings of the JRC shall be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if a majority of representatives of each Party are present or participating. Other than the initial meeting, which shall be held in person, the JRC may meet either (A) in person at either Party’s facilities or at such locations as the Parties may otherwise agree; or</w:t>
      </w:r>
    </w:p>
    <w:p>
      <w:pPr>
        <w:spacing w:after="0" w:line="2" w:lineRule="exact"/>
        <w:rPr>
          <w:sz w:val="20"/>
          <w:szCs w:val="20"/>
          <w:color w:val="auto"/>
        </w:rPr>
      </w:pPr>
    </w:p>
    <w:p>
      <w:pPr>
        <w:jc w:val="both"/>
        <w:ind w:firstLine="8"/>
        <w:spacing w:after="0" w:line="232" w:lineRule="auto"/>
        <w:tabs>
          <w:tab w:leader="none" w:pos="3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audio or video teleconference. Additional non-member representatives of a Party having relevant experience may from time to time be invited to participate in a JRC meeting, provided that such participants shall have no voting rights or powers. Non-member participants who are not employees of a Party or its Affiliates shall only be allowed to attend if: (i) the other Party’s representatives have consented to the attendance; and (ii) such non-member participant is subject to confidentiality and non-use obligations at least as restrictive as those set forth in this Agreement. Each Party shall be responsible for all of its own expenses incurred in connection with participating in the JRC including all travel and all expenses associated with an initial alliance kick-off meeting. All other expenses incurred by the JRC in furtherance of a meeting, such as expenses associated with off-site meetings, shall be shared equally by the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ind w:left="720" w:hanging="712"/>
        <w:spacing w:after="0"/>
        <w:tabs>
          <w:tab w:leader="none" w:pos="72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06" w:name="page107"/>
    <w:bookmarkEnd w:id="106"/>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(g) Alliance Managers. </w:t>
      </w:r>
      <w:r>
        <w:rPr>
          <w:rFonts w:ascii="Times New Roman" w:cs="Times New Roman" w:eastAsia="Times New Roman" w:hAnsi="Times New Roman"/>
          <w:sz w:val="22"/>
          <w:szCs w:val="22"/>
          <w:color w:val="auto"/>
        </w:rPr>
        <w:t>Promptly following the Effective Date, each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 in writing an Alliance Manager to serve as the primary point of contact for the Parties regarding all collaboration and transition activities contemplated under this Agreement. Each Alliance Manager shall facilitate communication and coordination of the Parties’ activities under this Agreement relating to the Products and shall plan the JRC meetings. The Alliance Managers shall be allowed to attend JRC meetings as non-voting observers.</w:t>
      </w:r>
    </w:p>
    <w:p>
      <w:pPr>
        <w:spacing w:after="0" w:line="177" w:lineRule="exact"/>
        <w:rPr>
          <w:sz w:val="20"/>
          <w:szCs w:val="20"/>
          <w:color w:val="auto"/>
        </w:rPr>
      </w:pPr>
    </w:p>
    <w:p>
      <w:pPr>
        <w:jc w:val="both"/>
        <w:ind w:firstLine="1755"/>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(h) Authority. </w:t>
      </w:r>
      <w:r>
        <w:rPr>
          <w:rFonts w:ascii="Times New Roman" w:cs="Times New Roman" w:eastAsia="Times New Roman" w:hAnsi="Times New Roman"/>
          <w:sz w:val="22"/>
          <w:szCs w:val="22"/>
          <w:color w:val="auto"/>
        </w:rPr>
        <w:t>The JRC shall have only the powers assigned expressly to it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5 and elsewhere in this Agreement, and shall not have any power to amend, modify or waive compliance with this Agreement.</w:t>
      </w:r>
    </w:p>
    <w:p>
      <w:pPr>
        <w:spacing w:after="0" w:line="200" w:lineRule="exact"/>
        <w:rPr>
          <w:sz w:val="20"/>
          <w:szCs w:val="20"/>
          <w:color w:val="auto"/>
        </w:rPr>
      </w:pPr>
    </w:p>
    <w:p>
      <w:pPr>
        <w:spacing w:after="0" w:line="223"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 Research Plan. </w:t>
      </w:r>
      <w:r>
        <w:rPr>
          <w:rFonts w:ascii="Times New Roman" w:cs="Times New Roman" w:eastAsia="Times New Roman" w:hAnsi="Times New Roman"/>
          <w:sz w:val="22"/>
          <w:szCs w:val="22"/>
          <w:color w:val="auto"/>
        </w:rPr>
        <w:t>During the Research Term, the JRC shall agree upon and oversee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detailed and written research plan (the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concerning the research to be conducted during the Research Term and consistent with the Research Plan Outline. Subject to and in accordance with this Article 5, upon exercise of the Option, Amgen shall be solely responsible for research and Development of the Licensed Compounds and Licensed Products in any and all fields and in accordance with applicable Laws.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5.2</w:t>
            </w:r>
          </w:p>
        </w:tc>
        <w:tc>
          <w:tcPr>
            <w:tcW w:w="93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 xml:space="preserve">Costs.  </w:t>
            </w:r>
            <w:r>
              <w:rPr>
                <w:rFonts w:ascii="Times New Roman" w:cs="Times New Roman" w:eastAsia="Times New Roman" w:hAnsi="Times New Roman"/>
                <w:sz w:val="22"/>
                <w:szCs w:val="22"/>
                <w:color w:val="auto"/>
              </w:rPr>
              <w:t>Each Party shall be responsible for its own costs in conducting any activities under the</w:t>
            </w:r>
          </w:p>
        </w:tc>
      </w:tr>
      <w:tr>
        <w:trPr>
          <w:trHeight w:val="283"/>
        </w:trPr>
        <w:tc>
          <w:tcPr>
            <w:tcW w:w="2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Research Program.</w:t>
            </w:r>
          </w:p>
        </w:tc>
        <w:tc>
          <w:tcPr>
            <w:tcW w:w="9360" w:type="dxa"/>
            <w:vAlign w:val="bottom"/>
          </w:tcPr>
          <w:p>
            <w:pPr>
              <w:spacing w:after="0"/>
              <w:rPr>
                <w:sz w:val="24"/>
                <w:szCs w:val="24"/>
                <w:color w:val="auto"/>
              </w:rPr>
            </w:pPr>
          </w:p>
        </w:tc>
      </w:tr>
      <w:tr>
        <w:trPr>
          <w:trHeight w:val="416"/>
        </w:trPr>
        <w:tc>
          <w:tcPr>
            <w:tcW w:w="2060" w:type="dxa"/>
            <w:vAlign w:val="bottom"/>
          </w:tcPr>
          <w:p>
            <w:pPr>
              <w:spacing w:after="0"/>
              <w:rPr>
                <w:sz w:val="24"/>
                <w:szCs w:val="24"/>
                <w:color w:val="auto"/>
              </w:rPr>
            </w:pPr>
          </w:p>
        </w:tc>
        <w:tc>
          <w:tcPr>
            <w:tcW w:w="9360" w:type="dxa"/>
            <w:vAlign w:val="bottom"/>
          </w:tcPr>
          <w:p>
            <w:pPr>
              <w:jc w:val="center"/>
              <w:ind w:right="1952"/>
              <w:spacing w:after="0"/>
              <w:rPr>
                <w:sz w:val="20"/>
                <w:szCs w:val="20"/>
                <w:color w:val="auto"/>
              </w:rPr>
            </w:pPr>
            <w:r>
              <w:rPr>
                <w:rFonts w:ascii="Times New Roman" w:cs="Times New Roman" w:eastAsia="Times New Roman" w:hAnsi="Times New Roman"/>
                <w:sz w:val="22"/>
                <w:szCs w:val="22"/>
                <w:b w:val="1"/>
                <w:bCs w:val="1"/>
                <w:color w:val="auto"/>
                <w:w w:val="97"/>
              </w:rPr>
              <w:t>ARTICLE 6</w:t>
            </w:r>
          </w:p>
        </w:tc>
      </w:tr>
      <w:tr>
        <w:trPr>
          <w:trHeight w:val="287"/>
        </w:trPr>
        <w:tc>
          <w:tcPr>
            <w:tcW w:w="2060" w:type="dxa"/>
            <w:vAlign w:val="bottom"/>
          </w:tcPr>
          <w:p>
            <w:pPr>
              <w:spacing w:after="0"/>
              <w:rPr>
                <w:sz w:val="24"/>
                <w:szCs w:val="24"/>
                <w:color w:val="auto"/>
              </w:rPr>
            </w:pPr>
          </w:p>
        </w:tc>
        <w:tc>
          <w:tcPr>
            <w:tcW w:w="9360" w:type="dxa"/>
            <w:vAlign w:val="bottom"/>
          </w:tcPr>
          <w:p>
            <w:pPr>
              <w:jc w:val="center"/>
              <w:ind w:right="1932"/>
              <w:spacing w:after="0"/>
              <w:rPr>
                <w:sz w:val="20"/>
                <w:szCs w:val="20"/>
                <w:color w:val="auto"/>
              </w:rPr>
            </w:pPr>
            <w:r>
              <w:rPr>
                <w:rFonts w:ascii="Times New Roman" w:cs="Times New Roman" w:eastAsia="Times New Roman" w:hAnsi="Times New Roman"/>
                <w:sz w:val="22"/>
                <w:szCs w:val="22"/>
                <w:b w:val="1"/>
                <w:bCs w:val="1"/>
                <w:color w:val="auto"/>
                <w:w w:val="96"/>
              </w:rPr>
              <w:t>REGULATORY</w:t>
            </w:r>
          </w:p>
        </w:tc>
      </w:tr>
      <w:tr>
        <w:trPr>
          <w:trHeight w:val="444"/>
        </w:trPr>
        <w:tc>
          <w:tcPr>
            <w:tcW w:w="2060" w:type="dxa"/>
            <w:vAlign w:val="bottom"/>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6.1</w:t>
            </w:r>
          </w:p>
        </w:tc>
        <w:tc>
          <w:tcPr>
            <w:tcW w:w="93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 xml:space="preserve">Regulatory Responsibilities. </w:t>
            </w:r>
            <w:r>
              <w:rPr>
                <w:rFonts w:ascii="Times New Roman" w:cs="Times New Roman" w:eastAsia="Times New Roman" w:hAnsi="Times New Roman"/>
                <w:sz w:val="22"/>
                <w:szCs w:val="22"/>
                <w:color w:val="auto"/>
              </w:rPr>
              <w:t>In accordance with this Article 6 and following exercise of the Option,</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Amgen shall be solely responsible, at its expense, for preparing, filing and maintaining all Regulatory Materials for Licensed Products with Regulatory Authorities related to Licensed Products in the Territory, and Amgen shall own all Regulatory Materials (including all INDs, NDAs, Regulatory Approval Applications and Regulatory Approvals) for Licensed Products in the Territory and otherwise shall be responsible for all regulatory matters with respect to Licensed Products in the Territory.</w:t>
      </w:r>
    </w:p>
    <w:p>
      <w:pPr>
        <w:spacing w:after="0" w:line="174"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 Regulatory Matters. </w:t>
      </w:r>
      <w:r>
        <w:rPr>
          <w:rFonts w:ascii="Times New Roman" w:cs="Times New Roman" w:eastAsia="Times New Roman" w:hAnsi="Times New Roman"/>
          <w:sz w:val="22"/>
          <w:szCs w:val="22"/>
          <w:color w:val="auto"/>
        </w:rPr>
        <w:t>Following exercise of the Option, Amgen shall keep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reasonably informed of all material regulatory developments relating to Licensed Products in the Territory through the annual development reports under Section 7.3</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ARTICLE 7</w:t>
            </w:r>
          </w:p>
        </w:tc>
      </w:tr>
      <w:tr>
        <w:trPr>
          <w:trHeight w:val="287"/>
        </w:trPr>
        <w:tc>
          <w:tcPr>
            <w:tcW w:w="920" w:type="dxa"/>
            <w:vAlign w:val="bottom"/>
          </w:tcPr>
          <w:p>
            <w:pPr>
              <w:spacing w:after="0"/>
              <w:rPr>
                <w:sz w:val="24"/>
                <w:szCs w:val="24"/>
                <w:color w:val="auto"/>
              </w:rPr>
            </w:pPr>
          </w:p>
        </w:tc>
        <w:tc>
          <w:tcPr>
            <w:tcW w:w="962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7"/>
              </w:rPr>
              <w:t>DEVELOPMENT AND COMMERCIALIZATION</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7.1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Following exercise of the Option, Amgen (itself and with its Affiliates and Sublicensees),</w:t>
            </w: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will be solely responsible, at its expense, for all aspects of the Development and Commercialization of the Licensed Compounds and Licensed Product in the Territory. For clarity, after the Research Term and prior to exercise of the Option pursuant to Section 4.2 and payment of the Option fee pursuant to Section 9.2, or the expiration of the Option Period, as the case may be, Amgen shall have the right to conduct preclinical development with respect to Licensed Compounds and Licensed Products to the extent permitted under Section 4.1(a). Subject to the express written terms of this Agreement, all decisions concerning the development, marketing and sales of Licensed Products, including the clinical and regulatory strategy, design,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ind w:left="720" w:hanging="712"/>
        <w:spacing w:after="0"/>
        <w:tabs>
          <w:tab w:leader="none" w:pos="72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07" w:name="page108"/>
    <w:bookmarkEnd w:id="107"/>
    <w:p>
      <w:pPr>
        <w:jc w:val="both"/>
        <w:spacing w:after="0" w:line="239" w:lineRule="auto"/>
        <w:rPr>
          <w:sz w:val="20"/>
          <w:szCs w:val="20"/>
          <w:color w:val="auto"/>
        </w:rPr>
      </w:pPr>
      <w:r>
        <w:rPr>
          <w:rFonts w:ascii="Times New Roman" w:cs="Times New Roman" w:eastAsia="Times New Roman" w:hAnsi="Times New Roman"/>
          <w:sz w:val="22"/>
          <w:szCs w:val="22"/>
          <w:color w:val="auto"/>
        </w:rPr>
        <w:t>sale, price and promotion of Licensed Products under this Agreement shall be within the sole discretion of Amgen. Following exercise of the Option, Arrowhead will promptly transfer to Amgen all Arrowhead Know-How as is reasonably necessary or useful for Amgen to Develop and seek Regulatory Approval for the Licensed Compounds and Licensed Products, including all materials for supporting regulatory filings consistent with Amgen’s obligations under Article 6.</w:t>
      </w:r>
    </w:p>
    <w:p>
      <w:pPr>
        <w:spacing w:after="0" w:line="17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7.2 Diligence. </w:t>
      </w:r>
      <w:r>
        <w:rPr>
          <w:rFonts w:ascii="Times New Roman" w:cs="Times New Roman" w:eastAsia="Times New Roman" w:hAnsi="Times New Roman"/>
          <w:sz w:val="22"/>
          <w:szCs w:val="22"/>
          <w:color w:val="auto"/>
        </w:rPr>
        <w:t>Following exercise of the Option, Amgen shall use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seek Regulatory Approval of, and, if successful, Commercialize a Licensed Product in one or more fields in the Territory.</w:t>
      </w:r>
    </w:p>
    <w:p>
      <w:pPr>
        <w:spacing w:after="0" w:line="150"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7.3 Communication. </w:t>
      </w:r>
      <w:r>
        <w:rPr>
          <w:rFonts w:ascii="Times New Roman" w:cs="Times New Roman" w:eastAsia="Times New Roman" w:hAnsi="Times New Roman"/>
          <w:sz w:val="22"/>
          <w:szCs w:val="22"/>
          <w:color w:val="auto"/>
        </w:rPr>
        <w:t>During the Term until a Licensed Product receives Regulatory Approval, Amgen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provide Arrowhead summaries once per Calendar Year, of (i) material developments with respect to Licensed Products, including the anticipated timing of completion of any in-process Clinical Trial and results of any Phase 3 Clinical Trials, (ii) an estimate of its progress towards meeting key milestones that are expected to be achieved within the following six months, (iii) any Regulatory Approvals for Licensed Products in the Territory received and (iv) manufacturing information pursuant to Section 8.3 of this Agreement. All reports and other Information provided by Amgen under this Section 7.3 will be Amgen’s Confidential Information subject to the terms of Article 13.</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ARTICLE 8</w:t>
            </w:r>
          </w:p>
        </w:tc>
      </w:tr>
      <w:tr>
        <w:trPr>
          <w:trHeight w:val="287"/>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MANUFACTURE AND SUPPLY</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8.1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Responsibilities. </w:t>
            </w:r>
            <w:r>
              <w:rPr>
                <w:rFonts w:ascii="Times New Roman" w:cs="Times New Roman" w:eastAsia="Times New Roman" w:hAnsi="Times New Roman"/>
                <w:sz w:val="22"/>
                <w:szCs w:val="22"/>
                <w:color w:val="auto"/>
              </w:rPr>
              <w:t>Except as otherwise expressly provided in this Article 8, as between the Parties and</w:t>
            </w:r>
          </w:p>
        </w:tc>
      </w:tr>
    </w:tbl>
    <w:p>
      <w:pPr>
        <w:jc w:val="both"/>
        <w:spacing w:after="0" w:line="243" w:lineRule="auto"/>
        <w:rPr>
          <w:sz w:val="20"/>
          <w:szCs w:val="20"/>
          <w:color w:val="auto"/>
        </w:rPr>
      </w:pPr>
      <w:r>
        <w:rPr>
          <w:rFonts w:ascii="Times New Roman" w:cs="Times New Roman" w:eastAsia="Times New Roman" w:hAnsi="Times New Roman"/>
          <w:sz w:val="21"/>
          <w:szCs w:val="21"/>
          <w:color w:val="auto"/>
        </w:rPr>
        <w:t>following exercise of the Option, Amgen will be solely responsible for the Manufacture of Licensed Compounds and Licensed Products, at its expense, for Development and Commercialization purposes in the Territory. Promptly following exercise of the Option by Amgen, Arrowhead will transfer to Amgen all relevant manufacturing processes and Arrowhead Know-How as is reasonably necessary or useful for Amgen (or its Third Party manufacturer) to manufacture the Licensed Compounds and Licensed Products, including all materials for supporting regulatory filings. Any such manufacturing processes transferred by Arrowhead to Amgen shall be similar in quality to the processes used by Arrowhead for its internal compounds and products of a similar stage in development and applicable for the intended use. Following the exercise of the Option by Amgen, upon request by Amgen, the Parties shall negotiate in good faith to enter into an agreement under which Arrowhead would provide process development and manufacturing services to Amgen on customary terms and conditions (including financial terms consistent with market practices).</w:t>
      </w:r>
    </w:p>
    <w:p>
      <w:pPr>
        <w:spacing w:after="0" w:line="175"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8.2 Third Party Manufacture. </w:t>
      </w:r>
      <w:r>
        <w:rPr>
          <w:rFonts w:ascii="Times New Roman" w:cs="Times New Roman" w:eastAsia="Times New Roman" w:hAnsi="Times New Roman"/>
          <w:sz w:val="22"/>
          <w:szCs w:val="22"/>
          <w:color w:val="auto"/>
        </w:rPr>
        <w:t>Amgen may perform the Manufacture of Licensed Compounds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Products through one or more Third Party manufacturers, provided that (a) Amgen remains responsible for such Third Party manufacturer performing activities under this Agreement and for any unauthorized use by such Third Party manufacturers of Arrowhead Licensed Technology provided to it by Amgen; (b) the Third Party manufacturer undertakes in writing obligations of confidentiality and non-use regarding Confidential Information that are no less protective than those set forth in Article 13, and (c) the Third Party manufacturer agrees in writing to commercially reasonable terms with respect to the intellectual property relating to such Licensed Compound or Licensed Product.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ind w:left="720" w:hanging="712"/>
        <w:spacing w:after="0"/>
        <w:tabs>
          <w:tab w:leader="none" w:pos="72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08" w:name="page109"/>
    <w:bookmarkEnd w:id="108"/>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8.3 Manufacturing Cooperation. </w:t>
      </w:r>
      <w:r>
        <w:rPr>
          <w:rFonts w:ascii="Times New Roman" w:cs="Times New Roman" w:eastAsia="Times New Roman" w:hAnsi="Times New Roman"/>
          <w:sz w:val="22"/>
          <w:szCs w:val="22"/>
          <w:color w:val="auto"/>
        </w:rPr>
        <w:t>Following exercise of the Option, Amgen and Arrowhead shall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keep the other Party reasonably informed of the identities of any Third Party manufacturers performing Manufacturing activities for Licensed Compounds and the Licensed Product (in the case of Amgen, through the annual development reports under Section 7.3 and, once a Licensed Product receives Regulatory Approval, through annual updates communicated through the Alliance Managers). Following exercise of the Option, Arrowhead shall keep Amgen reasonably informed of any material improvements made by it or its Affiliates or Third Party Manufacturers to the manufacturing processes for RNAi Molecules through periodic updates communicated through the Alliance Managers.</w:t>
      </w:r>
    </w:p>
    <w:p>
      <w:pPr>
        <w:spacing w:after="0" w:line="17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8.4 Use of Manufacturing Information. </w:t>
      </w:r>
      <w:r>
        <w:rPr>
          <w:rFonts w:ascii="Times New Roman" w:cs="Times New Roman" w:eastAsia="Times New Roman" w:hAnsi="Times New Roman"/>
          <w:sz w:val="22"/>
          <w:szCs w:val="22"/>
          <w:color w:val="auto"/>
        </w:rPr>
        <w:t>Amgen and its Affiliates and Third Party manufacturer shall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Arrowhead Know-How related to the manufacture of Licensed Compounds or Licensed Products in accordance with the licenses granted in Section 4.4 and only for the purpose of Manufacturing Licensed Compounds or Licensed Products. Prior to any transfer of any Arrowhead Know-How that is Confidential Information to a Third Party manufacturer, Amgen shall require that such Third Party be bound to confidentiality restrictions at least as protective in the aggregate as those of Article 13.</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ARTICLE 9</w:t>
            </w:r>
          </w:p>
        </w:tc>
      </w:tr>
      <w:tr>
        <w:trPr>
          <w:trHeight w:val="287"/>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7"/>
              </w:rPr>
              <w:t>COMPENSATION</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9.1</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Upfront Payment</w:t>
            </w:r>
            <w:r>
              <w:rPr>
                <w:rFonts w:ascii="Times New Roman" w:cs="Times New Roman" w:eastAsia="Times New Roman" w:hAnsi="Times New Roman"/>
                <w:sz w:val="22"/>
                <w:szCs w:val="22"/>
                <w:color w:val="auto"/>
              </w:rPr>
              <w:t>. Within [***] days after the Effective Date, Amgen shall pay to Arrowhead a one-</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time, non-refundable and non-creditable upfront payment of five million Dollars ($5,000,000). Amgen shall also purchase the Initial Closing Shares pursuant to Section 1.2 of the Stock Purchase Agreement.</w:t>
      </w:r>
    </w:p>
    <w:p>
      <w:pPr>
        <w:spacing w:after="0" w:line="175"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9.2 Option Exercise Fee. </w:t>
      </w:r>
      <w:r>
        <w:rPr>
          <w:rFonts w:ascii="Times New Roman" w:cs="Times New Roman" w:eastAsia="Times New Roman" w:hAnsi="Times New Roman"/>
          <w:sz w:val="22"/>
          <w:szCs w:val="22"/>
          <w:color w:val="auto"/>
        </w:rPr>
        <w:t>Upon exercise of the Option, Amgen shall pay Arrowhead a one-time, non-refundable and non-creditable option exercise payment of [***] Dollars ($[***]). Amgen shall also purchase the Third Tranche Shares (as defined in and pursuant to Section 1.4 of the Stock Purchase Agreement).</w:t>
      </w:r>
    </w:p>
    <w:p>
      <w:pPr>
        <w:spacing w:after="0" w:line="167"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2"/>
          <w:szCs w:val="22"/>
          <w:b w:val="1"/>
          <w:bCs w:val="1"/>
          <w:color w:val="auto"/>
        </w:rPr>
        <w:t>9.3 Option Extension Fee</w:t>
      </w:r>
      <w:r>
        <w:rPr>
          <w:rFonts w:ascii="Times New Roman" w:cs="Times New Roman" w:eastAsia="Times New Roman" w:hAnsi="Times New Roman"/>
          <w:sz w:val="22"/>
          <w:szCs w:val="22"/>
          <w:color w:val="auto"/>
        </w:rPr>
        <w:t>. Upon extension of the Option Period pursuant to Section 4.3, Amgen shall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an additional [***] Dollars ($[***]) for each such extension. In no event shall Amgen be obligated to pay more than</w:t>
      </w:r>
    </w:p>
    <w:p>
      <w:pPr>
        <w:spacing w:after="0" w:line="2" w:lineRule="exact"/>
        <w:rPr>
          <w:sz w:val="20"/>
          <w:szCs w:val="20"/>
          <w:color w:val="auto"/>
        </w:rPr>
      </w:pPr>
    </w:p>
    <w:p>
      <w:pPr>
        <w:ind w:firstLine="8"/>
        <w:spacing w:after="0" w:line="237" w:lineRule="auto"/>
        <w:tabs>
          <w:tab w:leader="none" w:pos="5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 per extension or more than [***] Dollars ($[***]) in the aggregate for the four extensions permitted under Section 4.3.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9.4</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Research and Development Costs</w:t>
            </w:r>
            <w:r>
              <w:rPr>
                <w:rFonts w:ascii="Times New Roman" w:cs="Times New Roman" w:eastAsia="Times New Roman" w:hAnsi="Times New Roman"/>
                <w:sz w:val="22"/>
                <w:szCs w:val="22"/>
                <w:color w:val="auto"/>
              </w:rPr>
              <w:t>.  Each Party shall be responsible for its own costs in conducting</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research and development activities under the Research Program, in accordance with Section 5.2.</w:t>
            </w:r>
          </w:p>
        </w:tc>
      </w:tr>
      <w:tr>
        <w:trPr>
          <w:trHeight w:val="444"/>
        </w:trPr>
        <w:tc>
          <w:tcPr>
            <w:tcW w:w="180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9.5</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Development and Regulatory Milestone Payments. </w:t>
            </w:r>
            <w:r>
              <w:rPr>
                <w:rFonts w:ascii="Times New Roman" w:cs="Times New Roman" w:eastAsia="Times New Roman" w:hAnsi="Times New Roman"/>
                <w:sz w:val="22"/>
                <w:szCs w:val="22"/>
                <w:color w:val="auto"/>
              </w:rPr>
              <w:t>Amgen shall make each of the following one-</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time, non-refundable, non-creditable development and regulatory milestone payments to Arrowhead upon the achievement by Amgen or its Affiliates or Sublicensees of the applicable development milestone event by the Licensed Product. Amgen shall pay to Arrowhead each such amount within [***] days after the achievement of the applicable development and regulatory milestone event. [***].</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ind w:left="80" w:hanging="72"/>
        <w:spacing w:after="0"/>
        <w:tabs>
          <w:tab w:leader="none" w:pos="8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09" w:name="page110"/>
    <w:bookmarkEnd w:id="109"/>
    <w:p>
      <w:pPr>
        <w:ind w:left="1060"/>
        <w:spacing w:after="0"/>
        <w:rPr>
          <w:sz w:val="20"/>
          <w:szCs w:val="20"/>
          <w:color w:val="auto"/>
        </w:rPr>
      </w:pPr>
      <w:r>
        <w:rPr>
          <w:rFonts w:ascii="Times New Roman" w:cs="Times New Roman" w:eastAsia="Times New Roman" w:hAnsi="Times New Roman"/>
          <w:sz w:val="21"/>
          <w:szCs w:val="21"/>
          <w:b w:val="1"/>
          <w:bCs w:val="1"/>
          <w:color w:val="auto"/>
        </w:rPr>
        <w:t>Development and Regulatory Milestone Event</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Development and</w:t>
      </w:r>
    </w:p>
    <w:p>
      <w:pPr>
        <w:spacing w:after="0" w:line="8"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Regulatory Milestone</w:t>
      </w:r>
    </w:p>
    <w:p>
      <w:pPr>
        <w:jc w:val="center"/>
        <w:ind w:right="3140"/>
        <w:spacing w:after="0"/>
        <w:rPr>
          <w:sz w:val="20"/>
          <w:szCs w:val="20"/>
          <w:color w:val="auto"/>
        </w:rPr>
      </w:pPr>
      <w:r>
        <w:rPr>
          <w:rFonts w:ascii="Times New Roman" w:cs="Times New Roman" w:eastAsia="Times New Roman" w:hAnsi="Times New Roman"/>
          <w:sz w:val="21"/>
          <w:szCs w:val="21"/>
          <w:b w:val="1"/>
          <w:bCs w:val="1"/>
          <w:color w:val="auto"/>
        </w:rPr>
        <w:t>Payment (each paid one</w:t>
      </w:r>
    </w:p>
    <w:p>
      <w:pPr>
        <w:spacing w:after="0" w:line="2"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time only)</w:t>
      </w:r>
    </w:p>
    <w:p>
      <w:pPr>
        <w:spacing w:after="0" w:line="182" w:lineRule="exact"/>
        <w:rPr>
          <w:sz w:val="20"/>
          <w:szCs w:val="20"/>
          <w:color w:val="auto"/>
        </w:rPr>
      </w:pPr>
    </w:p>
    <w:p>
      <w:pPr>
        <w:sectPr>
          <w:pgSz w:w="11900" w:h="16838" w:orient="portrait"/>
          <w:cols w:equalWidth="0" w:num="2">
            <w:col w:w="5360" w:space="720"/>
            <w:col w:w="5340"/>
          </w:cols>
          <w:pgMar w:left="240" w:top="527" w:right="239" w:bottom="1440" w:gutter="0" w:footer="0" w:header="0"/>
        </w:sect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2"/>
          <w:szCs w:val="22"/>
          <w:b w:val="1"/>
          <w:bCs w:val="1"/>
          <w:color w:val="auto"/>
        </w:rPr>
        <w:t xml:space="preserve">Commercial Milestones. </w:t>
      </w:r>
      <w:r>
        <w:rPr>
          <w:rFonts w:ascii="Times New Roman" w:cs="Times New Roman" w:eastAsia="Times New Roman" w:hAnsi="Times New Roman"/>
          <w:sz w:val="22"/>
          <w:szCs w:val="22"/>
          <w:color w:val="auto"/>
        </w:rPr>
        <w:t>Amgen shall make each of the following one-time, non-refundable (except</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as set forth in Section 9.12), non-creditable sales milestone payments to Arrowhead when the Net Sales of a Licensed Product in the Territory first reach the amount specified below. Amgen shall pay to Arrowhead such amount within [***] days after the Calendar Quarter in which such commercial milestone event is achieved. [***].</w:t>
      </w:r>
    </w:p>
    <w:p>
      <w:pPr>
        <w:sectPr>
          <w:pgSz w:w="11900" w:h="16838" w:orient="portrait"/>
          <w:cols w:equalWidth="0" w:num="1">
            <w:col w:w="11420"/>
          </w:cols>
          <w:pgMar w:left="240" w:top="527" w:right="239" w:bottom="1440" w:gutter="0" w:footer="0" w:header="0"/>
          <w:type w:val="continuous"/>
        </w:sectPr>
      </w:pPr>
    </w:p>
    <w:p>
      <w:pPr>
        <w:spacing w:after="0" w:line="17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1"/>
          <w:szCs w:val="21"/>
          <w:b w:val="1"/>
          <w:bCs w:val="1"/>
          <w:color w:val="auto"/>
        </w:rPr>
        <w:t>Sales Milestone Event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Milestone Payment</w:t>
      </w:r>
    </w:p>
    <w:p>
      <w:pPr>
        <w:spacing w:after="0" w:line="200" w:lineRule="exact"/>
        <w:rPr>
          <w:sz w:val="20"/>
          <w:szCs w:val="20"/>
          <w:color w:val="auto"/>
        </w:rPr>
      </w:pPr>
    </w:p>
    <w:p>
      <w:pPr>
        <w:sectPr>
          <w:pgSz w:w="11900" w:h="16838" w:orient="portrait"/>
          <w:cols w:equalWidth="0" w:num="2">
            <w:col w:w="5520" w:space="720"/>
            <w:col w:w="5180"/>
          </w:cols>
          <w:pgMar w:left="240" w:top="527"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420"/>
          </w:cols>
          <w:pgMar w:left="240" w:top="527" w:right="239" w:bottom="1440" w:gutter="0" w:footer="0" w:header="0"/>
          <w:type w:val="continuous"/>
        </w:sectPr>
      </w:pP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9.7</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Royalties</w:t>
      </w:r>
    </w:p>
    <w:p>
      <w:pPr>
        <w:spacing w:after="0" w:line="211" w:lineRule="exact"/>
        <w:rPr>
          <w:sz w:val="20"/>
          <w:szCs w:val="20"/>
          <w:color w:val="auto"/>
        </w:rPr>
      </w:pPr>
    </w:p>
    <w:p>
      <w:pPr>
        <w:sectPr>
          <w:pgSz w:w="11900" w:h="16838" w:orient="portrait"/>
          <w:cols w:equalWidth="0" w:num="2">
            <w:col w:w="1740" w:space="720"/>
            <w:col w:w="8960"/>
          </w:cols>
          <w:pgMar w:left="240" w:top="527" w:right="239" w:bottom="1440" w:gutter="0" w:footer="0" w:header="0"/>
          <w:type w:val="continuous"/>
        </w:sectPr>
      </w:pPr>
    </w:p>
    <w:p>
      <w:pPr>
        <w:spacing w:after="0" w:line="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Subject to Sections 9.7(b), 9.7(c), 9.7(d), and 9.8, Amgen shall pay</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to Arrowhead non-creditable, non-refundable (except as set forth in Section 9.12) royalties on annual Net Sales of Licensed Products in the Territory, as calculated by multiplying the applicable royalty rate by the corresponding amount of incremental Net Sales of the Licensed Product in the Territory in each Calendar Year as follows:</w:t>
      </w:r>
    </w:p>
    <w:p>
      <w:pPr>
        <w:sectPr>
          <w:pgSz w:w="11900" w:h="16838" w:orient="portrait"/>
          <w:cols w:equalWidth="0" w:num="1">
            <w:col w:w="11420"/>
          </w:cols>
          <w:pgMar w:left="240" w:top="527" w:right="239" w:bottom="1440" w:gutter="0" w:footer="0" w:header="0"/>
          <w:type w:val="continuous"/>
        </w:sectPr>
      </w:pP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b w:val="1"/>
          <w:bCs w:val="1"/>
          <w:color w:val="auto"/>
        </w:rPr>
        <w:t>Annual Net Sales of Licensed Products in the Territory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Royalty Rate</w:t>
      </w:r>
    </w:p>
    <w:p>
      <w:pPr>
        <w:spacing w:after="0" w:line="200" w:lineRule="exact"/>
        <w:rPr>
          <w:sz w:val="20"/>
          <w:szCs w:val="20"/>
          <w:color w:val="auto"/>
        </w:rPr>
      </w:pPr>
    </w:p>
    <w:p>
      <w:pPr>
        <w:sectPr>
          <w:pgSz w:w="11900" w:h="16838" w:orient="portrait"/>
          <w:cols w:equalWidth="0" w:num="2">
            <w:col w:w="6260" w:space="720"/>
            <w:col w:w="4440"/>
          </w:cols>
          <w:pgMar w:left="240" w:top="527"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760"/>
        <w:spacing w:after="0"/>
        <w:tabs>
          <w:tab w:leader="none" w:pos="3960" w:val="left"/>
          <w:tab w:leader="none" w:pos="550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Royalty Term.</w:t>
      </w:r>
      <w:r>
        <w:rPr>
          <w:sz w:val="20"/>
          <w:szCs w:val="20"/>
          <w:color w:val="auto"/>
        </w:rPr>
        <w:tab/>
      </w:r>
      <w:r>
        <w:rPr>
          <w:rFonts w:ascii="Times New Roman" w:cs="Times New Roman" w:eastAsia="Times New Roman" w:hAnsi="Times New Roman"/>
          <w:sz w:val="22"/>
          <w:szCs w:val="22"/>
          <w:color w:val="auto"/>
        </w:rPr>
        <w:t>Royalties shall be paid under this Section 9.7, on a country-by-</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country basis, [***]. Following the Royalty Term, Amgen shall have a fully paid-up, irrevocable, freely transferable and sublicensable license in such country under the relevant Arrowhead Patents to make, have made, use, sell, offer for sale, import and otherwise exploit such Licensed Product for any and all uses in the Territory.</w:t>
      </w:r>
    </w:p>
    <w:p>
      <w:pPr>
        <w:sectPr>
          <w:pgSz w:w="11900" w:h="16838" w:orient="portrait"/>
          <w:cols w:equalWidth="0" w:num="1">
            <w:col w:w="11420"/>
          </w:cols>
          <w:pgMar w:left="240" w:top="527" w:right="239" w:bottom="1440" w:gutter="0" w:footer="0" w:header="0"/>
          <w:type w:val="continuous"/>
        </w:sectPr>
      </w:pPr>
    </w:p>
    <w:p>
      <w:pPr>
        <w:spacing w:after="0" w:line="17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(c)</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20" w:space="720"/>
            <w:col w:w="7480"/>
          </w:cols>
          <w:pgMar w:left="240" w:top="527" w:right="239" w:bottom="1440" w:gutter="0" w:footer="0" w:header="0"/>
          <w:type w:val="continuous"/>
        </w:sectPr>
      </w:pPr>
    </w:p>
    <w:p>
      <w:pPr>
        <w:spacing w:after="0" w:line="1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1"/>
          <w:szCs w:val="21"/>
          <w:b w:val="1"/>
          <w:bCs w:val="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60" w:space="720"/>
            <w:col w:w="7440"/>
          </w:cols>
          <w:pgMar w:left="240" w:top="527" w:right="239" w:bottom="1440" w:gutter="0" w:footer="0" w:header="0"/>
          <w:type w:val="continuous"/>
        </w:sectPr>
      </w:pPr>
    </w:p>
    <w:p>
      <w:pPr>
        <w:spacing w:after="0" w:line="14"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2"/>
          <w:szCs w:val="22"/>
          <w:b w:val="1"/>
          <w:bCs w:val="1"/>
          <w:color w:val="auto"/>
        </w:rPr>
        <w:t xml:space="preserve">Royalty Reports and Payments. </w:t>
      </w:r>
      <w:r>
        <w:rPr>
          <w:rFonts w:ascii="Times New Roman" w:cs="Times New Roman" w:eastAsia="Times New Roman" w:hAnsi="Times New Roman"/>
          <w:sz w:val="22"/>
          <w:szCs w:val="22"/>
          <w:color w:val="auto"/>
        </w:rPr>
        <w:t>Within sixty (60) days following the end of each</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Calendar Quarter, commencing with the Calendar Quarter in which the First Commercial Sale of any Licensed Product is made anywhere in the Territory, Amgen shall provide Arrowhead with a report containing the following information for the applicable Calendar Quarter: (i) the amount of gross sales of Licensed Product in the Territory, (ii) an itemized calculation of Net Sales in the Territory (iii) a calculation of the royalty payment due on such sales, and (iv) the exchange rate for such country. Concurrent with the delivery of the applicable quarterly report, Amgen shall pay in Dollars all amounts due to Arrowhead pursuant to Section 9.7 in such Calendar Quarter.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ind w:left="720" w:hanging="712"/>
        <w:spacing w:after="0"/>
        <w:tabs>
          <w:tab w:leader="none" w:pos="72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10" w:name="page111"/>
    <w:bookmarkEnd w:id="110"/>
    <w:tbl>
      <w:tblPr>
        <w:tblLayout w:type="fixed"/>
        <w:tblInd w:w="880" w:type="dxa"/>
        <w:tblCellMar>
          <w:top w:w="0" w:type="dxa"/>
          <w:left w:w="0" w:type="dxa"/>
          <w:bottom w:w="0" w:type="dxa"/>
          <w:right w:w="0" w:type="dxa"/>
        </w:tblCellMar>
      </w:tblPr>
      <w:tr>
        <w:trPr>
          <w:trHeight w:val="287"/>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9.8</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r>
      <w:tr>
        <w:trPr>
          <w:trHeight w:val="444"/>
        </w:trPr>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w w:val="94"/>
              </w:rPr>
              <w:t>9.9</w:t>
            </w:r>
          </w:p>
        </w:tc>
        <w:tc>
          <w:tcPr>
            <w:tcW w:w="962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w w:val="98"/>
              </w:rPr>
              <w:t xml:space="preserve">Blocked Currency. </w:t>
            </w:r>
            <w:r>
              <w:rPr>
                <w:rFonts w:ascii="Times New Roman" w:cs="Times New Roman" w:eastAsia="Times New Roman" w:hAnsi="Times New Roman"/>
                <w:sz w:val="22"/>
                <w:szCs w:val="22"/>
                <w:color w:val="auto"/>
                <w:w w:val="98"/>
              </w:rPr>
              <w:t>In each country in the Territory where the local currency is blocked and cannot be</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removed from the country, at the election of Amgen, royalties accrued on Net Sales in such country shall be paid to Arrowhead in local currency by deposit in a local bank in such country designated by Arrowhead.</w:t>
      </w:r>
    </w:p>
    <w:p>
      <w:pPr>
        <w:spacing w:after="0" w:line="175"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9.10 Currency of Payments. </w:t>
      </w:r>
      <w:r>
        <w:rPr>
          <w:rFonts w:ascii="Times New Roman" w:cs="Times New Roman" w:eastAsia="Times New Roman" w:hAnsi="Times New Roman"/>
          <w:sz w:val="22"/>
          <w:szCs w:val="22"/>
          <w:color w:val="auto"/>
        </w:rPr>
        <w:t>Unless otherwise set forth in this Agreement or agreed to by the Parties,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under this Agreement shall be made in Dollars by wire transfer of immediately available funds into an account designated by Arrowhead. Net Sales outside of the U.S. shall be first determined in the currency in which they are earned and shall then be converted into an amount in Dollars using Amgen’s customary and usual conversion procedures used in preparing its financial statements pursuant to GAAP for the applicable reporting period.</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9.11 Late Payments. </w:t>
      </w:r>
      <w:r>
        <w:rPr>
          <w:rFonts w:ascii="Times New Roman" w:cs="Times New Roman" w:eastAsia="Times New Roman" w:hAnsi="Times New Roman"/>
          <w:sz w:val="22"/>
          <w:szCs w:val="22"/>
          <w:color w:val="auto"/>
        </w:rPr>
        <w:t>If Arrowhead does not receive payment of any sum due to it on or before the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then any portions thereof due hereunder which are not paid on the date such payments are due under this Agreement will bear interest at the lower of [***].</w:t>
      </w:r>
    </w:p>
    <w:p>
      <w:pPr>
        <w:spacing w:after="0" w:line="167"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9.12 Records; Audits. </w:t>
      </w:r>
      <w:r>
        <w:rPr>
          <w:rFonts w:ascii="Times New Roman" w:cs="Times New Roman" w:eastAsia="Times New Roman" w:hAnsi="Times New Roman"/>
          <w:sz w:val="22"/>
          <w:szCs w:val="22"/>
          <w:color w:val="auto"/>
        </w:rPr>
        <w:t>Amgen and its Affiliates will, and Amgen will cause each of its Sublicensees,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to, maintain complete and accurate records in sufficient detail to confirm the accuracy of the calculation of royalty payments and the achievement of milestone events, for a period of [***] after the Calendar Year in which such sales or events occurred. Upon reasonable prior notice and without disruption to Amgen’s business, such records of Amgen and its Affiliates shall be made available during regular business hours for a period of [***] from the end of the Calendar Year to which they pertain for examination, and not more often than once each Calendar Year, by an independent certified public accountant selected by Arrowhead and reasonably acceptable to Amgen, for the sole purpose of and only to the extent necessary for verifying the accuracy of the financial reports furnished by Amgen pursuant to this Article 9. Such independent accountant shall disclose to Arrowhead only the amounts that such independent accountant believes to be due and payable hereunder to Arrowhead, details concerning any discrepancy from the amount paid and the amount due, and shall disclose no other information revealed in such audit. The records for any particular Calendar Year shall only be subject to one (1) audit hereunder. Any and all records examined by such independent accountant shall be deemed Amgen’s Confidential Information which may not be disclosed by such independent accountant to any Third Party, and Amgen may require such independent accountant to enter into an appropriate written agreement obligating it to be bound by obligations of confidentiality and restrictions on use of such Confidential Information that are no less protective than those set forth in Article 13. If, as a result of any inspection of the books and records of Amgen, it is shown that payments under this Agreement were less than the amount which should have been paid, then Amgen shall make all payments required to be made from the original due date to eliminate any discrepancy revealed by such inspection within [***]. If, as a result of any inspection of the books and records of Amgen, it is shown that payments under this Agreement were more than the amount which should have been paid, then Arrowhead shall, at Amgen’s election, either make all payments required to be made to eliminate any discrepancy revealed by such inspection within [***] or credit such amounts to Amgen against future payments. Arrowhead shall pay for such audits, except that in the event that the audited amounts were underpaid by Amgen by more than [***]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ind w:left="720" w:hanging="712"/>
        <w:spacing w:after="0"/>
        <w:tabs>
          <w:tab w:leader="none" w:pos="72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11" w:name="page112"/>
    <w:bookmarkEnd w:id="111"/>
    <w:p>
      <w:pPr>
        <w:ind w:right="20"/>
        <w:spacing w:after="0" w:line="258" w:lineRule="auto"/>
        <w:rPr>
          <w:sz w:val="20"/>
          <w:szCs w:val="20"/>
          <w:color w:val="auto"/>
        </w:rPr>
      </w:pPr>
      <w:r>
        <w:rPr>
          <w:rFonts w:ascii="Times New Roman" w:cs="Times New Roman" w:eastAsia="Times New Roman" w:hAnsi="Times New Roman"/>
          <w:sz w:val="22"/>
          <w:szCs w:val="22"/>
          <w:color w:val="auto"/>
        </w:rPr>
        <w:t>undisputed amounts that should have been paid during the period in question as per the audit, Amgen shall pay the costs of the audit.</w:t>
      </w:r>
    </w:p>
    <w:p>
      <w:pPr>
        <w:sectPr>
          <w:pgSz w:w="11900" w:h="16838" w:orient="portrait"/>
          <w:cols w:equalWidth="0" w:num="1">
            <w:col w:w="11420"/>
          </w:cols>
          <w:pgMar w:left="240" w:top="531" w:right="239" w:bottom="1440" w:gutter="0" w:footer="0" w:header="0"/>
        </w:sectPr>
      </w:pP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9.13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Taxes.</w:t>
      </w:r>
    </w:p>
    <w:p>
      <w:pPr>
        <w:spacing w:after="0" w:line="200" w:lineRule="exact"/>
        <w:rPr>
          <w:sz w:val="20"/>
          <w:szCs w:val="20"/>
          <w:color w:val="auto"/>
        </w:rPr>
      </w:pPr>
    </w:p>
    <w:p>
      <w:pPr>
        <w:sectPr>
          <w:pgSz w:w="11900" w:h="16838" w:orient="portrait"/>
          <w:cols w:equalWidth="0" w:num="2">
            <w:col w:w="1840" w:space="720"/>
            <w:col w:w="8860"/>
          </w:cols>
          <w:pgMar w:left="240" w:top="531" w:right="239" w:bottom="1440" w:gutter="0" w:footer="0" w:header="0"/>
          <w:type w:val="continuous"/>
        </w:sectPr>
      </w:pPr>
    </w:p>
    <w:p>
      <w:pPr>
        <w:spacing w:after="0" w:line="18"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Taxes on Income. </w:t>
      </w:r>
      <w:r>
        <w:rPr>
          <w:rFonts w:ascii="Times New Roman" w:cs="Times New Roman" w:eastAsia="Times New Roman" w:hAnsi="Times New Roman"/>
          <w:sz w:val="22"/>
          <w:szCs w:val="22"/>
          <w:color w:val="auto"/>
        </w:rPr>
        <w:t>Each Party shall be solely responsible for the payment of all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imposed on its share of income arising directly or indirectly from the efforts of the Parties under this Agreement.</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The Parties agree to cooperate with one another and use reasonable</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efforts to reduce or eliminate tax withholding or similar obligations in respect of royalties, milestone payments, and other payments made by Amgen to Arrowhead under this Agreement. To the extent Amgen is required under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any other tax Laws to deduct and withhold taxes on any payment to Arrowhead, Amgen shall pay the amounts of such taxes to the proper Governmental Authority in a timely manner and promptly transmit to Arrowhead an official tax certificate or other evidence of such withholding sufficient to enable Arrowhead to claim such payment of taxes. Except as otherwise provided in Section 9.13(c), if any taxes are so deducted or withheld, such deducted or withheld amounts shall be treated for all purposes of this Agreement as having been paid to Arrowhead. Upon Amgen’s reasonable request, Arrowhead shall provide Amgen any tax forms (including Internal Revenue Service Form W-8BEN or W-8ECI or other applicable Internal Revenue Service Form) that may be reasonably necessary in order for Amgen to determine whether to withhold tax on any such payments or to withhold tax on such payments at a reduced rate under the Code or any other tax Laws, including any applicable bilateral income tax treaty. Amgen shall give reasonable support so that any withholding tax or value added tax may be minimized or avoided to the extent permitted under the applicable Laws and treaties.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Amgen shall require its sublicensees in the Territory to cooperate with Arrowhead in a manner consistent with this Section 9.13(b).</w:t>
      </w:r>
    </w:p>
    <w:p>
      <w:pPr>
        <w:spacing w:after="0" w:line="183"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Taxes Resulting From Amgen Action. </w:t>
      </w:r>
      <w:r>
        <w:rPr>
          <w:rFonts w:ascii="Times New Roman" w:cs="Times New Roman" w:eastAsia="Times New Roman" w:hAnsi="Times New Roman"/>
          <w:sz w:val="22"/>
          <w:szCs w:val="22"/>
          <w:color w:val="auto"/>
        </w:rPr>
        <w:t>If Amgen is required to make a payment to</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Arrowhead that is subject to increased deduction or withholding of tax as a result of any willful action by Amgen, such as an assignment or sublicense by Amgen, or any failure on the part of Amgen to comply with applicable Laws or filing or record retention requirements (an “</w:t>
      </w:r>
      <w:r>
        <w:rPr>
          <w:rFonts w:ascii="Times New Roman" w:cs="Times New Roman" w:eastAsia="Times New Roman" w:hAnsi="Times New Roman"/>
          <w:sz w:val="22"/>
          <w:szCs w:val="22"/>
          <w:b w:val="1"/>
          <w:bCs w:val="1"/>
          <w:color w:val="auto"/>
        </w:rPr>
        <w:t>Amgen Withholding Tax Action</w:t>
      </w:r>
      <w:r>
        <w:rPr>
          <w:rFonts w:ascii="Times New Roman" w:cs="Times New Roman" w:eastAsia="Times New Roman" w:hAnsi="Times New Roman"/>
          <w:sz w:val="22"/>
          <w:szCs w:val="22"/>
          <w:color w:val="auto"/>
        </w:rPr>
        <w:t>”), then the sum payable by Amgen (in respect of which such increased deduction or withholding is required to be made) shall be increased to the extent necessary to ensure that Arrowhead receives a sum equal to the sum which it would have received had no such Amgen Withholding Tax Action occurred. Notwithstanding the foregoing, any assignment or sublicense by Amgen that is agreed or consented to by Arrowhead in advance in writing shall not constitute an Amgen Withholding Tax Action. To the extent that Arrowhead actually realizes a tax benefit in any jurisdiction as a result of any such withholding taxes paid by Amgen pursuant to this Section 9.13(c), Arrowhead shall cooperate with Amgen to convey the additional tax benefit, if possible, to Amgen.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ind w:left="720" w:hanging="712"/>
        <w:spacing w:after="0"/>
        <w:tabs>
          <w:tab w:leader="none" w:pos="72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12" w:name="page113"/>
    <w:bookmarkEnd w:id="112"/>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50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ARTICLE 10</w:t>
            </w:r>
          </w:p>
        </w:tc>
      </w:tr>
      <w:tr>
        <w:trPr>
          <w:trHeight w:val="287"/>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7"/>
              </w:rPr>
              <w:t>INTELLECTUAL PROPERTY MATTERS</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10.1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Inventions</w:t>
            </w:r>
            <w:r>
              <w:rPr>
                <w:rFonts w:ascii="Times New Roman" w:cs="Times New Roman" w:eastAsia="Times New Roman" w:hAnsi="Times New Roman"/>
                <w:sz w:val="22"/>
                <w:szCs w:val="22"/>
                <w:color w:val="auto"/>
              </w:rPr>
              <w:t>. Any inventions, whether or not patentable, and whether (a) invented solely by a Party’s</w:t>
            </w:r>
          </w:p>
        </w:tc>
      </w:tr>
    </w:tbl>
    <w:p>
      <w:pPr>
        <w:jc w:val="both"/>
        <w:spacing w:after="0"/>
        <w:rPr>
          <w:sz w:val="20"/>
          <w:szCs w:val="20"/>
          <w:color w:val="auto"/>
        </w:rPr>
      </w:pPr>
      <w:r>
        <w:rPr>
          <w:rFonts w:ascii="Times New Roman" w:cs="Times New Roman" w:eastAsia="Times New Roman" w:hAnsi="Times New Roman"/>
          <w:sz w:val="22"/>
          <w:szCs w:val="22"/>
          <w:color w:val="auto"/>
        </w:rPr>
        <w:t>own employees, agents, consultants, or independent contractors (including any partner, joint venturer, licensee, sublicensee or similar arrangement) or (b) invented by a Party’s own employees, agents, consultants, or independent contractors jointly with employees, agents, consultants, or independent contractors of the other Party, in each case in the course of conducting a Party’s activities under this Agreement (including the Development, Manufacture or Commercialization of the Licensed Compounds and the Licensed Products), together with all intellectual property rights therein, shall be referred to herein as an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Inventorship shall be determined in accordance with U.S. patent laws (without reference to any conflict of law principles).</w:t>
      </w:r>
    </w:p>
    <w:p>
      <w:pPr>
        <w:sectPr>
          <w:pgSz w:w="11900" w:h="16838" w:orient="portrait"/>
          <w:cols w:equalWidth="0" w:num="1">
            <w:col w:w="11420"/>
          </w:cols>
          <w:pgMar w:left="240" w:top="517" w:right="239" w:bottom="1440" w:gutter="0" w:footer="0" w:header="0"/>
        </w:sectPr>
      </w:pPr>
    </w:p>
    <w:p>
      <w:pPr>
        <w:spacing w:after="0" w:line="3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10.2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40" w:space="720"/>
            <w:col w:w="8860"/>
          </w:cols>
          <w:pgMar w:left="240" w:top="517" w:right="239" w:bottom="1440" w:gutter="0" w:footer="0" w:header="0"/>
          <w:type w:val="continuous"/>
        </w:sectPr>
      </w:pPr>
    </w:p>
    <w:p>
      <w:pPr>
        <w:spacing w:after="0" w:line="18"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1"/>
          <w:szCs w:val="21"/>
          <w:b w:val="1"/>
          <w:bCs w:val="1"/>
          <w:color w:val="auto"/>
        </w:rPr>
        <w:t>(a)</w:t>
      </w:r>
      <w:r>
        <w:rPr>
          <w:sz w:val="20"/>
          <w:szCs w:val="20"/>
          <w:color w:val="auto"/>
        </w:rPr>
        <w:tab/>
      </w:r>
      <w:r>
        <w:rPr>
          <w:rFonts w:ascii="Times New Roman" w:cs="Times New Roman" w:eastAsia="Times New Roman" w:hAnsi="Times New Roman"/>
          <w:sz w:val="21"/>
          <w:szCs w:val="21"/>
          <w:color w:val="auto"/>
        </w:rPr>
        <w:t>Except as otherwise expressly provided in this Agreement, (i) if an Invention is solely</w:t>
      </w:r>
    </w:p>
    <w:p>
      <w:pPr>
        <w:sectPr>
          <w:pgSz w:w="11900" w:h="16838" w:orient="portrait"/>
          <w:cols w:equalWidth="0" w:num="1">
            <w:col w:w="11420"/>
          </w:cols>
          <w:pgMar w:left="240" w:top="517" w:right="239" w:bottom="1440" w:gutter="0" w:footer="0" w:header="0"/>
          <w:type w:val="continuous"/>
        </w:sectPr>
      </w:pPr>
    </w:p>
    <w:p>
      <w:pPr>
        <w:spacing w:after="0" w:line="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invented by one or more employees, agents, consultants, subcontractors or independent contractors of a Party, such Invention, and any and all intellectual property rights therein, shall be solely owned by such Party; and (ii) if an Invention is jointly invented by one or more employees, agents, consultants, subcontractors or independent contractors of each Party, such Invention (a “</w:t>
      </w:r>
      <w:r>
        <w:rPr>
          <w:rFonts w:ascii="Times New Roman" w:cs="Times New Roman" w:eastAsia="Times New Roman" w:hAnsi="Times New Roman"/>
          <w:sz w:val="22"/>
          <w:szCs w:val="22"/>
          <w:b w:val="1"/>
          <w:bCs w:val="1"/>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and each Patent claiming such Joint Invention (each, a “</w:t>
      </w:r>
      <w:r>
        <w:rPr>
          <w:rFonts w:ascii="Times New Roman" w:cs="Times New Roman" w:eastAsia="Times New Roman" w:hAnsi="Times New Roman"/>
          <w:sz w:val="22"/>
          <w:szCs w:val="22"/>
          <w:b w:val="1"/>
          <w:bCs w:val="1"/>
          <w:color w:val="auto"/>
        </w:rPr>
        <w:t>Joint Patent</w:t>
      </w:r>
      <w:r>
        <w:rPr>
          <w:rFonts w:ascii="Times New Roman" w:cs="Times New Roman" w:eastAsia="Times New Roman" w:hAnsi="Times New Roman"/>
          <w:sz w:val="22"/>
          <w:szCs w:val="22"/>
          <w:color w:val="auto"/>
        </w:rPr>
        <w:t>”) and other intellectual property rights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Invention (such intellectual property rights, together with any such Joint Patent, “</w:t>
      </w:r>
      <w:r>
        <w:rPr>
          <w:rFonts w:ascii="Times New Roman" w:cs="Times New Roman" w:eastAsia="Times New Roman" w:hAnsi="Times New Roman"/>
          <w:sz w:val="22"/>
          <w:szCs w:val="22"/>
          <w:b w:val="1"/>
          <w:bCs w:val="1"/>
          <w:color w:val="auto"/>
        </w:rPr>
        <w:t>Joint IPR</w:t>
      </w:r>
      <w:r>
        <w:rPr>
          <w:rFonts w:ascii="Times New Roman" w:cs="Times New Roman" w:eastAsia="Times New Roman" w:hAnsi="Times New Roman"/>
          <w:sz w:val="22"/>
          <w:szCs w:val="22"/>
          <w:color w:val="auto"/>
        </w:rPr>
        <w:t>”), shall be jointly owned by the Parties. Subject to the terms of this Agreement and except as otherwise licensed to the other Party under this Agreement, and subject to any other intellectual property owned by the Parties, each Party shall be entitled to practice and exploit the Joint Inventions and Joint IPR, subject to the licenses granted under Article 4, without the duty of accounting, paying a share of the proceeds to, or seeking consent from the other Party, and each Party hereby waives any right it may have under the laws of any jurisdiction to require such accounting, payment or consent; provided, however, that for any Joint Patent that, but for Amgen’s inventive contribution, would be an Arrowhead Platform Patent, Amgen’s rights to practice and exploit the Joint Patent shall be limited to its use with a RNAi Molecule directed toward the Collaboration Target, Licensed Compounds, and Licensed Products. Each Party agrees to be named as a party, if necessary, to bring or maintain a lawsuit involving a Joint Invention or Joint IPR.</w:t>
      </w:r>
    </w:p>
    <w:p>
      <w:pPr>
        <w:spacing w:after="0" w:line="28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Each Party shall notify the other Party promptly after developing any Invention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other Party is the sole owner. Each Party shall assign and hereby assigns to the other Party its entire right, title and interest in and to such Inventions and the Patents and other intellectual property rights therein as needed to implement the ownership of the Patents in accordance with the provisions of Section 10.2(a).</w:t>
      </w:r>
    </w:p>
    <w:p>
      <w:pPr>
        <w:spacing w:after="0" w:line="172"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Nothing in this Agreement shall obligate either Party to transfer any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any Patents or other intellectual property rights of such Party existing on the Effective Date (“</w:t>
      </w:r>
      <w:r>
        <w:rPr>
          <w:rFonts w:ascii="Times New Roman" w:cs="Times New Roman" w:eastAsia="Times New Roman" w:hAnsi="Times New Roman"/>
          <w:sz w:val="22"/>
          <w:szCs w:val="22"/>
          <w:b w:val="1"/>
          <w:bCs w:val="1"/>
          <w:color w:val="auto"/>
        </w:rPr>
        <w:t>Background IP</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ind w:left="720" w:hanging="712"/>
        <w:spacing w:after="0"/>
        <w:tabs>
          <w:tab w:leader="none" w:pos="72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13" w:name="page114"/>
    <w:bookmarkEnd w:id="113"/>
    <w:p>
      <w:pPr>
        <w:ind w:left="880"/>
        <w:spacing w:after="0"/>
        <w:rPr>
          <w:sz w:val="20"/>
          <w:szCs w:val="20"/>
          <w:color w:val="auto"/>
        </w:rPr>
      </w:pPr>
      <w:r>
        <w:rPr>
          <w:rFonts w:ascii="Times New Roman" w:cs="Times New Roman" w:eastAsia="Times New Roman" w:hAnsi="Times New Roman"/>
          <w:sz w:val="21"/>
          <w:szCs w:val="21"/>
          <w:b w:val="1"/>
          <w:bCs w:val="1"/>
          <w:color w:val="auto"/>
        </w:rPr>
        <w:t>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Prosecution of Patents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40" w:space="720"/>
            <w:col w:w="8860"/>
          </w:cols>
          <w:pgMar w:left="240" w:top="527" w:right="239" w:bottom="1440" w:gutter="0" w:footer="0" w:header="0"/>
        </w:sectPr>
      </w:pPr>
    </w:p>
    <w:p>
      <w:pPr>
        <w:spacing w:after="0" w:line="1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Arrowhead Patents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3240" w:space="720"/>
            <w:col w:w="7460"/>
          </w:cols>
          <w:pgMar w:left="240" w:top="527" w:right="239" w:bottom="1440" w:gutter="0" w:footer="0" w:header="0"/>
          <w:type w:val="continuous"/>
        </w:sectPr>
      </w:pPr>
    </w:p>
    <w:p>
      <w:pPr>
        <w:spacing w:after="0" w:line="6"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color w:val="auto"/>
        </w:rPr>
        <w:t>Subject to Section 10.3(a)(ii) and (iii), as between the Parties,</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Arrowhead shall have the sole right to prepare, file, prosecute and maintain all Arrowhead Patents (A) listed as “Platform Patents” on </w:t>
      </w:r>
      <w:r>
        <w:rPr>
          <w:rFonts w:ascii="Times New Roman" w:cs="Times New Roman" w:eastAsia="Times New Roman" w:hAnsi="Times New Roman"/>
          <w:sz w:val="22"/>
          <w:szCs w:val="22"/>
          <w:u w:val="single" w:color="auto"/>
          <w:color w:val="auto"/>
        </w:rPr>
        <w:t>Exhibits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(B) filed after the Effective Date and during the Term, except for any Arrowhead Product Patents as defined in Section 10.3(a)(ii), in each case including all Patents that claim priority, directly or indirectly, from such Patents; and any Patent from which such Patents claim priority, directly or indirectly (collectively, the “</w:t>
      </w:r>
      <w:r>
        <w:rPr>
          <w:rFonts w:ascii="Times New Roman" w:cs="Times New Roman" w:eastAsia="Times New Roman" w:hAnsi="Times New Roman"/>
          <w:sz w:val="22"/>
          <w:szCs w:val="22"/>
          <w:b w:val="1"/>
          <w:bCs w:val="1"/>
          <w:color w:val="auto"/>
        </w:rPr>
        <w:t>Arrowhead Platform Patents</w:t>
      </w:r>
      <w:r>
        <w:rPr>
          <w:rFonts w:ascii="Times New Roman" w:cs="Times New Roman" w:eastAsia="Times New Roman" w:hAnsi="Times New Roman"/>
          <w:sz w:val="22"/>
          <w:szCs w:val="22"/>
          <w:color w:val="auto"/>
        </w:rPr>
        <w:t>”), at Arrowhead’s cost and expense. For clarity, all Arrowhead Background IP Controlled by Arrowhead or its Affiliates as of the Effective Date that is or becomes the subject of patent claims are included as Arrowhead Platform Patents. On a Calendar Quarter basis, Arrowhead shall update Amgen on the status of the prosecution and maintenance of all Arrowhead Platform Patents and shall provide Amgen with copies of material filings with and communications from patent authorities with respect to such Patents to the extent applicable to Licensed Compounds or Licensed Products. Arrowhead shall respond to all reasonable requests of Amgen for additional Information with respect to all such prosecution and maintenance efforts. Arrowhead agrees to discuss and consider in good faith any recommendations of Amgen toward the objective of optimizing overall patent protection for Licensed Compounds (during the Term) and Licensed Products (during the Term). If Arrowhead decides to cease the prosecution or maintenance of all claims in an Arrowhead Platform Patent that claims the Development, Manufacture or Commercialization of a Licensed Compound or Licensed Product in the Territory, it shall notify Amgen in writing sufficiently in advance so that Amgen may, at its discretion, assume the responsibility for the prosecution or maintenance of such Arrowhead Platform Patent to the extent claiming the Development, Manufacture or Commercialization of a Licensed Compound or Licensed Product in the Territory, at Amgen’s cost and expense. If Amgen assumes such responsibility in a jurisdiction, then no such claim shall be deemed a Valid Claim in such jurisdiction.</w:t>
      </w:r>
    </w:p>
    <w:p>
      <w:pPr>
        <w:spacing w:after="0" w:line="184" w:lineRule="exact"/>
        <w:rPr>
          <w:sz w:val="20"/>
          <w:szCs w:val="20"/>
          <w:color w:val="auto"/>
        </w:rPr>
      </w:pPr>
    </w:p>
    <w:p>
      <w:pPr>
        <w:jc w:val="both"/>
        <w:ind w:firstLine="2634"/>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22"/>
          <w:szCs w:val="22"/>
          <w:color w:val="auto"/>
        </w:rPr>
        <w:t>As between the Parties, (x) prior to the exercise of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shall have the first right to prepare, file, prosecute and maintain all Arrowhead Patents filed during the Term and having claims solely directed to compositions of matter comprising the nucleotide sequence and/or the modification pattern of Licensed Compounds or Licensed Products or methods of using or making Licensed Compounds or Licensed Products (collectively, the “</w:t>
      </w:r>
      <w:r>
        <w:rPr>
          <w:rFonts w:ascii="Times New Roman" w:cs="Times New Roman" w:eastAsia="Times New Roman" w:hAnsi="Times New Roman"/>
          <w:sz w:val="22"/>
          <w:szCs w:val="22"/>
          <w:b w:val="1"/>
          <w:bCs w:val="1"/>
          <w:color w:val="auto"/>
        </w:rPr>
        <w:t>Arrowhead Product Patents</w:t>
      </w:r>
      <w:r>
        <w:rPr>
          <w:rFonts w:ascii="Times New Roman" w:cs="Times New Roman" w:eastAsia="Times New Roman" w:hAnsi="Times New Roman"/>
          <w:sz w:val="22"/>
          <w:szCs w:val="22"/>
          <w:color w:val="auto"/>
        </w:rPr>
        <w:t>”) in the Territory, at Arrowhead’s cost and expense and (y) from and after the exercise of the Option, Amgen shall have the first right to prepare, file, prosecute and maintain all Arrowhead Product Patents in the Territory, at Amgen’s cost and expense. The prosecuting Party shall reasonably inform and consult with the other Party, and shall take the other Party’s comments into good faith consideration, with respect to the preparation, prosecution and maintenance of such Arrowhead Product Patents. Promptly following exercise of the Option, Arrowhead shall transfer control of the Arrowhead Product Patents to Amgen. The prosecuting Party shall provide to the other Party copies of any correspondence relating to the filing, prosecution or maintenance of such Arrowhead Product Patents reasonably in advance of their being filed or promptly upon their being received, including draft filings, reasonably in advance of their being filed, so that the other Party can comment and provide input with respect to such draft filings. The prosecuting Party agrees to discuss and consider in good faith any changes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ind w:left="720" w:hanging="712"/>
        <w:spacing w:after="0"/>
        <w:tabs>
          <w:tab w:leader="none" w:pos="7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14" w:name="page115"/>
    <w:bookmarkEnd w:id="114"/>
    <w:p>
      <w:pPr>
        <w:jc w:val="both"/>
        <w:spacing w:after="0" w:line="248" w:lineRule="auto"/>
        <w:rPr>
          <w:sz w:val="20"/>
          <w:szCs w:val="20"/>
          <w:color w:val="auto"/>
        </w:rPr>
      </w:pPr>
      <w:r>
        <w:rPr>
          <w:rFonts w:ascii="Times New Roman" w:cs="Times New Roman" w:eastAsia="Times New Roman" w:hAnsi="Times New Roman"/>
          <w:sz w:val="21"/>
          <w:szCs w:val="21"/>
          <w:color w:val="auto"/>
        </w:rPr>
        <w:t>reasonably requested by the other Party to such correspondence, including draft filings, as promptly as practicable upon their being received, toward the objective of optimizing overall patent protection for Licensed Compounds or the Licensed Products. If the prosecuting Party decides to cease the prosecution or maintenance of an Arrowhead Product Patent, it shall notify the other Party in writing sufficiently in advance so that the other Party may, at its discretion, assume the responsibility for the prosecution or maintenance of such Arrowhead Product Patents at such other Party’s cost and expense. Notwithstanding the foregoing, while Arrowhead is the prosecuting Party pursuant to clause (x) above, Arrowhead shall not file any Patent application with respect to an Arrowhead Product Patent without the prior written consent of Amgen, not to be unreasonably withheld, conditioned or delayed.</w:t>
      </w:r>
    </w:p>
    <w:p>
      <w:pPr>
        <w:spacing w:after="0" w:line="167" w:lineRule="exact"/>
        <w:rPr>
          <w:sz w:val="20"/>
          <w:szCs w:val="20"/>
          <w:color w:val="auto"/>
        </w:rPr>
      </w:pPr>
    </w:p>
    <w:p>
      <w:pPr>
        <w:jc w:val="both"/>
        <w:ind w:firstLine="263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(iii) </w:t>
      </w:r>
      <w:r>
        <w:rPr>
          <w:rFonts w:ascii="Times New Roman" w:cs="Times New Roman" w:eastAsia="Times New Roman" w:hAnsi="Times New Roman"/>
          <w:sz w:val="22"/>
          <w:szCs w:val="22"/>
          <w:color w:val="auto"/>
        </w:rPr>
        <w:t>Following the Effective Date, the Parties shall meet and discuss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to which it is feasible to allocate certain claims in the Arrowhead Platform Patents to the Arrowhead Product Patents. At the reasonable request of Amgen, Arrowhead shall make such filings as the Parties reasonably agree to allocate claims solely claiming Licensed Compounds and/or Licensed Products in any and all fields to the Arrowhead Product Patents. The Parties shall equally share in the costs associated with such actions reasonably requested by Amgen.</w:t>
      </w:r>
    </w:p>
    <w:p>
      <w:pPr>
        <w:spacing w:after="0" w:line="177"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(b) Joint Patents</w:t>
      </w:r>
      <w:r>
        <w:rPr>
          <w:rFonts w:ascii="Times New Roman" w:cs="Times New Roman" w:eastAsia="Times New Roman" w:hAnsi="Times New Roman"/>
          <w:sz w:val="22"/>
          <w:szCs w:val="22"/>
          <w:color w:val="auto"/>
        </w:rPr>
        <w:t>. Amgen shall have the first right to prepare, file, prosecute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all Joint Patents in the Territory, at Amgen’s cost and expense. Amgen shall reasonably inform and consult with Arrowhead, and shall take such other Arrowhead’s comments into good faith consideration, with respect to the preparation, prosecution and maintenance of such Joint Patents. Amgen shall provide to Arrowhead copies of any correspondence relating to the filing, prosecution or maintenance of such Joint Patents reasonably in advance of their being filed or promptly upon their being received, including draft filings, reasonably in advance of their being filed so that Arrowhead can comment and provide input with respect to such draft filings. Amgen agrees to discuss and consider in good faith any changes reasonably requested by Arrowhead to such correspondence, including draft filings, promptly upon their being received, toward the objective of optimizing overall patent protection for Licensed Compounds and the Licensed Product. If Amgen decides to cease the prosecution or maintenance of a Joint Patent, it shall notify Arrowhead in writing sufficiently in advance so that Arrowhead may, at its discretion, assume the responsibility for the prosecution or maintenance of such Joint Patent at Arrowhead’s cost and expense.</w:t>
      </w:r>
    </w:p>
    <w:p>
      <w:pPr>
        <w:spacing w:after="0" w:line="177"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 Cooperation. </w:t>
      </w:r>
      <w:r>
        <w:rPr>
          <w:rFonts w:ascii="Times New Roman" w:cs="Times New Roman" w:eastAsia="Times New Roman" w:hAnsi="Times New Roman"/>
          <w:sz w:val="22"/>
          <w:szCs w:val="22"/>
          <w:color w:val="auto"/>
        </w:rPr>
        <w:t>Each Party shall provide the other Party all reasonable assistance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cooperation, at the other Party’s request and expense, in the patent prosecution efforts as provided above in this Section 10.3, including providing any necessary powers of attorney and executing any other required documents or instruments for such prosecution. Each Party shall execute and deliver to the other assignments with respect to any Patents, including Joint Inventions, as applicable, in a mutually agreeable form and will take whatever actions reasonably necessary (including the appointment of the other Party as its attorney in fact solely to make such assignment) to effect such assignment, in accordance with the ownership provisions provided above in Section 10.2. The prosecuting Party under this Section 10.3 agrees to conduct such prosecution toward the objective of optimizing overall patent protection for Licensed Compounds and Licensed Products.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ind w:left="720" w:hanging="712"/>
        <w:spacing w:after="0"/>
        <w:tabs>
          <w:tab w:leader="none" w:pos="72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15" w:name="page116"/>
    <w:bookmarkEnd w:id="115"/>
    <w:p>
      <w:pPr>
        <w:ind w:left="880"/>
        <w:spacing w:after="0"/>
        <w:rPr>
          <w:sz w:val="20"/>
          <w:szCs w:val="20"/>
          <w:color w:val="auto"/>
        </w:rPr>
      </w:pPr>
      <w:r>
        <w:rPr>
          <w:rFonts w:ascii="Times New Roman" w:cs="Times New Roman" w:eastAsia="Times New Roman" w:hAnsi="Times New Roman"/>
          <w:sz w:val="21"/>
          <w:szCs w:val="21"/>
          <w:b w:val="1"/>
          <w:bCs w:val="1"/>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Enforcement of Arrowhead Patents and Joint Patents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40" w:space="720"/>
            <w:col w:w="8860"/>
          </w:cols>
          <w:pgMar w:left="240" w:top="527" w:right="239" w:bottom="1440" w:gutter="0" w:footer="0" w:header="0"/>
        </w:sectPr>
      </w:pPr>
    </w:p>
    <w:p>
      <w:pPr>
        <w:spacing w:after="0" w:line="18" w:lineRule="exact"/>
        <w:rPr>
          <w:sz w:val="20"/>
          <w:szCs w:val="20"/>
          <w:color w:val="auto"/>
        </w:rPr>
      </w:pPr>
    </w:p>
    <w:p>
      <w:pPr>
        <w:ind w:left="1760"/>
        <w:spacing w:after="0"/>
        <w:tabs>
          <w:tab w:leader="none" w:pos="3940" w:val="left"/>
          <w:tab w:leader="none" w:pos="540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If  either  Party  becomes  aware  of  any  existing  or  threatened</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infringement of Arrowhead Patents or Joint Patents with respect to Third Party products involving RNAi Molecules in any and all fields in the Territory, which infringing activity involves the using, making, importing, offering for sale or selling RNAi Molecules directed to the Collaboration Target, Licensed Compounds or Licensed Products, in each case in any and all fields and in the Territory, or any such Arrowhead Patent or Joint Patent is challenged in any action or proceeding to the extent directly relating to RNAi Molecules directed to the Collaboration Target, Licensed Compounds or Licensed Products, in each case in any field and in the Territory (other than any oppositions, cancellations, interferences, reissue proceedings or reexaminations, which are addressed in Section 10.7) (a “</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it shall promptly notify the other Party in writing to that effect and the Parties will consult with each other regarding any actions to be taken with respect to such Product Infringement. Each Party shall share with the other Party all Information available to it regarding such alleged Product Infringement.</w:t>
      </w:r>
    </w:p>
    <w:p>
      <w:pPr>
        <w:sectPr>
          <w:pgSz w:w="11900" w:h="16838" w:orient="portrait"/>
          <w:cols w:equalWidth="0" w:num="1">
            <w:col w:w="11420"/>
          </w:cols>
          <w:pgMar w:left="240" w:top="527" w:right="239" w:bottom="1440" w:gutter="0" w:footer="0" w:header="0"/>
          <w:type w:val="continuous"/>
        </w:sectPr>
      </w:pPr>
    </w:p>
    <w:p>
      <w:pPr>
        <w:spacing w:after="0" w:line="17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1"/>
          <w:szCs w:val="21"/>
          <w:b w:val="1"/>
          <w:bCs w:val="1"/>
          <w:color w:val="auto"/>
        </w:rPr>
        <w:t>(b)</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Enforcement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60" w:space="720"/>
            <w:col w:w="7440"/>
          </w:cols>
          <w:pgMar w:left="240" w:top="527" w:right="239" w:bottom="1440" w:gutter="0" w:footer="0" w:header="0"/>
          <w:type w:val="continuous"/>
        </w:sectPr>
      </w:pPr>
    </w:p>
    <w:p>
      <w:pPr>
        <w:spacing w:after="0" w:line="18"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color w:val="auto"/>
        </w:rPr>
        <w:t>Arrowhead shall have the first right, but not the obligation, to bring</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 appropriate suit or other action against any person or entity engaged in a Product Infringement of the Arrowhead Platform Patents. Arrowhead shall keep Amgen regularly informed of the status and progress of such enforcement efforts, shall reasonably consider Amgen’s comments on any such efforts, and shall seek consent of Amgen in any important aspects of such enforcement, including determination of litigation strategy and filing of material papers to the competent court, which consent shall not be unreasonably withheld or delayed. In addition, Arrowhead shall provide Amgen with drafts of all material papers to be filed with the court and shall in good faith incorporate all reasonable comments thereto by Amgen before filing such papers. Amgen shall provide to Arrowhead reasonable assistance in such enforcement pursuant to this subsection (b)(i), at Arrowhead’s request and expense, including joining such action as a party plaintiff if required by applicable Laws to pursue such action.</w:t>
      </w:r>
    </w:p>
    <w:p>
      <w:pPr>
        <w:spacing w:after="0" w:line="178" w:lineRule="exact"/>
        <w:rPr>
          <w:sz w:val="20"/>
          <w:szCs w:val="20"/>
          <w:color w:val="auto"/>
        </w:rPr>
      </w:pPr>
    </w:p>
    <w:p>
      <w:pPr>
        <w:jc w:val="both"/>
        <w:ind w:firstLine="263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22"/>
          <w:szCs w:val="22"/>
          <w:color w:val="auto"/>
        </w:rPr>
        <w:t>If Arrowhead elects not to commence a suit to enforce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Arrowhead Platform Patents or settle or otherwise secure the abatement of such Product Infringement, then Amgen shall have the right, but not the obligation, to commence a suit or take action to enforce such Arrowhead Platform Patents against such Product Infringement in any and all fields in the Territory at its own cost and expense. In such event, promptly after Arrowhead’s notice to Amgen that it does not elect to enforce such Arrowhead Platform Patents, the Parties shall meet to discuss in good faith the strategy for enforcing such Arrowhead Platform Patents. Amgen acknowledges and agrees that the Arrowhead Platform Patents may be licensed to Third Parties who have rights with respect to the enforcement of such Patents, and that Amgen’s rights to conduct any enforcement activities are subject to such rights. In any event, Arrowhead shall have the right to consult with such Third Party licensees prior to making any decisions with respect to enforcement activities under this Section 10.4(b)(ii). In addition, Amgen shall provide Arrowhead with drafts of all material papers to be filed with the court and shall incorporate all reasonable comments thereto by Arrowhead before filing such papers. Arrowhead shall be entitled to separate representation in such matter by counsel of its own choice and at its own expense.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ind w:left="720" w:hanging="712"/>
        <w:spacing w:after="0"/>
        <w:tabs>
          <w:tab w:leader="none" w:pos="720"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16" w:name="page117"/>
    <w:bookmarkEnd w:id="116"/>
    <w:p>
      <w:pPr>
        <w:jc w:val="both"/>
        <w:ind w:firstLine="263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(iii) </w:t>
      </w:r>
      <w:r>
        <w:rPr>
          <w:rFonts w:ascii="Times New Roman" w:cs="Times New Roman" w:eastAsia="Times New Roman" w:hAnsi="Times New Roman"/>
          <w:sz w:val="22"/>
          <w:szCs w:val="22"/>
          <w:color w:val="auto"/>
        </w:rPr>
        <w:t>Amgen shall have the first right, but not the obligation, to bring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an appropriate suit or other action against any person or entity engaged in a Product Infringement of the Arrowhead Product Patents or Joint Patents, in its own name and entirely under its own direction and control, subject to the following. Amgen shall keep Arrowhead regularly informed of the status and progress of such enforcement efforts. Amgen shall consult with Arrowhead and take any Arrowhead comments into good faith consideration with respect to the infringement, claim construction, or defense of the validity or enforceability of any claim in any Arrowhead Product Patent or Joint Patent. In addition, Amgen shall provide Arrowhead with drafts of all material papers to be filed with the court and shall incorporate all reasonable comments thereto by Arrowhead before filing such papers. Arrowhead shall provide to Amgen reasonable assistance in such enforcement pursuant to this Section 10.4(b)(iii), at Amgen’s request and expense, including joining such action as a party plaintiff if requested by Amgen or required by applicable Laws to pursue such action. Arrowhead shall be entitled to separate representation in such matter by counsel of its own choice and at its own expense.</w:t>
      </w:r>
    </w:p>
    <w:p>
      <w:pPr>
        <w:spacing w:after="0" w:line="177" w:lineRule="exact"/>
        <w:rPr>
          <w:sz w:val="20"/>
          <w:szCs w:val="20"/>
          <w:color w:val="auto"/>
        </w:rPr>
      </w:pPr>
    </w:p>
    <w:p>
      <w:pPr>
        <w:jc w:val="both"/>
        <w:ind w:firstLine="2634"/>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color w:val="auto"/>
        </w:rPr>
        <w:t>If Amgen elects not to settle, or bring any action or proceeding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10.4(b)(iii), then it will notify Arrowhead thereof and Arrowhead may bring such suit or other action against any person or entity engaged in a Product Infringement of the Arrowhead Product Patents or Joint Patents, in its own name and entirely under its own direction and control, subject to the following. Arrowhead shall consult with Amgen and take any Amgen comments into good faith consideration with respect to the infringement, claim construction, or defense of the validity or enforceability of any claim in any Arrowhead Product Patent or Joint Patent. Amgen shall provide to Arrowhead reasonable assistance in such enforcement pursuant to this Section 10.4(b)(iv), at Arrowhead’s request and expense, including joining such action as a party plaintiff if requested by Arrowhead or required by applicable Laws to pursue such action. Amgen shall have the right to participate and be represented in any such suit by its own counsel at its own expense with respect to a Product Infringement. No settlement of any such action or proceeding which restricts the scope, or adversely affects the enforceability, of any Arrowhead Product Patent or Joint Patent, or imposes on Amgen any restrictions, obligations or other liabilities, shall be entered into by Arrowhead without the prior written consent of Amgen, which consent shall not be unreasonably withheld, conditioned, or delayed. Arrowhead shall not knowingly take any action during such litigation of any Arrowhead Product Patent or Joint Patent that would materially and adversely affect them, without Amgen’s prior written consent, which shall not be unreasonably withheld, delayed, or conditioned. Notwithstanding the foregoing, Arrowhead will not have the right to enforce or settle any such action or proceeding if Amgen has a good faith belief that enforcement of such Arrowhead Product Patent or Joint Patent in such circumstances could unreasonably jeopardize the rights licensed to Amgen under such Patent.</w:t>
      </w:r>
    </w:p>
    <w:p>
      <w:pPr>
        <w:spacing w:after="0" w:line="173" w:lineRule="exact"/>
        <w:rPr>
          <w:sz w:val="20"/>
          <w:szCs w:val="20"/>
          <w:color w:val="auto"/>
        </w:rPr>
      </w:pPr>
    </w:p>
    <w:p>
      <w:pPr>
        <w:jc w:val="both"/>
        <w:ind w:firstLine="263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(v) </w:t>
      </w:r>
      <w:r>
        <w:rPr>
          <w:rFonts w:ascii="Times New Roman" w:cs="Times New Roman" w:eastAsia="Times New Roman" w:hAnsi="Times New Roman"/>
          <w:sz w:val="22"/>
          <w:szCs w:val="22"/>
          <w:color w:val="auto"/>
        </w:rPr>
        <w:t>Notwithstanding Section 10.4(b)(ii) or (iv), if a Third Party submits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application to the appropriate Regulatory Authority for approval to sell a drug product, and supports the application with any safety, efficacy, or other data that either Party has generated in Developing a Licensed Compound or Licensed Product, then the following will apply:</w:t>
      </w:r>
    </w:p>
    <w:p>
      <w:pPr>
        <w:spacing w:after="0" w:line="172" w:lineRule="exact"/>
        <w:rPr>
          <w:sz w:val="20"/>
          <w:szCs w:val="20"/>
          <w:color w:val="auto"/>
        </w:rPr>
      </w:pPr>
    </w:p>
    <w:p>
      <w:pPr>
        <w:jc w:val="both"/>
        <w:ind w:firstLine="351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22"/>
          <w:szCs w:val="22"/>
          <w:color w:val="auto"/>
        </w:rPr>
        <w:t>if a Party receives from the Third Party a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alleging that the Third Party’s manufacture, use, or sale of the drug product does not infringe an Arrowhead Patent, or that such Patent is invalid or unenforceable (such as a certification under 21 U.S.C. §§ 355(b)(2)(A)(iv) or 355(j)(2)(A)(vii)(IV), 21 C.F.R. §§ 314.94 or 314.95, 42 U.S.C. § 262(l), 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ind w:left="720" w:hanging="712"/>
        <w:spacing w:after="0"/>
        <w:tabs>
          <w:tab w:leader="none" w:pos="72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17" w:name="page118"/>
    <w:bookmarkEnd w:id="117"/>
    <w:p>
      <w:pPr>
        <w:jc w:val="both"/>
        <w:spacing w:after="0" w:line="239" w:lineRule="auto"/>
        <w:rPr>
          <w:sz w:val="20"/>
          <w:szCs w:val="20"/>
          <w:color w:val="auto"/>
        </w:rPr>
      </w:pPr>
      <w:r>
        <w:rPr>
          <w:rFonts w:ascii="Times New Roman" w:cs="Times New Roman" w:eastAsia="Times New Roman" w:hAnsi="Times New Roman"/>
          <w:sz w:val="22"/>
          <w:szCs w:val="22"/>
          <w:color w:val="auto"/>
        </w:rPr>
        <w:t>under any other law anywhere in the world that by its effect permits a Third Party to support its application for approval with any safety, efficacy, or other data generated in Developing a Licensed Compound or Licensed Product), then the Party receiving the notice will provide it to the other Party via facsimile and overnight courier as soon as practicable and at least within five (5) days after receiving the notice.</w:t>
      </w:r>
    </w:p>
    <w:p>
      <w:pPr>
        <w:spacing w:after="0" w:line="177" w:lineRule="exact"/>
        <w:rPr>
          <w:sz w:val="20"/>
          <w:szCs w:val="20"/>
          <w:color w:val="auto"/>
        </w:rPr>
      </w:pPr>
    </w:p>
    <w:p>
      <w:pPr>
        <w:jc w:val="both"/>
        <w:ind w:firstLine="3511"/>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(2) </w:t>
      </w:r>
      <w:r>
        <w:rPr>
          <w:rFonts w:ascii="Times New Roman" w:cs="Times New Roman" w:eastAsia="Times New Roman" w:hAnsi="Times New Roman"/>
          <w:sz w:val="22"/>
          <w:szCs w:val="22"/>
          <w:color w:val="auto"/>
        </w:rPr>
        <w:t>Arrowhead will have the first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obligation, to institute and control (where Arrowhead is a plaintiff) or defend and control (where Arrowhead is a defendant) an action before any government or private tribunal against the Third Party concerning the infringement, validity, and enforceability of any Arrowhead Platform Patent and to settle any claims in connection with such Patents. Amgen will have the first right, but not the obligation, to institute and control (where Amgen is a plaintiff) or defend and control (where Amgen is a defendant) an action before any government or private tribunal against the Third Party concerning the infringement, validity, and enforceability of any Arrowhead Product Patent and to settle any claims in connection with such Patents. If the applicable Party decides not to institute (or defend, as applicable) such action, such Party will give notice to the other Party of its decision within twenty (20) days of the deadline for initiating the action (or, if such Party is defending the action, within twenty (20) days of any deadline required to maintain the action), upon receipt of which the other Party may institute (or defend, as applicable) and control such action. Each Party will cooperate fully with the other Party in such actions and will provide reasonable assistance (including making available to such other Party documents possessed by such Party that are reasonably required by such other Party and making available personnel for interviews and testimony) in any actions undertaken in accordance with this Section 10.4(b)(v). At the controlling Party’s request, the other Party agrees to join any such action, or, in the case of Arrowhead, to use reasonable efforts to cause any Third Party licensor under any license agreement between Arrowhead and such Third Party pursuant to which Arrowhead has obtained rights to any Arrowhead Licensed Technology, including the agreements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to join any such action, for the purpose of establishing standing. Each Party will have the right to approve any settlement under Section 10.4(b)(v) that would adversely affect the Arrowhead Patents or result in any liability, restriction, obligation or admission on behalf of such Party, such approval not to be unreasonably withheld, conditioned, or delayed. Any recovery, by settlement or otherwise, realized as a result of such litigation will be allocated in accordance with Section 10.4(d).</w:t>
      </w:r>
    </w:p>
    <w:p>
      <w:pPr>
        <w:spacing w:after="0" w:line="18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(c) Settlement</w:t>
      </w:r>
      <w:r>
        <w:rPr>
          <w:rFonts w:ascii="Times New Roman" w:cs="Times New Roman" w:eastAsia="Times New Roman" w:hAnsi="Times New Roman"/>
          <w:sz w:val="22"/>
          <w:szCs w:val="22"/>
          <w:color w:val="auto"/>
        </w:rPr>
        <w:t>. Neither Party shall settle any claim, suit or action that it brought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10.4(b) without the prior written consent of the other Party, not to be unreasonably withheld, delayed, or conditioned. Nothing in this Article 10 shall require such other Party to consent to any settlement that is reasonably anticipated by such other Party to have a material and adverse impact upon any Arrowhead Patents or Joint Patents.</w:t>
      </w:r>
    </w:p>
    <w:p>
      <w:pPr>
        <w:spacing w:after="0" w:line="172"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(d) Expenses and Recoveries</w:t>
      </w:r>
      <w:r>
        <w:rPr>
          <w:rFonts w:ascii="Times New Roman" w:cs="Times New Roman" w:eastAsia="Times New Roman" w:hAnsi="Times New Roman"/>
          <w:sz w:val="22"/>
          <w:szCs w:val="22"/>
          <w:color w:val="auto"/>
        </w:rPr>
        <w:t>. The enforcing Party bringing a claim, suit or action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10.4(b) shall be solely responsible for any expenses incurred by such Party as a result of such claim, suit or action. If such Party recovers monetary damages in such claim, suit or action, such recovery shall first be allocated to the reimbursement of any expenses incurred by the Parties in such litigation (including, for this purpose, a reasonable allocation of expenses of internal counsel). If such recovery is insufficient to cover all such costs and expenses of both Parties, it shall be shared in proportion to the total of such costs and expenses incurred by each</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ind w:left="720" w:hanging="712"/>
        <w:spacing w:after="0"/>
        <w:tabs>
          <w:tab w:leader="none" w:pos="720"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18" w:name="page119"/>
    <w:bookmarkEnd w:id="11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Party. If after such reimbursement any funds remain from such damages or other sums recovered, if Amgen brought such suit, such remaining funds shall [***].</w:t>
      </w:r>
    </w:p>
    <w:p>
      <w:pPr>
        <w:spacing w:after="0" w:line="154"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2"/>
          <w:szCs w:val="22"/>
          <w:b w:val="1"/>
          <w:bCs w:val="1"/>
          <w:color w:val="auto"/>
        </w:rPr>
        <w:t>Infringement Other Than a Product Infringement</w:t>
      </w:r>
      <w:r>
        <w:rPr>
          <w:rFonts w:ascii="Times New Roman" w:cs="Times New Roman" w:eastAsia="Times New Roman" w:hAnsi="Times New Roman"/>
          <w:sz w:val="22"/>
          <w:szCs w:val="22"/>
          <w:color w:val="auto"/>
        </w:rPr>
        <w:t>.  For any and all infringement</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of any Arrowhead Patents or Joint Patents other than a Product Infringement, as between the Parties, (i) Arrowhead shall have the sole and exclusive right to bring an appropriate suit or other action against any person or entity engaged in such other infringement of an Arrowhead Patent, in its sole discretion, and shall bear all related expenses and retain all related recoveries, and (ii) each Party shall have the right to bring an appropriate suit or other action against any person or entity engaged in such other infringement of a Joint Patent, in its sole discretion, and shall bear all related expenses and retain all related recoveries, and the other Party shall provide reasonable assistance in such enforcement action, including joining such action as a party plaintiff if required by applicable Laws to pursue such action, at the request and expense of the Party bringing the suit or action.</w:t>
      </w:r>
    </w:p>
    <w:p>
      <w:pPr>
        <w:spacing w:after="0" w:line="17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10.5 Patents Licensed From Third Parties. </w:t>
      </w:r>
      <w:r>
        <w:rPr>
          <w:rFonts w:ascii="Times New Roman" w:cs="Times New Roman" w:eastAsia="Times New Roman" w:hAnsi="Times New Roman"/>
          <w:sz w:val="22"/>
          <w:szCs w:val="22"/>
          <w:color w:val="auto"/>
        </w:rPr>
        <w:t>Each Party’s rights under this Article 10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prosecution, maintenance and enforcement of any Arrowhead Patent that is licensed by Arrowhead from a Third Party shall be subject to the rights of such Third Party to prosecute, maintain and enforce such Patent.</w:t>
      </w:r>
    </w:p>
    <w:p>
      <w:pPr>
        <w:spacing w:after="0" w:line="167" w:lineRule="exact"/>
        <w:rPr>
          <w:sz w:val="20"/>
          <w:szCs w:val="20"/>
          <w:color w:val="auto"/>
        </w:rPr>
      </w:pPr>
    </w:p>
    <w:p>
      <w:pPr>
        <w:ind w:left="880"/>
        <w:spacing w:after="0"/>
        <w:tabs>
          <w:tab w:leader="none" w:pos="2540" w:val="left"/>
          <w:tab w:leader="none" w:pos="778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2"/>
          <w:szCs w:val="22"/>
          <w:b w:val="1"/>
          <w:bCs w:val="1"/>
          <w:color w:val="auto"/>
        </w:rPr>
        <w:t>Infringement of Third Party Rights in the Territory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If any Licensed Compound or Licensed</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Product used or sold by Amgen, its Affiliates or sublicensees becomes the subject of a Third Party’s claim or assertion of infringement of a Patent granted by a jurisdiction within the Territory, Amgen shall promptly notify Arrowhead and the Parties shall agree on and enter into a “common interest agreement” wherein the Parties agree to their shared, mutual interest in the outcome of such potential dispute, and thereafter, the Parties shall promptly meet to consider the claim or assertion and the appropriate course of action. Amgen shall be solely responsible for the defense of any such infringement claims, provided that Amgen shall provide to Arrowhead the ability to join such action, at Arrowhead’s request and expense, to pursue such action in which a patent asserted by a Third Party under this Section 10.6, claims (a) the composition of matter or use, sale, offer for sale, or importation in any and all fields of any Licensed Compound or Licensed Product or (b) the manufacture of any such Licensed Compound or Licensed Product using the process employed by Arrowhead as of the Effective Date (any such patent, “</w:t>
      </w:r>
      <w:r>
        <w:rPr>
          <w:rFonts w:ascii="Times New Roman" w:cs="Times New Roman" w:eastAsia="Times New Roman" w:hAnsi="Times New Roman"/>
          <w:sz w:val="22"/>
          <w:szCs w:val="22"/>
          <w:b w:val="1"/>
          <w:b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Patent</w:t>
      </w:r>
      <w:r>
        <w:rPr>
          <w:rFonts w:ascii="Times New Roman" w:cs="Times New Roman" w:eastAsia="Times New Roman" w:hAnsi="Times New Roman"/>
          <w:sz w:val="22"/>
          <w:szCs w:val="22"/>
          <w:color w:val="auto"/>
        </w:rPr>
        <w:t>”). To the extent directly related to the Subject Patent, Amgen shall keep Arrowhead regularly informed of the status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progress of any action to the extent involving a Subject Patent, shall reasonably consider Arrowhead’s comments on any such action with respect to such Subject Patent, including determination of litigation strategy and filing of material papers to the competent court. In addition, Amgen shall provide Arrowhead with drafts of all material papers to be filed with the court to the extent directly related to the Subject Patent and shall in good faith incorporate all reasonable comments thereto by Arrowhead before filing such papers.</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10.7 Parties’ Patent Rights. </w:t>
      </w:r>
      <w:r>
        <w:rPr>
          <w:rFonts w:ascii="Times New Roman" w:cs="Times New Roman" w:eastAsia="Times New Roman" w:hAnsi="Times New Roman"/>
          <w:sz w:val="22"/>
          <w:szCs w:val="22"/>
          <w:color w:val="auto"/>
        </w:rPr>
        <w:t>If any Arrowhead Patent or Joint Patent becomes the subject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commenced by a Third Party within the Territory in connection with an opposition, reexamination request, action for declaratory judgment, nullity action, interference, inter partes review, or other attack upon the validity, title or enforceability thereof (except insofar as such action is a counterclaim to or defense of, or accompanies a defense of, an action for infringement against a Third Party under Section 10.4, in which case the provisions of Section 10.4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ind w:left="720" w:hanging="712"/>
        <w:spacing w:after="0"/>
        <w:tabs>
          <w:tab w:leader="none" w:pos="72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19" w:name="page120"/>
    <w:bookmarkEnd w:id="119"/>
    <w:p>
      <w:pPr>
        <w:jc w:val="both"/>
        <w:spacing w:after="0" w:line="233" w:lineRule="auto"/>
        <w:rPr>
          <w:sz w:val="20"/>
          <w:szCs w:val="20"/>
          <w:color w:val="auto"/>
        </w:rPr>
      </w:pPr>
      <w:r>
        <w:rPr>
          <w:rFonts w:ascii="Times New Roman" w:cs="Times New Roman" w:eastAsia="Times New Roman" w:hAnsi="Times New Roman"/>
          <w:sz w:val="22"/>
          <w:szCs w:val="22"/>
          <w:color w:val="auto"/>
        </w:rPr>
        <w:t>shall govern), then Arrowhead shall control such defense with respect to the Arrowhead Platform Patents and Amgen shall control such defense with respect to the Arrowhead Product Patents and Joint Patents. The defending Party shall be responsible for all costs and expenses incurred by such Party under this Section 10.7. The defending Party shall provide to the other Party copies of any papers relating to any such opposition, reexamination request, action for declaratory judgment, nullity action, interference or other attack upon any Arrowhead Platform Patents, Arrowhead Product Patents or Joint Patents, as applicable, reasonably in advance of their being filed or promptly upon their being received, including draft filings reasonably in advance of their being filed so that the other Party can comment and provide input with respect to such draft filings. The defending Party agrees to discuss and consider in good faith any changes reasonably requested by the other Party to such papers, including draft filings, promptly upon their being received, toward the objective of optimizing overall patent protection for Licensed Compounds or the Licensed Product. The defending Party shall permit the other Party to participate in the proceeding for an Arrowhead Platform Patent, Arrowhead Product Patent or Joint Patent, as applicable, to the extent permissible under applicable Laws, and to be represented by its own counsel in such proceeding, at such other Party’s expense. If the defending Party decides that it does not wish to defend against such action, then the other Party shall have a backup right to assume defense of such Third Party action at its own expense. Any awards or amounts received in defending any such Third Party action shall be allocated between the Parties as provided in Section 10.4(d).</w:t>
      </w:r>
    </w:p>
    <w:p>
      <w:pPr>
        <w:spacing w:after="0" w:line="175"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10.8 Patent Term Extension. </w:t>
      </w:r>
      <w:r>
        <w:rPr>
          <w:rFonts w:ascii="Times New Roman" w:cs="Times New Roman" w:eastAsia="Times New Roman" w:hAnsi="Times New Roman"/>
          <w:sz w:val="22"/>
          <w:szCs w:val="22"/>
          <w:color w:val="auto"/>
        </w:rPr>
        <w:t>In the event Amgen desires to seek a patent term extension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pediatric exclusivity extensions as may be available) or supplemental protection certificate or their equivalents in any country for any Arrowhead Product Patent or Joint Patent, then the Parties shall meet and discuss such request in good faith, provided that Amgen shall have the final decision-making authority with respect thereto. In the event Amgen desires to seek any of the foregoing extensions for any Arrowhead Platform Patent, then the Parties shall meet and discuss such request in good faith and Arrowhead will not unreasonably withhold consent to such extension, provided that it shall not be unreasonable for Arrowhead to withhold its consent if such extension would materially adversely affect such Arrowhead Platform Patent or Arrowhead’s or its licensee’s development or commercialization of compounds covered by such Arrowhead Platform Patent.</w:t>
      </w:r>
    </w:p>
    <w:p>
      <w:pPr>
        <w:spacing w:after="0" w:line="179"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10.9 Regulatory Data Protection. </w:t>
      </w:r>
      <w:r>
        <w:rPr>
          <w:rFonts w:ascii="Times New Roman" w:cs="Times New Roman" w:eastAsia="Times New Roman" w:hAnsi="Times New Roman"/>
          <w:sz w:val="22"/>
          <w:szCs w:val="22"/>
          <w:color w:val="auto"/>
        </w:rPr>
        <w:t>To the extent required by or permitted by Law, Amgen will, at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decide whether to list with the applicable Regulatory Authorities during the Term any applicable Arrowhead Product Patents claiming any Licensed Compound or Licensed Product that Amgen intends to, or has begun to, Commercialize, and that has become the subject of a Regulatory Approval Application submitted to FDA. In the event Amgen desires to include in such listing any Arrowhead Platform Patent, then the Parties shall meet and discuss such request in good faith and Arrowhead will not unreasonably withhold consent to such listing, provided that it shall not be unreasonable for Arrowhead to withhold its consent if such extension would materially adversely affect such Arrowhead Platform Patent. Such listings may include all so called “Orange Book” listings required under the Hatch-Waxman Act or listing of Patents as provided in the patent dispute resolution procedures of the Biologics Price Competition and Innovation Act of 2009 or under 42 U.S.C. § 262(l) or similar provisions in the Territory during the Term. Prior to such decision on listings, the Parties will meet to evaluate and identify all applicable Patents to be listed and Amgen shall reasonably incorporate and address suggestions provided by Arrowhead as to the listing or non-listing of any applicable Patents.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ind w:left="720" w:hanging="712"/>
        <w:spacing w:after="0"/>
        <w:tabs>
          <w:tab w:leader="none" w:pos="72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 COVENANTS; DISCLAIMERS</w:t>
      </w:r>
    </w:p>
    <w:p>
      <w:pPr>
        <w:sectPr>
          <w:pgSz w:w="11900" w:h="16838" w:orient="portrait"/>
          <w:cols w:equalWidth="0" w:num="1">
            <w:col w:w="11420"/>
          </w:cols>
          <w:pgMar w:left="240" w:top="527" w:right="239" w:bottom="1440" w:gutter="0" w:footer="0" w:header="0"/>
        </w:sectPr>
      </w:pP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11.1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Mutual Representations and Warranties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Party hereby represents and warrants to the other</w:t>
      </w:r>
    </w:p>
    <w:p>
      <w:pPr>
        <w:spacing w:after="0" w:line="20" w:lineRule="exact"/>
        <w:rPr>
          <w:sz w:val="20"/>
          <w:szCs w:val="20"/>
          <w:color w:val="auto"/>
        </w:rPr>
      </w:pPr>
    </w:p>
    <w:p>
      <w:pPr>
        <w:sectPr>
          <w:pgSz w:w="11900" w:h="16838" w:orient="portrait"/>
          <w:cols w:equalWidth="0" w:num="3">
            <w:col w:w="1820" w:space="720"/>
            <w:col w:w="3840" w:space="160"/>
            <w:col w:w="488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Party as follows:</w:t>
      </w:r>
    </w:p>
    <w:p>
      <w:pPr>
        <w:spacing w:after="0" w:line="173"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as of the Effective Date, it is a corporation duly organized,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under the Laws of the jurisdiction in which it is incorporated; and</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color w:val="auto"/>
        </w:rPr>
        <w:t>as of the Effective Date, (i) it has the corporate power and authority and the legal</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75" w:lineRule="exact"/>
        <w:rPr>
          <w:sz w:val="20"/>
          <w:szCs w:val="20"/>
          <w:color w:val="auto"/>
        </w:rPr>
      </w:pPr>
    </w:p>
    <w:p>
      <w:pPr>
        <w:ind w:left="880"/>
        <w:spacing w:after="0"/>
        <w:tabs>
          <w:tab w:leader="none" w:pos="252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Additional Representations and Warranties of Arrowhead</w:t>
      </w:r>
      <w:r>
        <w:rPr>
          <w:rFonts w:ascii="Times New Roman" w:cs="Times New Roman" w:eastAsia="Times New Roman" w:hAnsi="Times New Roman"/>
          <w:sz w:val="21"/>
          <w:szCs w:val="21"/>
          <w:color w:val="auto"/>
        </w:rPr>
        <w:t>. Arrowhead represents and warrants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Amgen, as of the Effective Date, as follows:</w:t>
      </w:r>
    </w:p>
    <w:p>
      <w:pPr>
        <w:spacing w:after="0" w:line="178"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Arrowhead has (i) the right under the Arrowhead Licensed Technology to grant the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licenses to Amgen as purported to be granted pursuant to this Agreement, (ii) sufficient legal or beneficial title in the Arrowhead Licensed Technology to grant the licenses to Amgen as purported to be granted pursuant to this Agreement, and (iii) not granted any right or license to any Third Party under the Arrowhead Licensed Technology that would conflict or interfere with any of the rights and licenses granted to Amgen hereunder;</w:t>
      </w:r>
    </w:p>
    <w:p>
      <w:pPr>
        <w:spacing w:after="0" w:line="174"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Arrowhead owns all right, title, and interest in the Arrowhead Patents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those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except for the Arrowhead Patents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which Patent rights Arrowhead has licensed from Third Parties pursuant to the corresponding agreements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and such licensed rights are sufficient to grant the rights purported to be granted to Amgen under this Agreement;</w:t>
      </w:r>
    </w:p>
    <w:p>
      <w:pPr>
        <w:sectPr>
          <w:pgSz w:w="11900" w:h="16838" w:orient="portrait"/>
          <w:cols w:equalWidth="0" w:num="1">
            <w:col w:w="11420"/>
          </w:cols>
          <w:pgMar w:left="240" w:top="527" w:right="239" w:bottom="1440" w:gutter="0" w:footer="0" w:header="0"/>
          <w:type w:val="continuous"/>
        </w:sectPr>
      </w:pPr>
    </w:p>
    <w:p>
      <w:pPr>
        <w:spacing w:after="0" w:line="172"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2"/>
          <w:szCs w:val="22"/>
          <w:color w:val="auto"/>
        </w:rPr>
        <w:t>no  lien,  encumbrance,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interest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(including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connection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w:t>
      </w:r>
    </w:p>
    <w:p>
      <w:pPr>
        <w:spacing w:after="0" w:line="20" w:lineRule="exact"/>
        <w:rPr>
          <w:sz w:val="20"/>
          <w:szCs w:val="20"/>
          <w:color w:val="auto"/>
        </w:rPr>
      </w:pPr>
    </w:p>
    <w:p>
      <w:pPr>
        <w:sectPr>
          <w:pgSz w:w="11900" w:h="16838" w:orient="portrait"/>
          <w:cols w:equalWidth="0" w:num="9">
            <w:col w:w="6040" w:space="140"/>
            <w:col w:w="180" w:space="160"/>
            <w:col w:w="680" w:space="140"/>
            <w:col w:w="640" w:space="160"/>
            <w:col w:w="880" w:space="140"/>
            <w:col w:w="180" w:space="140"/>
            <w:col w:w="940" w:space="160"/>
            <w:col w:w="380" w:space="140"/>
            <w:col w:w="32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indebtedness) exists in the Arrowhead Patents in favor of any creditor;</w:t>
      </w:r>
    </w:p>
    <w:p>
      <w:pPr>
        <w:spacing w:after="0" w:line="173"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2"/>
          <w:szCs w:val="22"/>
          <w:color w:val="auto"/>
        </w:rPr>
        <w:t>(i) all existing agreements between Arrowhead and any Third Party under which</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Arrowhead receives a license under any intellectual property rights relating to the Arrowhead Licensed Technology are listed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(ii) such agreements were made available to Amgen by Arrowhead, and were true, accurate and complete copies of such agreements, and have not been modified, supplemented or amended since the date they were made available to Amgen; (iii) each of such agreements is in full force and effect; and (iv) Arrowhead is not in material breach of any such agreements, and, to its Knowledge, no other party to any such agreements is in material breach thereof, in each respect in, any manner that would give such other party the right to terminate such agreements;</w:t>
      </w:r>
    </w:p>
    <w:p>
      <w:pPr>
        <w:spacing w:after="0" w:line="17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no written communications have been received by Arrowhead from any Third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allege, and there is no pending or threatened litigation as of the Effective Date that alleges, either (x) that any Arrowhead Patent in existence as of the Effective Date is, or for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ind w:left="720" w:hanging="712"/>
        <w:spacing w:after="0"/>
        <w:tabs>
          <w:tab w:leader="none" w:pos="72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21" w:name="page122"/>
    <w:bookmarkEnd w:id="121"/>
    <w:p>
      <w:pPr>
        <w:jc w:val="both"/>
        <w:spacing w:after="0" w:line="246" w:lineRule="auto"/>
        <w:rPr>
          <w:sz w:val="20"/>
          <w:szCs w:val="20"/>
          <w:color w:val="auto"/>
        </w:rPr>
      </w:pPr>
      <w:r>
        <w:rPr>
          <w:rFonts w:ascii="Times New Roman" w:cs="Times New Roman" w:eastAsia="Times New Roman" w:hAnsi="Times New Roman"/>
          <w:sz w:val="21"/>
          <w:szCs w:val="21"/>
          <w:color w:val="auto"/>
        </w:rPr>
        <w:t>any patent application included in the Arrowhead Patents in existence as of the Effective Date, if issued, would be, invalid or unenforceable or (y) the use of Arrowhead Licensed Technology or the manufacture, use, sale, offer for sale or importation of the Licensed Compounds, Licensed Products or products made using Arrowhead Licensed Technology infringes or misappropriates or would infringe or misappropriate any right of any Third Party, and, to the Knowledge of Arrowhead, no Third Party (i) is infringing any Arrowhead Patents in existence as of the Effective Date or has misappropriated any Arrowhead Know-How in the Arrowhead Licensed Technology or (ii) has challenged the ownership, scope, duration, validity, enforceability, priority or right to use any Arrowhead Patents in existence as of the Effective Date (including, by way of example, through the institution of or written threat of institution of interference, reexamination, protest, opposition, derivation, nullity or similar invalidity proceeding before the U.S. Patent and Trademark Office or any analogous foreign entity) or any Arrowhead Know-How in existence as of the Effective Date;</w:t>
      </w:r>
    </w:p>
    <w:p>
      <w:pPr>
        <w:spacing w:after="0" w:line="172"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(f) </w:t>
      </w:r>
      <w:r>
        <w:rPr>
          <w:rFonts w:ascii="Times New Roman" w:cs="Times New Roman" w:eastAsia="Times New Roman" w:hAnsi="Times New Roman"/>
          <w:sz w:val="22"/>
          <w:szCs w:val="22"/>
          <w:color w:val="auto"/>
        </w:rPr>
        <w:t>each of the issued Patents, and any currently pending Patent application or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from which any such Patent has issued, in each case within the Arrowhead Patents in existence as of the Effective Date,</w:t>
      </w:r>
    </w:p>
    <w:p>
      <w:pPr>
        <w:spacing w:after="0" w:line="2" w:lineRule="exact"/>
        <w:rPr>
          <w:sz w:val="20"/>
          <w:szCs w:val="20"/>
          <w:color w:val="auto"/>
        </w:rPr>
      </w:pPr>
    </w:p>
    <w:p>
      <w:pPr>
        <w:ind w:firstLine="8"/>
        <w:spacing w:after="0" w:line="237" w:lineRule="auto"/>
        <w:tabs>
          <w:tab w:leader="none" w:pos="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prosecuted in compliance with all applicable rules, policies, and procedures of the U.S. Patent and Trademark Office in all material respects, and (ii) is subsisting;</w:t>
      </w:r>
    </w:p>
    <w:p>
      <w:pPr>
        <w:spacing w:after="0" w:line="175"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 </w:t>
      </w:r>
      <w:r>
        <w:rPr>
          <w:rFonts w:ascii="Times New Roman" w:cs="Times New Roman" w:eastAsia="Times New Roman" w:hAnsi="Times New Roman"/>
          <w:sz w:val="22"/>
          <w:szCs w:val="22"/>
          <w:color w:val="auto"/>
        </w:rPr>
        <w:t>Arrowhead has disclosed to Amgen all Third Party issued Patents identified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by counsel to Arrowhead in any freedom to operate or patentability searches or opinions relating to the Arrowhead Licensed Technology in existence as of the Effective Date in the Territory;</w:t>
      </w:r>
    </w:p>
    <w:p>
      <w:pPr>
        <w:spacing w:after="0" w:line="16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 </w:t>
      </w:r>
      <w:r>
        <w:rPr>
          <w:rFonts w:ascii="Times New Roman" w:cs="Times New Roman" w:eastAsia="Times New Roman" w:hAnsi="Times New Roman"/>
          <w:sz w:val="22"/>
          <w:szCs w:val="22"/>
          <w:color w:val="auto"/>
        </w:rPr>
        <w:t>all of Arrowhead’s and its Affiliates’ employees and officers involved in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Licensed Technology have been obligated to assign to Arrowhead or such Affiliate, as the case may be, all inventions claimed in the Patents in such Arrowhead Licensed Technology and to maintain as confidential the Confidential Information of Arrowhead or such Affiliate, as the case may be;</w:t>
      </w:r>
    </w:p>
    <w:p>
      <w:pPr>
        <w:spacing w:after="0" w:line="172" w:lineRule="exact"/>
        <w:rPr>
          <w:sz w:val="20"/>
          <w:szCs w:val="20"/>
          <w:color w:val="auto"/>
        </w:rPr>
      </w:pPr>
    </w:p>
    <w:p>
      <w:pPr>
        <w:jc w:val="both"/>
        <w:ind w:right="20"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all inventors of any inventions included within the Arrowhead Patents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have assigned their entire right, title, and interest in and to such inventions and the corresponding Patents to Arrowhead and have been listed in such Patents as inventors;</w:t>
      </w:r>
    </w:p>
    <w:p>
      <w:pPr>
        <w:spacing w:after="0" w:line="16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(j) </w:t>
      </w:r>
      <w:r>
        <w:rPr>
          <w:rFonts w:ascii="Times New Roman" w:cs="Times New Roman" w:eastAsia="Times New Roman" w:hAnsi="Times New Roman"/>
          <w:sz w:val="22"/>
          <w:szCs w:val="22"/>
          <w:color w:val="auto"/>
        </w:rPr>
        <w:t>neither the execution and delivery of this Agreement nor the performance hereof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requires Arrowhead to obtain any permits, authorizations or consents from any Governmental Authority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Arrowhead is a party or to which it may be subject that relates to the Arrowhead Licensed Technology;</w:t>
      </w:r>
    </w:p>
    <w:p>
      <w:pPr>
        <w:spacing w:after="0" w:line="17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(k) </w:t>
      </w:r>
      <w:r>
        <w:rPr>
          <w:rFonts w:ascii="Times New Roman" w:cs="Times New Roman" w:eastAsia="Times New Roman" w:hAnsi="Times New Roman"/>
          <w:sz w:val="22"/>
          <w:szCs w:val="22"/>
          <w:color w:val="auto"/>
        </w:rPr>
        <w:t>there are no pending actions, claims, investigations, suits or proceedings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or its Affiliates, at law or in equity, or before or by any Governmental Authority, and neither Arrowhead nor any Affiliate has received any written notice regarding any pending or threatened actions, claims, investigations, suits or proceedings against Arrowhead 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ind w:left="720" w:hanging="712"/>
        <w:spacing w:after="0"/>
        <w:tabs>
          <w:tab w:leader="none" w:pos="72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2" w:name="page123"/>
    <w:bookmarkEnd w:id="12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such Affiliate, at law or in equity, or before or by any Governmental Authority, in either case with respect to the Arrowhead Licensed Technology; and</w:t>
      </w:r>
    </w:p>
    <w:p>
      <w:pPr>
        <w:spacing w:after="0" w:line="154"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(l) </w:t>
      </w:r>
      <w:r>
        <w:rPr>
          <w:rFonts w:ascii="Times New Roman" w:cs="Times New Roman" w:eastAsia="Times New Roman" w:hAnsi="Times New Roman"/>
          <w:sz w:val="22"/>
          <w:szCs w:val="22"/>
          <w:color w:val="auto"/>
        </w:rPr>
        <w:t>Arrowhead Licensed Technology has not been created or developed using government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funding that grants rights to step-in, seize, restrict or otherwise compromise the ability of Arrowhead to use such technology or to grant to Amgen the rights purported to be granted hereunder.</w:t>
      </w:r>
    </w:p>
    <w:p>
      <w:pPr>
        <w:sectPr>
          <w:pgSz w:w="11900" w:h="16838" w:orient="portrait"/>
          <w:cols w:equalWidth="0" w:num="1">
            <w:col w:w="11420"/>
          </w:cols>
          <w:pgMar w:left="240" w:top="531" w:right="239" w:bottom="1440" w:gutter="0" w:footer="0" w:header="0"/>
        </w:sectPr>
      </w:pP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11.3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Mutual Covenants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20" w:space="720"/>
            <w:col w:w="8880"/>
          </w:cols>
          <w:pgMar w:left="240" w:top="531" w:right="239" w:bottom="1440" w:gutter="0" w:footer="0" w:header="0"/>
          <w:type w:val="continuous"/>
        </w:sectPr>
      </w:pPr>
    </w:p>
    <w:p>
      <w:pPr>
        <w:spacing w:after="0" w:line="18" w:lineRule="exact"/>
        <w:rPr>
          <w:sz w:val="20"/>
          <w:szCs w:val="20"/>
          <w:color w:val="auto"/>
        </w:rPr>
      </w:pPr>
    </w:p>
    <w:p>
      <w:pPr>
        <w:ind w:left="1760"/>
        <w:spacing w:after="0"/>
        <w:tabs>
          <w:tab w:leader="none" w:pos="3940" w:val="left"/>
          <w:tab w:leader="none" w:pos="560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b w:val="1"/>
          <w:bCs w:val="1"/>
          <w:color w:val="auto"/>
        </w:rPr>
        <w:t>No Debarment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In the course of the Development of Licensed Compounds and</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Licensed Products, each Party shall not knowingly use any employee or consultant who has ever been debarred or is the subject of debarment or convicted of a crime for which an entity or person could be debarred (including by the FDA under 21 U.S.C. § 335a (or subject to a similar sanction of any other Governmental Authority)). Each Party shall notify the other Party promptly upon becoming aware that any of its employees or consultants has been debarred or is the subject of debarment proceedings by any Regulatory Authority.</w:t>
      </w:r>
    </w:p>
    <w:p>
      <w:pPr>
        <w:spacing w:after="0" w:line="176"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(b) Compliance</w:t>
      </w:r>
      <w:r>
        <w:rPr>
          <w:rFonts w:ascii="Times New Roman" w:cs="Times New Roman" w:eastAsia="Times New Roman" w:hAnsi="Times New Roman"/>
          <w:sz w:val="22"/>
          <w:szCs w:val="22"/>
          <w:color w:val="auto"/>
        </w:rPr>
        <w:t>. Each Party and its Affiliates shall comply in all material respects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applicable Laws in the Development, Manufacture, and Commercialization of Licensed Compounds and Licensed Products performed under this Agreement, including the statutes, regulations and written directives of the FDA,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ectPr>
          <w:pgSz w:w="11900" w:h="16838" w:orient="portrait"/>
          <w:cols w:equalWidth="0" w:num="1">
            <w:col w:w="11420"/>
          </w:cols>
          <w:pgMar w:left="240" w:top="531" w:right="239" w:bottom="1440" w:gutter="0" w:footer="0" w:header="0"/>
          <w:type w:val="continuous"/>
        </w:sectPr>
      </w:pP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11.4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Additional Covenants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20" w:space="720"/>
            <w:col w:w="8880"/>
          </w:cols>
          <w:pgMar w:left="240" w:top="531" w:right="239" w:bottom="1440" w:gutter="0" w:footer="0" w:header="0"/>
          <w:type w:val="continuous"/>
        </w:sectPr>
      </w:pPr>
    </w:p>
    <w:p>
      <w:pPr>
        <w:spacing w:after="0" w:line="18"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Arrowhead represents and warrants to and covenants with Amgen that all of</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Arrowhead’s employees and officers involved in research and development of the Arrowhead Licensed Technology, Licensed Compounds, or Licensed Products shall be obligated to assign to Arrowhead all inventions relating to such Arrowhead Licensed Technology, Licensed Compounds, or Licensed Products and to maintain as confidential the Confidential Information of Arrowhead;</w:t>
      </w:r>
    </w:p>
    <w:p>
      <w:pPr>
        <w:spacing w:after="0" w:line="175"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Amgen represents and warrants to and covenants with Arrowhead that all of Amgen’s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and officers involved in Development of the Licensed Compounds or the Licensed Product shall be obligated to assign to Amgen all inventions relating to such Licensed Compounds or Licensed Products and to maintain as confidential the Confidential Information of Amgen;</w:t>
      </w:r>
    </w:p>
    <w:p>
      <w:pPr>
        <w:spacing w:after="0" w:line="172"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Arrowhead represents and warrants to and covenants with Amgen that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sell, assign, or otherwise transfer to any person (other than any Affiliate of Arrowhead) any Arrowhead Patents (or agree to do any of the foregoing) in any manner that would be inconsistent with the rights and licenses granted to Amgen under this Agreement, except to the extent permitted by, and in compliance with, Section 16.6;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ind w:left="720" w:hanging="712"/>
        <w:spacing w:after="0"/>
        <w:tabs>
          <w:tab w:leader="none" w:pos="72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23" w:name="page124"/>
    <w:bookmarkEnd w:id="123"/>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Arrowhead represents and warrants to and covenants with Amgen that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grant to any Third Party any right or license under the Arrowhead Licensed Technology that is within the scope of licenses granted to Amgen under Section 4.4 or would breach Article 3.</w:t>
      </w:r>
    </w:p>
    <w:p>
      <w:pPr>
        <w:spacing w:after="0" w:line="167"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11.5 Disclaimer</w:t>
      </w:r>
      <w:r>
        <w:rPr>
          <w:rFonts w:ascii="Times New Roman" w:cs="Times New Roman" w:eastAsia="Times New Roman" w:hAnsi="Times New Roman"/>
          <w:sz w:val="22"/>
          <w:szCs w:val="22"/>
          <w:color w:val="auto"/>
        </w:rPr>
        <w:t>. Amgen understands that the Licensed Compounds and Licensed Products will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of research and development and that Arrowhead cannot assure the safety or usefulness of any Licensed Compound or Licensed Product. In addition, Arrowhead makes no warranties except as set forth in this Article 11 concerning the Arrowhead Licensed Technology. 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 Without limiting the generality of the foregoing, (i) neither Party represents or warrants as to the success of any study or test conducted by such Party pursuant to this Agreement or the safety or usefulness for any purpose of the technology, right or materials it provides hereunder, or that either Party will be successful in obtaining any patents rights, or that any patents will issue based on a pending application; and (ii) each Party specifically disclaims any guarantee that the Licensed Compounds or Licensed Products will be successful, in whole or in part</w:t>
      </w:r>
    </w:p>
    <w:p>
      <w:pPr>
        <w:spacing w:after="0" w:line="184"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11.6 Knowledge Standard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as applied to a Party in this Article 11, the 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as of the Effective Date, of a Party’s executive officers or personnel with primary responsibility for the applicable subject matter exercising reasonably diligent inquiry.</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50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ARTICLE 12</w:t>
            </w:r>
          </w:p>
        </w:tc>
      </w:tr>
      <w:tr>
        <w:trPr>
          <w:trHeight w:val="287"/>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7"/>
              </w:rPr>
              <w:t>INDEMNIFICATION</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12.1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Indemnification by Arrowhead.  </w:t>
            </w:r>
            <w:r>
              <w:rPr>
                <w:rFonts w:ascii="Times New Roman" w:cs="Times New Roman" w:eastAsia="Times New Roman" w:hAnsi="Times New Roman"/>
                <w:sz w:val="22"/>
                <w:szCs w:val="22"/>
                <w:color w:val="auto"/>
              </w:rPr>
              <w:t>Arrowhead shall defend, indemnify, and hold Amgen and its</w:t>
            </w:r>
          </w:p>
        </w:tc>
      </w:tr>
    </w:tbl>
    <w:p>
      <w:pPr>
        <w:jc w:val="both"/>
        <w:spacing w:after="0" w:line="231" w:lineRule="auto"/>
        <w:rPr>
          <w:sz w:val="20"/>
          <w:szCs w:val="20"/>
          <w:color w:val="auto"/>
        </w:rPr>
      </w:pPr>
      <w:r>
        <w:rPr>
          <w:rFonts w:ascii="Times New Roman" w:cs="Times New Roman" w:eastAsia="Times New Roman" w:hAnsi="Times New Roman"/>
          <w:sz w:val="22"/>
          <w:szCs w:val="22"/>
          <w:color w:val="auto"/>
        </w:rPr>
        <w:t>Affiliates and their respective officers, directors, employees, and agents (the “</w:t>
      </w:r>
      <w:r>
        <w:rPr>
          <w:rFonts w:ascii="Times New Roman" w:cs="Times New Roman" w:eastAsia="Times New Roman" w:hAnsi="Times New Roman"/>
          <w:sz w:val="22"/>
          <w:szCs w:val="22"/>
          <w:b w:val="1"/>
          <w:bCs w:val="1"/>
          <w:color w:val="auto"/>
        </w:rPr>
        <w:t>Amgen Indemnitees</w:t>
      </w:r>
      <w:r>
        <w:rPr>
          <w:rFonts w:ascii="Times New Roman" w:cs="Times New Roman" w:eastAsia="Times New Roman" w:hAnsi="Times New Roman"/>
          <w:sz w:val="22"/>
          <w:szCs w:val="22"/>
          <w:color w:val="auto"/>
        </w:rPr>
        <w:t>”) harmless from and against any and all Third Party claims, suits, proceedings, damages, expenses (including court costs and reasonable attorneys’ fees and expenses) and recoveries (collectively,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to the extent that such Claims arise out of, are based on, or result from (a) the breach of any of Arrowhead’s obligations under this Agreement, including Arrowhead’s representations, warranties, and covenants set forth herein, (b) the performance by or on behalf of Arrowhead or its Affiliates or licensees of Arrowhead’s obligations under this Agreement or the development, manufacture, or commercialization by Arrowhead, its Affiliates or licensees (other than Amgen, its Affiliates or Sublicensees) of products containing RNAi Molecules solely to the extent such Claim is based on the use of the Arrowhead Licensed Technology (excluding in all cases Claims covered by the scope of 12.2) by Arrowhead, its Affiliates or licensees (other than Amgen, its Affiliates or Sublicensees) in connection with such development, manufacture or commercialization by such parties of such products, or (c) the willful misconduct or negligent acts of Arrowhead or its Affiliates in performing under this Agreement. The foregoing indemnity obligation shall not apply to the extent that (i) the Amgen Indemnitees fail to comply with the indemnification procedures set forth in Section 12.3 and Arrowhead’s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ind w:left="720" w:hanging="712"/>
        <w:spacing w:after="0"/>
        <w:tabs>
          <w:tab w:leader="none" w:pos="72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24" w:name="page125"/>
    <w:bookmarkEnd w:id="124"/>
    <w:p>
      <w:pPr>
        <w:jc w:val="both"/>
        <w:spacing w:after="0" w:line="244" w:lineRule="auto"/>
        <w:rPr>
          <w:sz w:val="20"/>
          <w:szCs w:val="20"/>
          <w:color w:val="auto"/>
        </w:rPr>
      </w:pPr>
      <w:r>
        <w:rPr>
          <w:rFonts w:ascii="Times New Roman" w:cs="Times New Roman" w:eastAsia="Times New Roman" w:hAnsi="Times New Roman"/>
          <w:sz w:val="22"/>
          <w:szCs w:val="22"/>
          <w:color w:val="auto"/>
        </w:rPr>
        <w:t>defense of the relevant Claims is actually prejudiced by such failure, or (ii) any Claim arises from, is based on, or results from any activity set forth in Section 12.2(b) or 12.2(c) for which Amgen is obligated to indemnify the Arrowhead Indemnitees under Section 12.2.</w:t>
      </w:r>
    </w:p>
    <w:p>
      <w:pPr>
        <w:spacing w:after="0" w:line="170"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12.2 Indemnification by Amgen. </w:t>
      </w:r>
      <w:r>
        <w:rPr>
          <w:rFonts w:ascii="Times New Roman" w:cs="Times New Roman" w:eastAsia="Times New Roman" w:hAnsi="Times New Roman"/>
          <w:sz w:val="22"/>
          <w:szCs w:val="22"/>
          <w:color w:val="auto"/>
        </w:rPr>
        <w:t>Amgen shall defend, indemnify, and hold Arrowhead and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officers, directors, employees, and agents (the “</w:t>
      </w:r>
      <w:r>
        <w:rPr>
          <w:rFonts w:ascii="Times New Roman" w:cs="Times New Roman" w:eastAsia="Times New Roman" w:hAnsi="Times New Roman"/>
          <w:sz w:val="22"/>
          <w:szCs w:val="22"/>
          <w:b w:val="1"/>
          <w:bCs w:val="1"/>
          <w:color w:val="auto"/>
        </w:rPr>
        <w:t>Arrowhead Indemnitees</w:t>
      </w:r>
      <w:r>
        <w:rPr>
          <w:rFonts w:ascii="Times New Roman" w:cs="Times New Roman" w:eastAsia="Times New Roman" w:hAnsi="Times New Roman"/>
          <w:sz w:val="22"/>
          <w:szCs w:val="22"/>
          <w:color w:val="auto"/>
        </w:rPr>
        <w:t>”) harmless from and against any and all Claims to the extent that such Claims arise out of, are based on, or result from (a) the Development, Manufacture or Commercialization of Licensed Compounds or the Licensed Products by or on behalf of Amgen or its Affiliates or Sublicensees, including Claims based upon product liability and patent infringement, (b) the breach of any of Amgen’s obligations under this Agreement, including Amgen’s representations, warranties, and covenants set forth herein, (c) the willful misconduct or negligent acts of Amgen or its Affiliates in performing under this Agreement, or (d) the infringement of any Third Party Patent or misappropriation of any Third Party Information, to the extent that such infringement or misappropriation is attributable directly to any Collaboration Target (including any use thereof) as a result of Arrowhead or any of its Affiliates performing activities in accordance with Amgen’s direction pursuant to the Research Program (it being understood that the foregoing clause (d) shall only apply to the extent Amgen dictates a particular way to perform the activities or the activities are performed in a customary manner and without knowledge of any infringement or misappropriation by Arrowhead and its Affiliates). The foregoing indemnity obligation shall not apply to the extent that (i) the Arrowhead Indemnitees fail to comply with the indemnification procedures set forth in Section 12.3 and Amgen’s defense of the relevant Claims is actually prejudiced by such failure, or (ii) any Claim arises from, is based on, or results from any activity set forth in Section 12.1(b) or 12.1(c) for which Arrowhead is obligated to indemnify the Amgen Indemnitees under Section 12.1.</w:t>
      </w:r>
    </w:p>
    <w:p>
      <w:pPr>
        <w:spacing w:after="0" w:line="176"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12.3 Indemnification Procedures. </w:t>
      </w:r>
      <w:r>
        <w:rPr>
          <w:rFonts w:ascii="Times New Roman" w:cs="Times New Roman" w:eastAsia="Times New Roman" w:hAnsi="Times New Roman"/>
          <w:sz w:val="22"/>
          <w:szCs w:val="22"/>
          <w:color w:val="auto"/>
        </w:rPr>
        <w:t>The Party claiming indemnity under this Article 12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give written notice to the Party from whom indemnity is being sought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promptly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learning of such Claim. The Indemnified Party shall provide the Indemnifying Party with reasonable assistance, at the Indemnifying Party’s expense, in connection with the defense of the Claim for which indemnity is being sought and, if the Indemnifying Party has failed to assume defense of such Claim and the Indemnified Party has assumed and is conducting the defense of the Claim, the Indemnifying Party shall provide the Indemnified Party with reasonable assistance, at the Indemnifying Party’s expense, in connection with the defense of the Claim for which the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conditioned or delayed. For clarity, the Indemnified Party may freely withhold its consent to a settlement of a claim with respect to Claims if (i) such settlement does not include a complete release from liability of the Indemnified Party or if such settlement would involve undertaking an obligation (including the payment of money by an Indemnified Party), (ii) would bind or impair the Indemnified Party or (iii) includes any admission of wrongdoing or that any intellectual property or proprietary right of the Indemnified Party or this Agreement is invalid, narrowed in scope or unenforceable. So long as the Indemnifying Party is actively defending the Claim in good faith, the Indemnified Party shall not settle or compromise any such Claim without the prior written consent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ind w:left="720" w:hanging="712"/>
        <w:spacing w:after="0"/>
        <w:tabs>
          <w:tab w:leader="none" w:pos="72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2"/>
          <w:szCs w:val="22"/>
          <w:color w:val="auto"/>
        </w:rPr>
        <w:t>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12.</w:t>
      </w:r>
    </w:p>
    <w:p>
      <w:pPr>
        <w:spacing w:after="0" w:line="173"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12.4 Limitation of Liability. </w:t>
      </w:r>
      <w:r>
        <w:rPr>
          <w:rFonts w:ascii="Times New Roman" w:cs="Times New Roman" w:eastAsia="Times New Roman" w:hAnsi="Times New Roman"/>
          <w:sz w:val="22"/>
          <w:szCs w:val="22"/>
          <w:color w:val="auto"/>
        </w:rPr>
        <w:t>NEITHER PARTY SHALL BE LIABLE TO THE OTHER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CONSEQUENTIAL, INCIDENTAL, PUNITIVE, OR INDIRECT DAMAGES ARISING FROM OR RELATING TO ANY BREACH OF THIS AGREEMENT, REGARDLESS OF ANY NOTICE OF THE POSSIBILITY OF SUCH DAMAGES. NOTWITHSTANDING THE FOREGOING, NOTHING IN THIS SECTION 12.4 IS INTENDED TO OR SHALL LIMIT OR RESTRICT THE INDEMNIFICATION RIGHTS OR OBLIGATIONS OF ANY PARTY UNDER SECTION 12.1 OR 12.2 WITH RESPECT TO THIRD PARTY CLAIMS, OR DAMAGES AVAILABLE FOR A PARTY’S BREACH OF CONFIDENTIALITY OBLIGATIONS IN ARTICLE 13 OR ITS OBLIGATIONS IN SECTIONS 3.1 AND 3.3.</w:t>
      </w:r>
    </w:p>
    <w:p>
      <w:pPr>
        <w:spacing w:after="0" w:line="17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 Insurance. </w:t>
      </w:r>
      <w:r>
        <w:rPr>
          <w:rFonts w:ascii="Times New Roman" w:cs="Times New Roman" w:eastAsia="Times New Roman" w:hAnsi="Times New Roman"/>
          <w:sz w:val="22"/>
          <w:szCs w:val="22"/>
          <w:color w:val="auto"/>
        </w:rPr>
        <w:t>Each Party shall procure and maintain insurance (or self-insure sufficiently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materially the same level and type of protection) adequate to cover its obligations hereunder during the Term and consistent with normal business practices of companies similarly situated. It is understood that such insurance shall not be construed to create a limit of either Party’s liability with respect to its indemnification obligations under this Article 12. Each Party shall provide the other Party with written evidence of such insurance upon request.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50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ARTICLE 13</w:t>
            </w:r>
          </w:p>
        </w:tc>
      </w:tr>
      <w:tr>
        <w:trPr>
          <w:trHeight w:val="287"/>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7"/>
              </w:rPr>
              <w:t>CONFIDENTIALITY</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13.1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w w:val="99"/>
              </w:rPr>
              <w:t xml:space="preserve">Confidentiality. </w:t>
            </w:r>
            <w:r>
              <w:rPr>
                <w:rFonts w:ascii="Times New Roman" w:cs="Times New Roman" w:eastAsia="Times New Roman" w:hAnsi="Times New Roman"/>
                <w:sz w:val="22"/>
                <w:szCs w:val="22"/>
                <w:color w:val="auto"/>
                <w:w w:val="99"/>
              </w:rPr>
              <w:t>Each Party agrees that, during the Term and for a period of [***] years thereafter, it</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shall 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Each Party will use at least the same standard of care as it uses to protect proprietary or confidential information of its own (but no less than reasonable care) to ensure that its employees, agents, consultants, contractors and other representatives do not disclose or make any unauthorized use of the Confidential Information of the other Party. Each Party will promptly notify the other upon discovery of any unauthorized use or disclosure of the Confidential Information of the other Party. The foregoing confidentiality and non-use obligations shall not apply to any portion of the other Party’s Confidential Information that:</w:t>
      </w:r>
    </w:p>
    <w:p>
      <w:pPr>
        <w:spacing w:after="0" w:line="175"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was already known to the receiving Party or any of its Affiliates, other than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 disclosure of the disclosing Party or any of its Affiliates, at the time of disclosure by the other Party;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ind w:left="720" w:hanging="712"/>
        <w:spacing w:after="0"/>
        <w:tabs>
          <w:tab w:leader="none" w:pos="72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53"/>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was generally available to the public or otherwise part of the public domain at the</w:t>
            </w:r>
          </w:p>
        </w:tc>
      </w:tr>
      <w:tr>
        <w:trPr>
          <w:trHeight w:val="283"/>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time of its disclosure to the receiving Party;</w:t>
            </w:r>
          </w:p>
        </w:tc>
        <w:tc>
          <w:tcPr>
            <w:tcW w:w="7560" w:type="dxa"/>
            <w:vAlign w:val="bottom"/>
          </w:tcPr>
          <w:p>
            <w:pPr>
              <w:spacing w:after="0"/>
              <w:rPr>
                <w:sz w:val="24"/>
                <w:szCs w:val="24"/>
                <w:color w:val="auto"/>
              </w:rPr>
            </w:pPr>
          </w:p>
        </w:tc>
      </w:tr>
      <w:tr>
        <w:trPr>
          <w:trHeight w:val="420"/>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w:t>
            </w:r>
          </w:p>
        </w:tc>
        <w:tc>
          <w:tcPr>
            <w:tcW w:w="75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becomes generally available to the public or otherwise part of the public domain after</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 disclosure and other than through any act or omission of the receiving Party in breach of this Agreement;</w:t>
            </w:r>
          </w:p>
        </w:tc>
      </w:tr>
      <w:tr>
        <w:trPr>
          <w:trHeight w:val="444"/>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was disclosed to the receiving Party or any of its Affiliates on a non-confidential</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basis by a Third Party who is not known by the Receiving Party after due inquiry to be subject to an obligation of confidentiality to the other Party; or</w:t>
      </w:r>
    </w:p>
    <w:p>
      <w:pPr>
        <w:spacing w:after="0" w:line="175"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was independently discovered or developed by the employees, subcontractors,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or agents of the receiving Party or any of its Affiliates without use of the other Party’s Confidential Information, as evidenced by a contemporaneous writing.</w:t>
      </w:r>
    </w:p>
    <w:p>
      <w:pPr>
        <w:spacing w:after="0" w:line="16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13.2 Authorized Disclosure. </w:t>
      </w:r>
      <w:r>
        <w:rPr>
          <w:rFonts w:ascii="Times New Roman" w:cs="Times New Roman" w:eastAsia="Times New Roman" w:hAnsi="Times New Roman"/>
          <w:sz w:val="22"/>
          <w:szCs w:val="22"/>
          <w:color w:val="auto"/>
        </w:rPr>
        <w:t>Notwithstanding the obligations set forth in Section 13.1, a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 the other Party’s Confidential Information and the terms of this Agreement to the extent:</w:t>
      </w:r>
    </w:p>
    <w:p>
      <w:pPr>
        <w:spacing w:after="0" w:line="150"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such disclosure is reasonably necessary (i) to comply with the requirements of</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Regulatory Authorities with respect to obtaining and maintaining Regulatory Approval of a Licensed Product; or (ii) for prosecuting or defending litigation as contemplated by this Agreement;</w:t>
      </w:r>
    </w:p>
    <w:p>
      <w:pPr>
        <w:spacing w:after="0" w:line="175"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such disclosure is reasonably necessary to its employees, agents,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w:t>
      </w:r>
    </w:p>
    <w:p>
      <w:pPr>
        <w:spacing w:after="0" w:line="172"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such disclosure is reasonably necessary to any bona fide potential or actual investor,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acquirer, merger partner, licensee, sublicensee, or other financial or commercial partner for the sole purpose of evaluating an actual or potential investment, acquisition or other business relationship; provided that in connection with such disclosure, such Party shall inform each disclosee of the confidential nature of such Confidential Information and, in each case, the disclosees are bound by written obligations of confidentiality and non-use consistent with those contained in this Agreement; and provided further, that no financial terms shall be disclosed to any such potential investor, acquirer or partner if it has a competing product to any Licensed Compound or Licensed Product; or</w:t>
      </w:r>
    </w:p>
    <w:p>
      <w:pPr>
        <w:spacing w:after="0" w:line="17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such disclosure is reasonably necessary to comply with applicable Laws,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by applicable security exchanges, court order, administrative subpoena or order.</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the event a Party is required to make a disclosure of the other Party’s Confidential Information pursuant to Section 13.2(a) or 13.2(d), such Party shall promptly notify the other Party of such required disclosure and shall use reasonable efforts to obtain, or to assist the other Party in obtaining, a protective order preventing or limiting the required disclosure.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ind w:left="720" w:hanging="712"/>
        <w:spacing w:after="0"/>
        <w:tabs>
          <w:tab w:leader="none" w:pos="72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27" w:name="page128"/>
    <w:bookmarkEnd w:id="127"/>
    <w:p>
      <w:pPr>
        <w:jc w:val="both"/>
        <w:spacing w:after="0" w:line="258" w:lineRule="auto"/>
        <w:rPr>
          <w:sz w:val="20"/>
          <w:szCs w:val="20"/>
          <w:color w:val="auto"/>
        </w:rPr>
      </w:pPr>
      <w:r>
        <w:rPr>
          <w:rFonts w:ascii="Times New Roman" w:cs="Times New Roman" w:eastAsia="Times New Roman" w:hAnsi="Times New Roman"/>
          <w:sz w:val="22"/>
          <w:szCs w:val="22"/>
          <w:color w:val="auto"/>
        </w:rPr>
        <w:t>Any information disclosed pursuant to Section 13.2(a) through Section 13.2(d) shall still be deemed Confidential Information and subject to the restrictions set forth in this Agreement, including the foregoing provisions of Article 13.</w:t>
      </w:r>
    </w:p>
    <w:p>
      <w:pPr>
        <w:spacing w:after="0" w:line="15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13.3 Technical Publication. </w:t>
      </w:r>
      <w:r>
        <w:rPr>
          <w:rFonts w:ascii="Times New Roman" w:cs="Times New Roman" w:eastAsia="Times New Roman" w:hAnsi="Times New Roman"/>
          <w:sz w:val="21"/>
          <w:szCs w:val="21"/>
          <w:color w:val="auto"/>
        </w:rPr>
        <w:t>During the Term, neither Party may publish peer reviewed manuscripts,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 other forms of public disclosure such as abstracts and presentations, of results of studies carried out under this Agreement, without the opportunity for prior review by the other Party, and subject to this Section 13.3, below, except to the extent required by applicable Laws; provided, however, that Amgen will have the sole right (without Arrowhead’s consent) to publish and make scientific presentations with respect to Licensed Compounds or Licensed Products or make other public disclosures regarding any such Licensed Compounds or Licensed Products, and Arrowhead will not do so without Amgen’s prior written consent, except as required by applicable Law. No publication shall include the other Party’s Confidential Information without the prior written consent of such other Party. A Party seeking publication shall provide the other Party the opportunity to review and comment on any proposed publication (or where a copy of such publication or presentation is not available at such time, a draft or outline of such publication or description of such presentation) that relates to an RNAi Molecule directed to the Collaboration Target or any Licensed Compound or Licensed Product, at least [***] days prior to its intended submission for publication. The other Party shall provide the Party seeking publication with its comments in writing, if any, as promptly as practicable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 days in the event that the other Party can demonstrate reasonable need for such delay, including the preparation and filing of a patent application (or, in the case that a Party has a compelling business justification, for a longer period reasonably selected by that Party). Each Party agrees to acknowledge the contributions of the other Party and its employees in all publications as scientifically appropriate.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3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13.4</w:t>
            </w:r>
          </w:p>
        </w:tc>
        <w:tc>
          <w:tcPr>
            <w:tcW w:w="9120" w:type="dxa"/>
            <w:vAlign w:val="bottom"/>
            <w:gridSpan w:val="3"/>
          </w:tcPr>
          <w:p>
            <w:pPr>
              <w:jc w:val="right"/>
              <w:ind w:right="5580"/>
              <w:spacing w:after="0"/>
              <w:rPr>
                <w:sz w:val="20"/>
                <w:szCs w:val="20"/>
                <w:color w:val="auto"/>
              </w:rPr>
            </w:pPr>
            <w:r>
              <w:rPr>
                <w:rFonts w:ascii="Times New Roman" w:cs="Times New Roman" w:eastAsia="Times New Roman" w:hAnsi="Times New Roman"/>
                <w:sz w:val="22"/>
                <w:szCs w:val="22"/>
                <w:b w:val="1"/>
                <w:bCs w:val="1"/>
                <w:color w:val="auto"/>
              </w:rPr>
              <w:t>Publicity; Terms of this Agreement.</w:t>
            </w:r>
          </w:p>
        </w:tc>
        <w:tc>
          <w:tcPr>
            <w:tcW w:w="0" w:type="dxa"/>
            <w:vAlign w:val="bottom"/>
          </w:tcPr>
          <w:p>
            <w:pPr>
              <w:spacing w:after="0"/>
              <w:rPr>
                <w:sz w:val="1"/>
                <w:szCs w:val="1"/>
                <w:color w:val="auto"/>
              </w:rPr>
            </w:pPr>
          </w:p>
        </w:tc>
      </w:tr>
      <w:tr>
        <w:trPr>
          <w:trHeight w:val="420"/>
        </w:trPr>
        <w:tc>
          <w:tcPr>
            <w:tcW w:w="230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(a)</w:t>
            </w:r>
          </w:p>
        </w:tc>
        <w:tc>
          <w:tcPr>
            <w:tcW w:w="91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The Parties agree that the terms of this Agreement are the Confidential Information of</w:t>
            </w:r>
          </w:p>
        </w:tc>
        <w:tc>
          <w:tcPr>
            <w:tcW w:w="0" w:type="dxa"/>
            <w:vAlign w:val="bottom"/>
          </w:tcPr>
          <w:p>
            <w:pPr>
              <w:spacing w:after="0"/>
              <w:rPr>
                <w:sz w:val="1"/>
                <w:szCs w:val="1"/>
                <w:color w:val="auto"/>
              </w:rPr>
            </w:pPr>
          </w:p>
        </w:tc>
      </w:tr>
      <w:tr>
        <w:trPr>
          <w:trHeight w:val="283"/>
        </w:trPr>
        <w:tc>
          <w:tcPr>
            <w:tcW w:w="1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both Parties, subject to the special authorized disclosure provisions set forth in this Section 13.4.</w:t>
            </w:r>
          </w:p>
        </w:tc>
        <w:tc>
          <w:tcPr>
            <w:tcW w:w="0" w:type="dxa"/>
            <w:vAlign w:val="bottom"/>
          </w:tcPr>
          <w:p>
            <w:pPr>
              <w:spacing w:after="0"/>
              <w:rPr>
                <w:sz w:val="1"/>
                <w:szCs w:val="1"/>
                <w:color w:val="auto"/>
              </w:rPr>
            </w:pPr>
          </w:p>
        </w:tc>
      </w:tr>
      <w:tr>
        <w:trPr>
          <w:trHeight w:val="420"/>
        </w:trPr>
        <w:tc>
          <w:tcPr>
            <w:tcW w:w="230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(b)</w:t>
            </w:r>
          </w:p>
        </w:tc>
        <w:tc>
          <w:tcPr>
            <w:tcW w:w="91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Public announcement of the execution of this Agreement shall be made substantially</w:t>
            </w:r>
          </w:p>
        </w:tc>
        <w:tc>
          <w:tcPr>
            <w:tcW w:w="0" w:type="dxa"/>
            <w:vAlign w:val="bottom"/>
          </w:tcPr>
          <w:p>
            <w:pPr>
              <w:spacing w:after="0"/>
              <w:rPr>
                <w:sz w:val="1"/>
                <w:szCs w:val="1"/>
                <w:color w:val="auto"/>
              </w:rPr>
            </w:pPr>
          </w:p>
        </w:tc>
      </w:tr>
      <w:tr>
        <w:trPr>
          <w:trHeight w:val="230"/>
        </w:trPr>
        <w:tc>
          <w:tcPr>
            <w:tcW w:w="114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in the form of the press release attached hereto as Exhibit F, on or promptly after the Effective Date.</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1760"/>
              <w:spacing w:after="0"/>
              <w:rPr>
                <w:sz w:val="20"/>
                <w:szCs w:val="20"/>
                <w:color w:val="auto"/>
              </w:rPr>
            </w:pPr>
            <w:r>
              <w:rPr>
                <w:rFonts w:ascii="Times New Roman" w:cs="Times New Roman" w:eastAsia="Times New Roman" w:hAnsi="Times New Roman"/>
                <w:sz w:val="22"/>
                <w:szCs w:val="22"/>
                <w:b w:val="1"/>
                <w:bCs w:val="1"/>
                <w:color w:val="auto"/>
              </w:rPr>
              <w:t>(c)</w:t>
            </w:r>
          </w:p>
        </w:tc>
        <w:tc>
          <w:tcPr>
            <w:tcW w:w="2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300" w:type="dxa"/>
            <w:vAlign w:val="bottom"/>
            <w:vMerge w:val="continue"/>
          </w:tcPr>
          <w:p>
            <w:pPr>
              <w:spacing w:after="0"/>
              <w:rPr>
                <w:sz w:val="24"/>
                <w:szCs w:val="24"/>
                <w:color w:val="auto"/>
              </w:rPr>
            </w:pPr>
          </w:p>
        </w:tc>
        <w:tc>
          <w:tcPr>
            <w:tcW w:w="91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After release of such press release, if either Party desires to make a public</w:t>
            </w:r>
          </w:p>
        </w:tc>
        <w:tc>
          <w:tcPr>
            <w:tcW w:w="0" w:type="dxa"/>
            <w:vAlign w:val="bottom"/>
          </w:tcPr>
          <w:p>
            <w:pPr>
              <w:spacing w:after="0"/>
              <w:rPr>
                <w:sz w:val="1"/>
                <w:szCs w:val="1"/>
                <w:color w:val="auto"/>
              </w:rPr>
            </w:pP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announcement concerning the terms of this Agreement, such Party shall give reasonable prior advance notice of the proposed text of such announcement to the other Party for its prior review and approval (except as otherwise provided herein). A Party commenting on such a proposed press release shall provide its comments, if any, within [***] after receiving the press release for review. Notwithstanding the foregoing, a Party shall have the right to make a public announcement or press release announcing the achievement of each Regulatory Approval development and regulatory milestone event set forth in Section 9.5 (excluding, for clarity, the Initiation of Phase 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ind w:left="720" w:hanging="712"/>
        <w:spacing w:after="0"/>
        <w:tabs>
          <w:tab w:leader="none" w:pos="7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8" w:name="page129"/>
    <w:bookmarkEnd w:id="128"/>
    <w:p>
      <w:pPr>
        <w:jc w:val="both"/>
        <w:spacing w:after="0" w:line="235" w:lineRule="auto"/>
        <w:rPr>
          <w:sz w:val="20"/>
          <w:szCs w:val="20"/>
          <w:color w:val="auto"/>
        </w:rPr>
      </w:pPr>
      <w:r>
        <w:rPr>
          <w:rFonts w:ascii="Times New Roman" w:cs="Times New Roman" w:eastAsia="Times New Roman" w:hAnsi="Times New Roman"/>
          <w:sz w:val="22"/>
          <w:szCs w:val="22"/>
          <w:color w:val="auto"/>
        </w:rPr>
        <w:t>Clinical Trial milestones) as it is achieved either (i) with the consent of the other Party (not to be unreasonably withheld); (ii) where required by applicable Laws or regulations promulgated by an applicable security exchange; or (iii) as permitted under Section 13.2. Except as provided in this subsection (c) or permitted under Section 13.2, no press release shall include the other Party’s Confidential Information without the prior written consent of such other Party.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13.4, provided such information remains accurate as of such time.</w:t>
      </w:r>
    </w:p>
    <w:p>
      <w:pPr>
        <w:spacing w:after="0" w:line="175"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The Parties acknowledge that either or both Parties may be obligated to file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summaries of the terms hereof with the U.S. Securities and Exchange Commission or other Governmental Authority as reasonably required to comply with applicable Laws or the rules of a nationally-recognized securities exchange. Each Party shall be entitled to make such filings, provided that it requests confidential treatment of the commercial terms, sensitive technical terms and other terms of this Agreement that a Party reasonably deems sensitive or competitive to the extent such confidential treatment is reasonably available to such Party; provided that the foregoing obligation to request confidential treatment shall not apply with respect to any disclosure of this Agreement by either Party to the U.S. Internal Revenue Service or similar Governmental Authority outside the U.S. In the event of any such filing, each Party will provide the other Party with a copy of this Agreement and related filings marked to show provisions for which such Party intends to seek confidential treatment and shall reasonably consider and incorporate the other Party’s comments thereon to the extent consistent with the legal requirements and the rules of any nationally recognized securities exchange, with respect to the filing Party, governing disclosure of material agreements and material information to be publicly filed.</w:t>
      </w:r>
    </w:p>
    <w:p>
      <w:pPr>
        <w:spacing w:after="0" w:line="17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13.5 Equitable Relief. </w:t>
      </w:r>
      <w:r>
        <w:rPr>
          <w:rFonts w:ascii="Times New Roman" w:cs="Times New Roman" w:eastAsia="Times New Roman" w:hAnsi="Times New Roman"/>
          <w:sz w:val="22"/>
          <w:szCs w:val="22"/>
          <w:color w:val="auto"/>
        </w:rPr>
        <w:t>Each Party acknowledges that its breach of this Article 13 may cause irreparable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harm to the other Party, which cannot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Article 13 by the other Party.</w:t>
      </w:r>
    </w:p>
    <w:p>
      <w:pPr>
        <w:spacing w:after="0" w:line="17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13.6 Attorney-Client Privilege</w:t>
      </w:r>
      <w:r>
        <w:rPr>
          <w:rFonts w:ascii="Times New Roman" w:cs="Times New Roman" w:eastAsia="Times New Roman" w:hAnsi="Times New Roman"/>
          <w:sz w:val="22"/>
          <w:szCs w:val="22"/>
          <w:color w:val="auto"/>
        </w:rPr>
        <w:t>. Neither Party is waiving, nor will be deemed to have waived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diminished, any of its 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ind w:left="720" w:hanging="712"/>
        <w:spacing w:after="0"/>
        <w:tabs>
          <w:tab w:leader="none" w:pos="7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9" w:name="page130"/>
    <w:bookmarkEnd w:id="129"/>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4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ARTICLE 14</w:t>
            </w:r>
          </w:p>
        </w:tc>
      </w:tr>
      <w:tr>
        <w:trPr>
          <w:trHeight w:val="287"/>
        </w:trPr>
        <w:tc>
          <w:tcPr>
            <w:tcW w:w="1040" w:type="dxa"/>
            <w:vAlign w:val="bottom"/>
          </w:tcPr>
          <w:p>
            <w:pPr>
              <w:spacing w:after="0"/>
              <w:rPr>
                <w:sz w:val="24"/>
                <w:szCs w:val="24"/>
                <w:color w:val="auto"/>
              </w:rPr>
            </w:pPr>
          </w:p>
        </w:tc>
        <w:tc>
          <w:tcPr>
            <w:tcW w:w="94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TERM AND TERMINATION</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14.1</w:t>
            </w:r>
          </w:p>
        </w:tc>
        <w:tc>
          <w:tcPr>
            <w:tcW w:w="948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shall become effective on the Effective Date and, unless earlier terminated</w:t>
            </w:r>
          </w:p>
        </w:tc>
      </w:tr>
    </w:tbl>
    <w:p>
      <w:pPr>
        <w:spacing w:after="0" w:line="237" w:lineRule="auto"/>
        <w:rPr>
          <w:sz w:val="20"/>
          <w:szCs w:val="20"/>
          <w:color w:val="auto"/>
        </w:rPr>
      </w:pPr>
      <w:r>
        <w:rPr>
          <w:rFonts w:ascii="Times New Roman" w:cs="Times New Roman" w:eastAsia="Times New Roman" w:hAnsi="Times New Roman"/>
          <w:sz w:val="22"/>
          <w:szCs w:val="22"/>
          <w:color w:val="auto"/>
        </w:rPr>
        <w:t>pursuant to this Article 14, shall remain in effect until (a) the expiration of the Option Period (including any extensions thereto), or (b) if Amgen exercises the Option, until the last expiration of the Royalty Term for Licensed Products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14.2 Termination by Amgen</w:t>
      </w:r>
      <w:r>
        <w:rPr>
          <w:rFonts w:ascii="Times New Roman" w:cs="Times New Roman" w:eastAsia="Times New Roman" w:hAnsi="Times New Roman"/>
          <w:sz w:val="22"/>
          <w:szCs w:val="22"/>
          <w:color w:val="auto"/>
        </w:rPr>
        <w:t>. Amgen may terminate this Agreement in its entirety at any time and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for no reason upon delivery of (i) at least [***] prior written notice to Arrowhead if no First Commercial Sale has occurred with respect to a Licensed Product and (ii) at least [***] prior written notice to Arrowhead if First Commercial Sale has occurred with respect to a Licensed Product.</w:t>
      </w:r>
    </w:p>
    <w:p>
      <w:pPr>
        <w:spacing w:after="0" w:line="172"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2"/>
          <w:szCs w:val="22"/>
          <w:b w:val="1"/>
          <w:bCs w:val="1"/>
          <w:color w:val="auto"/>
        </w:rPr>
        <w:t xml:space="preserve">Termination for Breach.  </w:t>
      </w:r>
      <w:r>
        <w:rPr>
          <w:rFonts w:ascii="Times New Roman" w:cs="Times New Roman" w:eastAsia="Times New Roman" w:hAnsi="Times New Roman"/>
          <w:sz w:val="22"/>
          <w:szCs w:val="22"/>
          <w:color w:val="auto"/>
        </w:rPr>
        <w:t>Each Party (the “</w:t>
      </w:r>
      <w:r>
        <w:rPr>
          <w:rFonts w:ascii="Times New Roman" w:cs="Times New Roman" w:eastAsia="Times New Roman" w:hAnsi="Times New Roman"/>
          <w:sz w:val="22"/>
          <w:szCs w:val="22"/>
          <w:b w:val="1"/>
          <w:bCs w:val="1"/>
          <w:color w:val="auto"/>
        </w:rPr>
        <w:t>Non-Breaching Party</w:t>
      </w:r>
      <w:r>
        <w:rPr>
          <w:rFonts w:ascii="Times New Roman" w:cs="Times New Roman" w:eastAsia="Times New Roman" w:hAnsi="Times New Roman"/>
          <w:sz w:val="22"/>
          <w:szCs w:val="22"/>
          <w:color w:val="auto"/>
        </w:rPr>
        <w:t>”) shall have the right, without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prejudice to any other remedies available to it at law or in equity, to terminate this Agreement in its entirety upon written notice to the other Party if the other Party materially breaches its obligations under this Agreement and, after receiving written notice identifying such material breach in reasonable detail, fails to cure such material breach, or if such material breach is not susceptible to cure within the Cure Period, fails to deliver to the Non-Breaching Party a written plan that is reasonably calculated to resolve such material breach, within ninety (90) days from the date of such notice (or within thirty (30) days from the date of such notice in the event such material breach is solely based on the breaching Party’s failure to pay any undisputed amounts due hereunder)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If the Parties reasonably and in good faith disagree as to whether there has been a material breach, the Party that disputes that there has been a material breach may contest the allegation in accordance with Article 15. It is understood and acknowledged that, during the pendency of such a Dispute, the Cure Period shall be extended by the period of time of such pendency, all of the terms and conditions of this Agreement shall remain in effect, and the Parties shall continue to perform all of their respective obligations under this Agreement; provided that for any Dispute over payment, such tolling of the Cure Period will only apply with respect to payment of the disputed amounts and not with respect to any undisputed amounts. Nothing in this Section 14.3 shall limit a Party’s ability to seek remedies available under this Agreement in law or equity.</w:t>
      </w:r>
    </w:p>
    <w:p>
      <w:pPr>
        <w:spacing w:after="0" w:line="183"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14.4 Termination for Patent Challenge. </w:t>
      </w:r>
      <w:r>
        <w:rPr>
          <w:rFonts w:ascii="Times New Roman" w:cs="Times New Roman" w:eastAsia="Times New Roman" w:hAnsi="Times New Roman"/>
          <w:sz w:val="22"/>
          <w:szCs w:val="22"/>
          <w:color w:val="auto"/>
        </w:rPr>
        <w:t>Arrowhead may terminate this Agreement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upon written notice to Amgen if (i) Amgen or its Affiliates (directly or indirectly) challenges the validity, enforceability or scope of any Arrowhead Patent anywhere in the world or (ii) any Sublicensee (directly or indirectly) challenges the validity, enforceability or scope of any Arrowhead Patent anywhere in the world and (A) Amgen does not cause such Sublicensee to withdraw such action or (B) Amgen does not initiate termination of the sublicense agreement with such Sublicensee, in each case, within ten (10) days of Amgen receiving from Arrowhead written notice of any such action being taken by such Sublicensee. Notwithstanding the foregoing, Arrowhead shall have no such right to terminate this Agreement in the case of (I) Amgen’s or any of its Affiliates’ good faith assertion that (x) any Invention claimed by a Patent filed by or on behalf of Arrowhead as an Arrowhead Patent was an Invention of Amgen or a Joint Invention or (y) any Invention claimed by a Joint Patent filed by or on behalf of Arrowhead as a Joint Patent was an Invention of Amgen; (II) Amgen’s or any of its Affiliates’ good faith assertion,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ind w:left="720" w:hanging="712"/>
        <w:spacing w:after="0"/>
        <w:tabs>
          <w:tab w:leader="none" w:pos="72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jc w:val="both"/>
        <w:spacing w:after="0" w:line="236" w:lineRule="auto"/>
        <w:rPr>
          <w:sz w:val="20"/>
          <w:szCs w:val="20"/>
          <w:color w:val="auto"/>
        </w:rPr>
      </w:pPr>
      <w:r>
        <w:rPr>
          <w:rFonts w:ascii="Times New Roman" w:cs="Times New Roman" w:eastAsia="Times New Roman" w:hAnsi="Times New Roman"/>
          <w:sz w:val="22"/>
          <w:szCs w:val="22"/>
          <w:color w:val="auto"/>
        </w:rPr>
        <w:t>in the context of whether a payment of royalties is due to Arrowhead, that no Valid Claim within the Arrowhead Patents licensed from Third Parties applies with respect to a Licensed Product; (III) any claim made by Amgen or any of its Affiliates or Sublicensees as a defense in any lawsuit or administrative proceeding brought by Arrowhead; or (IV) any lawsuit, reexamination proceeding or opposition brought by Amgen or any of its Affiliates or Sublicensees challenging the validity or enforceability of any claim within an issued Arrowhead Patent that does not claim the Arrowhead Licensed Technology that is licensed to Amgen under 4.4 to exploit Licensed Compounds or Licensed Products.</w:t>
      </w:r>
    </w:p>
    <w:p>
      <w:pPr>
        <w:sectPr>
          <w:pgSz w:w="11900" w:h="16838" w:orient="portrait"/>
          <w:cols w:equalWidth="0" w:num="1">
            <w:col w:w="11420"/>
          </w:cols>
          <w:pgMar w:left="240" w:top="531" w:right="239" w:bottom="1440" w:gutter="0" w:footer="0" w:header="0"/>
        </w:sectPr>
      </w:pP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14.5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Consequences of Termination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40" w:space="720"/>
            <w:col w:w="8860"/>
          </w:cols>
          <w:pgMar w:left="240" w:top="531" w:right="239" w:bottom="1440" w:gutter="0" w:footer="0" w:header="0"/>
          <w:type w:val="continuous"/>
        </w:sectPr>
      </w:pPr>
    </w:p>
    <w:p>
      <w:pPr>
        <w:spacing w:after="0" w:line="18"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Upon any termination of this Agreement pursuant to Section 14.2, 14.3, or 14.4,</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except as otherwise set forth in Section 14.6 and 9.7(b), all licenses and rights granted by either Party under this Agreement shall terminate.</w:t>
      </w:r>
    </w:p>
    <w:p>
      <w:pPr>
        <w:spacing w:after="0" w:line="174"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Upon any termination of this Agreement by Amgen pursuant to Section 14.2,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 to the consequences provided elsewhere in this Agreement, the provisions of Section 4.8 shall apply as if such termination was the expiration of the Option Term. Upon any termination of this Agreement by Amgen pursuant to and in accordance with Section 14.3 for breach by Arrowhead, the provisions of Section 4.8 following such termination shall not apply.</w:t>
      </w:r>
    </w:p>
    <w:p>
      <w:pPr>
        <w:spacing w:after="0" w:line="172"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14.6 Survival. </w:t>
      </w:r>
      <w:r>
        <w:rPr>
          <w:rFonts w:ascii="Times New Roman" w:cs="Times New Roman" w:eastAsia="Times New Roman" w:hAnsi="Times New Roman"/>
          <w:sz w:val="22"/>
          <w:szCs w:val="22"/>
          <w:color w:val="auto"/>
        </w:rPr>
        <w:t>Termination or expiration of this Agreement shall not affect any liabilities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that have accrued prior to the date of termination or expiration. Notwithstanding anything to the contrary, the following provisions shall survive any expiration or termination of this Agreement: Article 1, Article 12, Article 13, (for the period set forth in Section 13.1), and Article 16 (except for Section 16.6(b) and 16.6(c)) and Sections 2.7, 2.9, 2.11, 3.1, 3.3, 3.4, 9.5, 9.6, 9.7, 9.9, 9.10 (each such listed section in Article 9 to the extent applicable to payments for milestone events or sales of Licensed Products that occurred prior to the effective date of such termination or expiration and payable by Amgen under Article 9), 10.1, 11.5, 14.5 (as applicable), 14.6, and 14.7.</w:t>
      </w:r>
    </w:p>
    <w:p>
      <w:pPr>
        <w:spacing w:after="0" w:line="17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14.7 No Limitation on Remedies. </w:t>
      </w:r>
      <w:r>
        <w:rPr>
          <w:rFonts w:ascii="Times New Roman" w:cs="Times New Roman" w:eastAsia="Times New Roman" w:hAnsi="Times New Roman"/>
          <w:sz w:val="22"/>
          <w:szCs w:val="22"/>
          <w:color w:val="auto"/>
        </w:rPr>
        <w:t>Notwithstanding anything to the contrary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or expiration of this Agreement shall not relieve the Parties of any liability or obligation which accrued hereunder prior to the effective date of such termination or expiration nor prejudice either Party’s right to obtain performance of any obligation. Subject to the terms and conditions of this Agreement, each Party shall be free to seek (without restriction as to the number of times it may seek) damages, costs and remedies that may be available at Law or in equity and shall be entitled to offset the amount of any damages and costs obtained in a final, non-appealable judgment (or judgment from which no appeal was taken within the allowable time period) of monetary damages or costs (as permitted by this Agreement) against the other Party against any amounts otherwise due to such other Party under this Agreement.</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950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ARTICLE 15</w:t>
            </w:r>
          </w:p>
        </w:tc>
      </w:tr>
      <w:tr>
        <w:trPr>
          <w:trHeight w:val="287"/>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8"/>
              </w:rPr>
              <w:t>INITIAL DISPUTE RESOLUTION</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15.1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Disputes.  </w:t>
            </w:r>
            <w:r>
              <w:rPr>
                <w:rFonts w:ascii="Times New Roman" w:cs="Times New Roman" w:eastAsia="Times New Roman" w:hAnsi="Times New Roman"/>
                <w:sz w:val="22"/>
                <w:szCs w:val="22"/>
                <w:color w:val="auto"/>
              </w:rPr>
              <w:t>The Parties recognize that controversies or claims arising out of, relating to or in</w:t>
            </w:r>
          </w:p>
        </w:tc>
      </w:tr>
    </w:tbl>
    <w:p>
      <w:pPr>
        <w:spacing w:after="0"/>
        <w:rPr>
          <w:sz w:val="20"/>
          <w:szCs w:val="20"/>
          <w:color w:val="auto"/>
        </w:rPr>
      </w:pPr>
      <w:r>
        <w:rPr>
          <w:rFonts w:ascii="Times New Roman" w:cs="Times New Roman" w:eastAsia="Times New Roman" w:hAnsi="Times New Roman"/>
          <w:sz w:val="22"/>
          <w:szCs w:val="22"/>
          <w:color w:val="auto"/>
        </w:rPr>
        <w:t>connection with any provision of this Agreement as to certain matters may from time to</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44.</w:t>
      </w:r>
    </w:p>
    <w:p>
      <w:pPr>
        <w:ind w:left="720" w:hanging="712"/>
        <w:spacing w:after="0"/>
        <w:tabs>
          <w:tab w:leader="none" w:pos="72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31" w:name="page132"/>
    <w:bookmarkEnd w:id="131"/>
    <w:p>
      <w:pPr>
        <w:jc w:val="both"/>
        <w:spacing w:after="0" w:line="237" w:lineRule="auto"/>
        <w:rPr>
          <w:sz w:val="20"/>
          <w:szCs w:val="20"/>
          <w:color w:val="auto"/>
        </w:rPr>
      </w:pPr>
      <w:r>
        <w:rPr>
          <w:rFonts w:ascii="Times New Roman" w:cs="Times New Roman" w:eastAsia="Times New Roman" w:hAnsi="Times New Roman"/>
          <w:sz w:val="22"/>
          <w:szCs w:val="22"/>
          <w:color w:val="auto"/>
        </w:rPr>
        <w:t>time arise that relate to either Party’s rights or obligations hereunder (collectively, “</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It is the objective of the Parties to establish procedures to facilitate the resolution of Disputes in an expedient manner by mutual cooperation. Accordingly, with respect to all Disputes, including any alleged breach under this Agreement or any issue relating to the interpretation or application of this Agreement, if the Parties are unable to resolve such Dispute within [***] after such Dispute is first identified by either Party in writing to the other, the Parties shall refer such Dispute to the Executive Officers of the Parties for attempted resolution by good faith negotiations prior to commencing litigation in accordance with Section 16.1.</w:t>
      </w:r>
    </w:p>
    <w:p>
      <w:pPr>
        <w:spacing w:after="0" w:line="17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15.2 Preliminary Injunctions. </w:t>
      </w:r>
      <w:r>
        <w:rPr>
          <w:rFonts w:ascii="Times New Roman" w:cs="Times New Roman" w:eastAsia="Times New Roman" w:hAnsi="Times New Roman"/>
          <w:sz w:val="22"/>
          <w:szCs w:val="22"/>
          <w:color w:val="auto"/>
        </w:rPr>
        <w:t>Notwithstanding anything in this Agreement to the contrary, a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any time, seek a temporary restraining order or a preliminary injunction from any court of competent jurisdiction in order to prevent immediate and irreparable injury, loss, or damage on a provisional basis.</w:t>
      </w:r>
    </w:p>
    <w:p>
      <w:pPr>
        <w:spacing w:after="0" w:line="167" w:lineRule="exact"/>
        <w:rPr>
          <w:sz w:val="20"/>
          <w:szCs w:val="20"/>
          <w:color w:val="auto"/>
        </w:rPr>
      </w:pPr>
    </w:p>
    <w:p>
      <w:pPr>
        <w:jc w:val="both"/>
        <w:ind w:firstLine="877"/>
        <w:spacing w:after="0"/>
        <w:rPr>
          <w:sz w:val="20"/>
          <w:szCs w:val="20"/>
          <w:color w:val="auto"/>
        </w:rPr>
      </w:pPr>
      <w:r>
        <w:rPr>
          <w:rFonts w:ascii="Times New Roman" w:cs="Times New Roman" w:eastAsia="Times New Roman" w:hAnsi="Times New Roman"/>
          <w:sz w:val="22"/>
          <w:szCs w:val="22"/>
          <w:b w:val="1"/>
          <w:bCs w:val="1"/>
          <w:color w:val="auto"/>
        </w:rPr>
        <w:t xml:space="preserve">15.3 Patent Disputes. </w:t>
      </w:r>
      <w:r>
        <w:rPr>
          <w:rFonts w:ascii="Times New Roman" w:cs="Times New Roman" w:eastAsia="Times New Roman" w:hAnsi="Times New Roman"/>
          <w:sz w:val="22"/>
          <w:szCs w:val="22"/>
          <w:color w:val="auto"/>
        </w:rPr>
        <w:t>Notwithstanding anything in this Agreement to the contrary, any and all issues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validity and enforceability of any patent in a country within the Territory shall be determined in a court or other tribunal, as the case may be, of competent jurisdiction under the applicable patent laws of such country, except as to any issue that depends on the validity, scope or enforceability of any Joint Inventions, which shall be determined in accordance with U.S. federal law.</w:t>
      </w:r>
    </w:p>
    <w:p>
      <w:pPr>
        <w:spacing w:after="0" w:line="200" w:lineRule="exact"/>
        <w:rPr>
          <w:sz w:val="20"/>
          <w:szCs w:val="20"/>
          <w:color w:val="auto"/>
        </w:rPr>
      </w:pPr>
    </w:p>
    <w:p>
      <w:pPr>
        <w:spacing w:after="0" w:line="210"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50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ARTICLE 16</w:t>
            </w:r>
          </w:p>
        </w:tc>
      </w:tr>
      <w:tr>
        <w:trPr>
          <w:trHeight w:val="287"/>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8"/>
              </w:rPr>
              <w:t>MISCELLANEOUS</w:t>
            </w:r>
          </w:p>
        </w:tc>
      </w:tr>
      <w:tr>
        <w:trPr>
          <w:trHeight w:val="444"/>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16.1</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English Language; Governing Law; Jurisdiction</w:t>
            </w:r>
            <w:r>
              <w:rPr>
                <w:rFonts w:ascii="Times New Roman" w:cs="Times New Roman" w:eastAsia="Times New Roman" w:hAnsi="Times New Roman"/>
                <w:sz w:val="22"/>
                <w:szCs w:val="22"/>
                <w:color w:val="auto"/>
              </w:rPr>
              <w:t>.  This Agreement was prepared in the English</w:t>
            </w:r>
          </w:p>
        </w:tc>
      </w:tr>
    </w:tbl>
    <w:p>
      <w:pPr>
        <w:jc w:val="both"/>
        <w:spacing w:after="0" w:line="231" w:lineRule="auto"/>
        <w:rPr>
          <w:sz w:val="20"/>
          <w:szCs w:val="20"/>
          <w:color w:val="auto"/>
        </w:rPr>
      </w:pPr>
      <w:r>
        <w:rPr>
          <w:rFonts w:ascii="Times New Roman" w:cs="Times New Roman" w:eastAsia="Times New Roman" w:hAnsi="Times New Roman"/>
          <w:sz w:val="22"/>
          <w:szCs w:val="22"/>
          <w:color w:val="auto"/>
        </w:rPr>
        <w:t>language, which language shall govern the interpretation of, and any dispute regarding, the terms of this Agreement. This Agreement and all disputes arising out of or related to this Agreement or any breach hereof shall be governed by and construed under the laws of the State of New York, U.S., without giving effect to any choice of law principles that would require the application of the laws of a different jurisdiction. Each of the Parties hereby irrevocably and unconditionally consents to submit to the exclusive jurisdiction of the federal and state courts located in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federal and state courts located in the City and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w:t>
      </w:r>
    </w:p>
    <w:p>
      <w:pPr>
        <w:spacing w:after="0" w:line="18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16.2 Entire Agreement; Amendment</w:t>
      </w:r>
      <w:r>
        <w:rPr>
          <w:rFonts w:ascii="Times New Roman" w:cs="Times New Roman" w:eastAsia="Times New Roman" w:hAnsi="Times New Roman"/>
          <w:sz w:val="22"/>
          <w:szCs w:val="22"/>
          <w:color w:val="auto"/>
        </w:rPr>
        <w:t>. This Agreement, including the Exhibits hereto, and the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set forth the complete, final and 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between the Parties with respect to the subject matter hereof, including the Confidentiality Agreement. No subsequent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ind w:left="720" w:hanging="712"/>
        <w:spacing w:after="0"/>
        <w:tabs>
          <w:tab w:leader="none" w:pos="7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32" w:name="page133"/>
    <w:bookmarkEnd w:id="13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alteration, amendment, change or addition to this Agreement shall be binding upon the Parties unless reduced to writing and signed by an authorized officer of each Party.</w:t>
      </w:r>
    </w:p>
    <w:p>
      <w:pPr>
        <w:spacing w:after="0" w:line="15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16.3 Force Majeure</w:t>
      </w:r>
      <w:r>
        <w:rPr>
          <w:rFonts w:ascii="Times New Roman" w:cs="Times New Roman" w:eastAsia="Times New Roman" w:hAnsi="Times New Roman"/>
          <w:sz w:val="22"/>
          <w:szCs w:val="22"/>
          <w:color w:val="auto"/>
        </w:rPr>
        <w:t>. Both Parties shall be excused from the performance of their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terrorist act, labor strike or lock-out, epidemic, and fire, earthquake, storm, release of radioactive material into the environment,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175"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16.4 Notices</w:t>
      </w:r>
      <w:r>
        <w:rPr>
          <w:rFonts w:ascii="Times New Roman" w:cs="Times New Roman" w:eastAsia="Times New Roman" w:hAnsi="Times New Roman"/>
          <w:sz w:val="22"/>
          <w:szCs w:val="22"/>
          <w:color w:val="auto"/>
        </w:rPr>
        <w:t>. Any notice required or permitted to be given under this Agreement shall be in writing,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specifically refer to this Agreement, and shall be addressed to the appropriate Party at the address specified below or such other address as may be specified by such Party in writing in accordance with this Section 16.4,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ectPr>
          <w:pgSz w:w="11900" w:h="16838" w:orient="portrait"/>
          <w:cols w:equalWidth="0" w:num="1">
            <w:col w:w="11420"/>
          </w:cols>
          <w:pgMar w:left="240" w:top="531" w:right="239" w:bottom="1440" w:gutter="0" w:footer="0" w:header="0"/>
        </w:sectPr>
      </w:pP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Arrowhead: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S. Lake Ave Suite 1050</w:t>
      </w:r>
    </w:p>
    <w:p>
      <w:pPr>
        <w:spacing w:after="0" w:line="230" w:lineRule="auto"/>
        <w:rPr>
          <w:sz w:val="20"/>
          <w:szCs w:val="20"/>
          <w:color w:val="auto"/>
        </w:rPr>
      </w:pPr>
      <w:r>
        <w:rPr>
          <w:rFonts w:ascii="Times New Roman" w:cs="Times New Roman" w:eastAsia="Times New Roman" w:hAnsi="Times New Roman"/>
          <w:sz w:val="22"/>
          <w:szCs w:val="22"/>
          <w:color w:val="auto"/>
        </w:rPr>
        <w:t>Pasadena, CA 91101</w:t>
      </w:r>
    </w:p>
    <w:p>
      <w:pPr>
        <w:spacing w:after="0" w:line="231" w:lineRule="auto"/>
        <w:rPr>
          <w:sz w:val="20"/>
          <w:szCs w:val="20"/>
          <w:color w:val="auto"/>
        </w:rPr>
      </w:pPr>
      <w:r>
        <w:rPr>
          <w:rFonts w:ascii="Times New Roman" w:cs="Times New Roman" w:eastAsia="Times New Roman" w:hAnsi="Times New Roman"/>
          <w:sz w:val="22"/>
          <w:szCs w:val="22"/>
          <w:color w:val="auto"/>
        </w:rPr>
        <w:t>Attn: General Counsel</w:t>
      </w:r>
    </w:p>
    <w:p>
      <w:pPr>
        <w:spacing w:after="0"/>
        <w:rPr>
          <w:sz w:val="20"/>
          <w:szCs w:val="20"/>
          <w:color w:val="auto"/>
        </w:rPr>
      </w:pPr>
      <w:r>
        <w:rPr>
          <w:rFonts w:ascii="Times New Roman" w:cs="Times New Roman" w:eastAsia="Times New Roman" w:hAnsi="Times New Roman"/>
          <w:sz w:val="22"/>
          <w:szCs w:val="22"/>
          <w:color w:val="auto"/>
        </w:rPr>
        <w:t>Facsimile: (626) 304-3401</w:t>
      </w:r>
    </w:p>
    <w:p>
      <w:pPr>
        <w:spacing w:after="0" w:line="182" w:lineRule="exact"/>
        <w:rPr>
          <w:sz w:val="20"/>
          <w:szCs w:val="20"/>
          <w:color w:val="auto"/>
        </w:rPr>
      </w:pPr>
    </w:p>
    <w:p>
      <w:pPr>
        <w:sectPr>
          <w:pgSz w:w="11900" w:h="16838" w:orient="portrait"/>
          <w:cols w:equalWidth="0" w:num="2">
            <w:col w:w="3460" w:space="720"/>
            <w:col w:w="7240"/>
          </w:cols>
          <w:pgMar w:left="240" w:top="531" w:right="2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780" w:type="dxa"/>
            <w:vAlign w:val="bottom"/>
          </w:tcPr>
          <w:p>
            <w:pPr>
              <w:spacing w:after="0"/>
              <w:rPr>
                <w:sz w:val="21"/>
                <w:szCs w:val="21"/>
                <w:color w:val="auto"/>
              </w:rPr>
            </w:pPr>
          </w:p>
        </w:tc>
        <w:tc>
          <w:tcPr>
            <w:tcW w:w="34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Gibson, Dunn &amp; Crutcher LLP</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555 Mission Street, Suite 3000</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San Francisco, California 94105</w:t>
            </w:r>
          </w:p>
        </w:tc>
        <w:tc>
          <w:tcPr>
            <w:tcW w:w="0" w:type="dxa"/>
            <w:vAlign w:val="bottom"/>
          </w:tcPr>
          <w:p>
            <w:pPr>
              <w:spacing w:after="0"/>
              <w:rPr>
                <w:sz w:val="1"/>
                <w:szCs w:val="1"/>
                <w:color w:val="auto"/>
              </w:rPr>
            </w:pPr>
          </w:p>
        </w:tc>
      </w:tr>
      <w:tr>
        <w:trPr>
          <w:trHeight w:val="283"/>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Facsimile: (415) 374-8430</w:t>
            </w:r>
          </w:p>
        </w:tc>
        <w:tc>
          <w:tcPr>
            <w:tcW w:w="34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Attn: Ryan A. Murr</w:t>
            </w:r>
          </w:p>
        </w:tc>
        <w:tc>
          <w:tcPr>
            <w:tcW w:w="0" w:type="dxa"/>
            <w:vAlign w:val="bottom"/>
          </w:tcPr>
          <w:p>
            <w:pPr>
              <w:spacing w:after="0"/>
              <w:rPr>
                <w:sz w:val="1"/>
                <w:szCs w:val="1"/>
                <w:color w:val="auto"/>
              </w:rPr>
            </w:pPr>
          </w:p>
        </w:tc>
      </w:tr>
      <w:tr>
        <w:trPr>
          <w:trHeight w:val="243"/>
        </w:trPr>
        <w:tc>
          <w:tcPr>
            <w:tcW w:w="2780" w:type="dxa"/>
            <w:vAlign w:val="bottom"/>
            <w:vMerge w:val="continue"/>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If to Amgen:</w:t>
            </w:r>
          </w:p>
        </w:tc>
        <w:tc>
          <w:tcPr>
            <w:tcW w:w="3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Amgen Inc.</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One Amgen Center Drive</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7"/>
              </w:rPr>
              <w:t>Thousand Oaks, California 91320</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Attention: Corporate Secretary</w:t>
            </w:r>
          </w:p>
        </w:tc>
        <w:tc>
          <w:tcPr>
            <w:tcW w:w="0" w:type="dxa"/>
            <w:vAlign w:val="bottom"/>
          </w:tcPr>
          <w:p>
            <w:pPr>
              <w:spacing w:after="0"/>
              <w:rPr>
                <w:sz w:val="1"/>
                <w:szCs w:val="1"/>
                <w:color w:val="auto"/>
              </w:rPr>
            </w:pPr>
          </w:p>
        </w:tc>
      </w:tr>
      <w:tr>
        <w:trPr>
          <w:trHeight w:val="283"/>
        </w:trPr>
        <w:tc>
          <w:tcPr>
            <w:tcW w:w="2780" w:type="dxa"/>
            <w:vAlign w:val="bottom"/>
          </w:tcPr>
          <w:p>
            <w:pPr>
              <w:spacing w:after="0"/>
              <w:rPr>
                <w:sz w:val="24"/>
                <w:szCs w:val="24"/>
                <w:color w:val="auto"/>
              </w:rPr>
            </w:pPr>
          </w:p>
        </w:tc>
        <w:tc>
          <w:tcPr>
            <w:tcW w:w="34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Facsimile: (805) 499-6751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ind w:left="720" w:hanging="712"/>
        <w:spacing w:after="0"/>
        <w:tabs>
          <w:tab w:leader="none" w:pos="72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33" w:name="page134"/>
    <w:bookmarkEnd w:id="133"/>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Amgen Inc.</w:t>
            </w:r>
          </w:p>
        </w:tc>
      </w:tr>
      <w:tr>
        <w:trPr>
          <w:trHeight w:val="243"/>
        </w:trPr>
        <w:tc>
          <w:tcPr>
            <w:tcW w:w="1040" w:type="dxa"/>
            <w:vAlign w:val="bottom"/>
          </w:tcPr>
          <w:p>
            <w:pPr>
              <w:spacing w:after="0"/>
              <w:rPr>
                <w:sz w:val="21"/>
                <w:szCs w:val="21"/>
                <w:color w:val="auto"/>
              </w:rPr>
            </w:pPr>
          </w:p>
        </w:tc>
        <w:tc>
          <w:tcPr>
            <w:tcW w:w="9500" w:type="dxa"/>
            <w:vAlign w:val="bottom"/>
          </w:tcPr>
          <w:p>
            <w:pPr>
              <w:ind w:left="2260"/>
              <w:spacing w:after="0" w:line="243" w:lineRule="exact"/>
              <w:rPr>
                <w:sz w:val="20"/>
                <w:szCs w:val="20"/>
                <w:color w:val="auto"/>
              </w:rPr>
            </w:pPr>
            <w:r>
              <w:rPr>
                <w:rFonts w:ascii="Times New Roman" w:cs="Times New Roman" w:eastAsia="Times New Roman" w:hAnsi="Times New Roman"/>
                <w:sz w:val="22"/>
                <w:szCs w:val="22"/>
                <w:color w:val="auto"/>
              </w:rPr>
              <w:t>One Amgen Center Drive</w:t>
            </w:r>
          </w:p>
        </w:tc>
      </w:tr>
      <w:tr>
        <w:trPr>
          <w:trHeight w:val="243"/>
        </w:trPr>
        <w:tc>
          <w:tcPr>
            <w:tcW w:w="1040" w:type="dxa"/>
            <w:vAlign w:val="bottom"/>
          </w:tcPr>
          <w:p>
            <w:pPr>
              <w:spacing w:after="0"/>
              <w:rPr>
                <w:sz w:val="21"/>
                <w:szCs w:val="21"/>
                <w:color w:val="auto"/>
              </w:rPr>
            </w:pPr>
          </w:p>
        </w:tc>
        <w:tc>
          <w:tcPr>
            <w:tcW w:w="9500" w:type="dxa"/>
            <w:vAlign w:val="bottom"/>
          </w:tcPr>
          <w:p>
            <w:pPr>
              <w:ind w:left="2260"/>
              <w:spacing w:after="0" w:line="243" w:lineRule="exact"/>
              <w:rPr>
                <w:sz w:val="20"/>
                <w:szCs w:val="20"/>
                <w:color w:val="auto"/>
              </w:rPr>
            </w:pPr>
            <w:r>
              <w:rPr>
                <w:rFonts w:ascii="Times New Roman" w:cs="Times New Roman" w:eastAsia="Times New Roman" w:hAnsi="Times New Roman"/>
                <w:sz w:val="22"/>
                <w:szCs w:val="22"/>
                <w:color w:val="auto"/>
              </w:rPr>
              <w:t>Thousand Oaks, California 91320</w:t>
            </w:r>
          </w:p>
        </w:tc>
      </w:tr>
      <w:tr>
        <w:trPr>
          <w:trHeight w:val="243"/>
        </w:trPr>
        <w:tc>
          <w:tcPr>
            <w:tcW w:w="1040" w:type="dxa"/>
            <w:vAlign w:val="bottom"/>
          </w:tcPr>
          <w:p>
            <w:pPr>
              <w:spacing w:after="0"/>
              <w:rPr>
                <w:sz w:val="21"/>
                <w:szCs w:val="21"/>
                <w:color w:val="auto"/>
              </w:rPr>
            </w:pPr>
          </w:p>
        </w:tc>
        <w:tc>
          <w:tcPr>
            <w:tcW w:w="9500" w:type="dxa"/>
            <w:vAlign w:val="bottom"/>
          </w:tcPr>
          <w:p>
            <w:pPr>
              <w:ind w:left="2260"/>
              <w:spacing w:after="0" w:line="243" w:lineRule="exact"/>
              <w:rPr>
                <w:sz w:val="20"/>
                <w:szCs w:val="20"/>
                <w:color w:val="auto"/>
              </w:rPr>
            </w:pPr>
            <w:r>
              <w:rPr>
                <w:rFonts w:ascii="Times New Roman" w:cs="Times New Roman" w:eastAsia="Times New Roman" w:hAnsi="Times New Roman"/>
                <w:sz w:val="22"/>
                <w:szCs w:val="22"/>
                <w:color w:val="auto"/>
              </w:rPr>
              <w:t>Attention: SVP, Business Development</w:t>
            </w:r>
          </w:p>
        </w:tc>
      </w:tr>
      <w:tr>
        <w:trPr>
          <w:trHeight w:val="283"/>
        </w:trPr>
        <w:tc>
          <w:tcPr>
            <w:tcW w:w="1040" w:type="dxa"/>
            <w:vAlign w:val="bottom"/>
          </w:tcPr>
          <w:p>
            <w:pPr>
              <w:spacing w:after="0"/>
              <w:rPr>
                <w:sz w:val="24"/>
                <w:szCs w:val="24"/>
                <w:color w:val="auto"/>
              </w:rPr>
            </w:pPr>
          </w:p>
        </w:tc>
        <w:tc>
          <w:tcPr>
            <w:tcW w:w="9500" w:type="dxa"/>
            <w:vAlign w:val="bottom"/>
          </w:tcPr>
          <w:p>
            <w:pPr>
              <w:ind w:left="2280"/>
              <w:spacing w:after="0"/>
              <w:rPr>
                <w:sz w:val="20"/>
                <w:szCs w:val="20"/>
                <w:color w:val="auto"/>
              </w:rPr>
            </w:pPr>
            <w:r>
              <w:rPr>
                <w:rFonts w:ascii="Times New Roman" w:cs="Times New Roman" w:eastAsia="Times New Roman" w:hAnsi="Times New Roman"/>
                <w:sz w:val="22"/>
                <w:szCs w:val="22"/>
                <w:color w:val="auto"/>
              </w:rPr>
              <w:t>Facsimile: (805) 499-6751</w:t>
            </w:r>
          </w:p>
        </w:tc>
      </w:tr>
      <w:tr>
        <w:trPr>
          <w:trHeight w:val="471"/>
        </w:trPr>
        <w:tc>
          <w:tcPr>
            <w:tcW w:w="1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w w:val="93"/>
              </w:rPr>
              <w:t>16.5</w:t>
            </w:r>
          </w:p>
        </w:tc>
        <w:tc>
          <w:tcPr>
            <w:tcW w:w="9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No Strict Construction; Headings</w:t>
            </w:r>
            <w:r>
              <w:rPr>
                <w:rFonts w:ascii="Times New Roman" w:cs="Times New Roman" w:eastAsia="Times New Roman" w:hAnsi="Times New Roman"/>
                <w:sz w:val="22"/>
                <w:szCs w:val="22"/>
                <w:color w:val="auto"/>
              </w:rPr>
              <w:t>.  This Agreement has been prepared jointly by the Parties and</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shall not be 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The use of any gender shall be applicable to all genders. The word “or” is used in the inclusive sense (and/or) unless the context dictates otherwise because the subjects of the conjunction are mutually exclusive. The term “including” means “including without limitation,” without limiting the generality of any description preceding such term. The term “shall” means “will”.</w:t>
      </w:r>
    </w:p>
    <w:p>
      <w:pPr>
        <w:sectPr>
          <w:pgSz w:w="11900" w:h="16838" w:orient="portrait"/>
          <w:cols w:equalWidth="0" w:num="1">
            <w:col w:w="11420"/>
          </w:cols>
          <w:pgMar w:left="240" w:top="521" w:right="239" w:bottom="1440" w:gutter="0" w:footer="0" w:header="0"/>
        </w:sectPr>
      </w:pP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16.6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Assignment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40" w:space="720"/>
            <w:col w:w="8860"/>
          </w:cols>
          <w:pgMar w:left="240" w:top="521" w:right="239" w:bottom="1440" w:gutter="0" w:footer="0" w:header="0"/>
          <w:type w:val="continuous"/>
        </w:sectPr>
      </w:pPr>
    </w:p>
    <w:p>
      <w:pPr>
        <w:spacing w:after="0" w:line="18"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Neither Party may assign or transfer this Agreement or any rights or obligations</w:t>
      </w:r>
    </w:p>
    <w:p>
      <w:pPr>
        <w:sectPr>
          <w:pgSz w:w="11900" w:h="16838" w:orient="portrait"/>
          <w:cols w:equalWidth="0" w:num="1">
            <w:col w:w="11420"/>
          </w:cols>
          <w:pgMar w:left="240" w:top="52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hereunder without the prior written consent of the other Party, except that a Party may make such an assignment or transfer without the other Party’s consent (i) to an Affiliate (for so long as such entity remains an Affiliate) or (ii) only of the entire Agreement (not just certain rights or obligations) to a Third Party acquiror or its Affiliate in connection with a Change of Control of such Party (such Third Party, an “</w:t>
      </w:r>
      <w:r>
        <w:rPr>
          <w:rFonts w:ascii="Times New Roman" w:cs="Times New Roman" w:eastAsia="Times New Roman" w:hAnsi="Times New Roman"/>
          <w:sz w:val="22"/>
          <w:szCs w:val="22"/>
          <w:b w:val="1"/>
          <w:bCs w:val="1"/>
          <w:color w:val="auto"/>
        </w:rPr>
        <w:t>Acquiror</w:t>
      </w:r>
      <w:r>
        <w:rPr>
          <w:rFonts w:ascii="Times New Roman" w:cs="Times New Roman" w:eastAsia="Times New Roman" w:hAnsi="Times New Roman"/>
          <w:sz w:val="22"/>
          <w:szCs w:val="22"/>
          <w:color w:val="auto"/>
        </w:rPr>
        <w:t>”). Any successor or assignee of rights or obligations permitted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16.6 shall be null, void and of no legal effect.</w:t>
      </w:r>
    </w:p>
    <w:p>
      <w:pPr>
        <w:spacing w:after="0" w:line="177"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In the event of any such assignment under Section 16.6(a)(ii)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 of Control of Arrowhead, all intellectual property rights (including any Information or Patents) owned or otherwise Controlled by the Acquiror or its Affiliates (except for Arrowhead, if remaining as a separate Affiliate or otherwise the successor entity thereto) shall be excluded from the licenses granted to Amgen under this Agreement and the Arrowhead Research IP and Arrowhead Licensed Technology (including in each case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 Notwithstanding the foregoing, in the case of either of (x) a Change of Control of Arrowhead or (y) the acquisition by Arrowhead of all or substantially all of the business of a Third Party (together with any entities that were Affiliates of such Third Party immediately prior to such acquisition, a </w:t>
      </w:r>
      <w:r>
        <w:rPr>
          <w:rFonts w:ascii="Times New Roman" w:cs="Times New Roman" w:eastAsia="Times New Roman" w:hAnsi="Times New Roman"/>
          <w:sz w:val="22"/>
          <w:szCs w:val="22"/>
          <w:b w:val="1"/>
          <w:bCs w:val="1"/>
          <w:color w:val="auto"/>
        </w:rPr>
        <w:t>“Acquiree”</w:t>
      </w:r>
      <w:r>
        <w:rPr>
          <w:rFonts w:ascii="Times New Roman" w:cs="Times New Roman" w:eastAsia="Times New Roman" w:hAnsi="Times New Roman"/>
          <w:sz w:val="22"/>
          <w:szCs w:val="22"/>
          <w:color w:val="auto"/>
        </w:rPr>
        <w:t xml:space="preserve">), whether by merger, consolidation, divesture, restructure, sale of stock, sale of assets or otherwise (an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to the extent that any Third Party acquirer in such Change of Control or such Acquiree, as applicable, owns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Blocking Patents relative to a Licensed Compound or a Licensed Product, Arrowhead shall and hereby does grant to Amgen a non-exclusive license, for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ind w:left="720" w:hanging="712"/>
        <w:spacing w:after="0"/>
        <w:tabs>
          <w:tab w:leader="none" w:pos="72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type w:val="continuous"/>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1"/>
          <w:szCs w:val="21"/>
          <w:color w:val="auto"/>
        </w:rPr>
        <w:t>no additional consideration (provided, however, that in the event that Arrowhead would be obligated to make any payments to a Third Party in connection with the grant of the foregoing license to any Blocking Patents, then unless Amgen agrees to assume such payment obligations, such license grant will exclude a license under the applicable Blocking Patents), until the expiration of the last to expire of such Blocking Patents, on a country-by-country basis, or termination of this Agreement relative to such Licensed Compound or Licensed Product, whichever comes first, provided that at the time of such transaction contemplated by (x) or (y), such non-exclusive license rights are available for such grant and have not been exclusively licensed to any Third Party.</w:t>
      </w:r>
    </w:p>
    <w:p>
      <w:pPr>
        <w:spacing w:after="0" w:line="167"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In the event of any such assignment under Section 16.6(a)(ii)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of Amgen, all intellectual property rights (including any Information or Patents) owned or otherwise Controlled by the Acquiror or its Affiliates (except for Amgen, if remaining as a separate Affiliate or otherwise the successor entity thereto) shall be excluded from the licenses granted to Arrowhead under this Agreement (including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w:t>
      </w:r>
    </w:p>
    <w:p>
      <w:pPr>
        <w:spacing w:after="0" w:line="176"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16.7 Further Actions</w:t>
      </w:r>
      <w:r>
        <w:rPr>
          <w:rFonts w:ascii="Times New Roman" w:cs="Times New Roman" w:eastAsia="Times New Roman" w:hAnsi="Times New Roman"/>
          <w:sz w:val="22"/>
          <w:szCs w:val="22"/>
          <w:color w:val="auto"/>
        </w:rPr>
        <w:t>. Each Party agrees to execute, acknowledge and deliver such further instruments,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do all such other acts, as may be necessary or appropriate in order to carry out the purposes and intent of this Agreement.</w:t>
      </w:r>
    </w:p>
    <w:p>
      <w:pPr>
        <w:spacing w:after="0" w:line="150"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1"/>
          <w:szCs w:val="21"/>
          <w:b w:val="1"/>
          <w:bCs w:val="1"/>
          <w:color w:val="auto"/>
        </w:rPr>
        <w:t>16.8 Rights in Bankruptcy</w:t>
      </w:r>
      <w:r>
        <w:rPr>
          <w:rFonts w:ascii="Times New Roman" w:cs="Times New Roman" w:eastAsia="Times New Roman" w:hAnsi="Times New Roman"/>
          <w:sz w:val="21"/>
          <w:szCs w:val="21"/>
          <w:color w:val="auto"/>
        </w:rPr>
        <w:t>. All rights and licenses granted under or pursuant to this Agreement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Arrowhead are, and shall otherwise be deemed to be, for purposes of Section 365(n) of the Bankruptcy Code, licenses of rights to "intellectual property" as defined under Section 101 of the Bankruptcy Code. The Parties agree that Amgen, as licensee of such rights under this Agreement, shall retain and may fully exercise all of its rights and elections under the Bankruptcy Code including without limitation Amgen's right to retain all licenses to Arrowhead Licensed Technology granted herein. Without limiting the generality of the foregoing, the Parties intend and agree that any sale of Arrowhead's assets under Section 363 of the Bankruptcy Code shall be subject to Amgen’s rights under Section 365(n), that Amgen cannot be compelled to accept a money satisfaction of its interests in Arrowhead Licensed Technology, and that any such sale therefore may not be made to a purchaser "free and clear" of Amgen's license rights without the consent of Amgen. The Parties further agree that, in the event of the commencement of a bankruptcy proceeding by or against Arrowhead under the Bankruptcy Code, Amgen shall be entitled to a complete duplicate of (or complete access to, as appropriate) any such intellectual property and all embodiments of such intellectual property, and the same, if not already in its possession, shall be promptly delivered to them (i) upon any such commencement of a bankruptcy proceeding upon its written request therefor, unless Arrowhead elects to continue to perform all of its obligations under this Agreement, or</w:t>
      </w:r>
    </w:p>
    <w:p>
      <w:pPr>
        <w:spacing w:after="0" w:line="10" w:lineRule="exact"/>
        <w:rPr>
          <w:sz w:val="20"/>
          <w:szCs w:val="20"/>
          <w:color w:val="auto"/>
        </w:rPr>
      </w:pPr>
    </w:p>
    <w:p>
      <w:pPr>
        <w:jc w:val="both"/>
        <w:ind w:firstLine="8"/>
        <w:spacing w:after="0" w:line="245" w:lineRule="auto"/>
        <w:tabs>
          <w:tab w:leader="none" w:pos="33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not delivered under (i) above, following the rejection of this Agreement by or on behalf of Arrowhead upon written request therefor by Amgen. (The Parties acknowledge and agree that "embodiments" of intellectual property within the meaning of Section 365(n) include without limitation laboratory notebooks, RNAi Molecules, inventory, research studies, data, and regulatory approvals). Additionally, if (a) a case under the Bankruptcy Code is commenced by or against Arrowhead, (b) this Agreement is rejected as provided in the Bankruptcy Code, and (c) Amgen elects to retain its rights hereunder as provided in Section 365(n)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ind w:left="720" w:hanging="712"/>
        <w:spacing w:after="0"/>
        <w:tabs>
          <w:tab w:leader="none" w:pos="72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35" w:name="page136"/>
    <w:bookmarkEnd w:id="135"/>
    <w:p>
      <w:pPr>
        <w:jc w:val="both"/>
        <w:spacing w:after="0" w:line="233" w:lineRule="auto"/>
        <w:rPr>
          <w:sz w:val="20"/>
          <w:szCs w:val="20"/>
          <w:color w:val="auto"/>
        </w:rPr>
      </w:pPr>
      <w:r>
        <w:rPr>
          <w:rFonts w:ascii="Times New Roman" w:cs="Times New Roman" w:eastAsia="Times New Roman" w:hAnsi="Times New Roman"/>
          <w:sz w:val="22"/>
          <w:szCs w:val="22"/>
          <w:color w:val="auto"/>
        </w:rPr>
        <w:t>of the Bankruptcy Code, Arrowhead (in any capacity, including debtor-in-possession) and its successors and assigns (including a trustee) shall not interfere with Amgen's rights under this Agreement to Arrowhead Licensed Technology (including such embodiments), including any right to obtain such Arrowhead Licensed Technology (or such embodiments) from another entity, to the extent provided in Section 365(n) of the Bankruptcy Code. All rights, powers and remedies of Amgen provided herein are in addition to and not in substitution for any and all other rights, powers and remedies now or hereafter existing at law or in equity (including the Bankruptcy Code) in the event of the commencement of a case under the Bankruptcy Code with respect to Arrowhead. The Parties agree that they intend the following rights to extend to the maximum extent permitted by law, and to be enforceable under Section 365(n) of the Bankruptcy Code: (I) the right of access to any Arrowhead Licensed Technology (including all embodiments thereof) of Arrowhead, or any Third Party with whom Arrowhead contracts to perform an obligation of Arrowhead under this Agreement, and, in the case of the Third Party, which is necessary for the development, manufacture, supply, commercialization, sale, import or export of Licensed Compounds or Licensed Products, in any case solely as provided under this Agreement; and (II) the right to contract directly with any Third Party to complete the same.</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16.9 Severability</w:t>
      </w:r>
      <w:r>
        <w:rPr>
          <w:rFonts w:ascii="Times New Roman" w:cs="Times New Roman" w:eastAsia="Times New Roman" w:hAnsi="Times New Roman"/>
          <w:sz w:val="22"/>
          <w:szCs w:val="22"/>
          <w:color w:val="auto"/>
        </w:rPr>
        <w:t>. If any one or more of the provisions of this Agreement is held to be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16.10 No Waiver</w:t>
      </w:r>
      <w:r>
        <w:rPr>
          <w:rFonts w:ascii="Times New Roman" w:cs="Times New Roman" w:eastAsia="Times New Roman" w:hAnsi="Times New Roman"/>
          <w:sz w:val="22"/>
          <w:szCs w:val="22"/>
          <w:color w:val="auto"/>
        </w:rPr>
        <w:t>. Any delay in enforcing a Party’s rights under this Agreement or any waiver as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particular 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200" w:lineRule="exact"/>
        <w:rPr>
          <w:sz w:val="20"/>
          <w:szCs w:val="20"/>
          <w:color w:val="auto"/>
        </w:rPr>
      </w:pPr>
    </w:p>
    <w:p>
      <w:pPr>
        <w:spacing w:after="0" w:line="22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16.11 Independent Contractors</w:t>
      </w:r>
      <w:r>
        <w:rPr>
          <w:rFonts w:ascii="Times New Roman" w:cs="Times New Roman" w:eastAsia="Times New Roman" w:hAnsi="Times New Roman"/>
          <w:sz w:val="22"/>
          <w:szCs w:val="22"/>
          <w:color w:val="auto"/>
        </w:rPr>
        <w:t>. Each Party shall act solely as an independent contractor, and nothing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16.12 No Third Party Beneficiaries</w:t>
      </w:r>
      <w:r>
        <w:rPr>
          <w:rFonts w:ascii="Times New Roman" w:cs="Times New Roman" w:eastAsia="Times New Roman" w:hAnsi="Times New Roman"/>
          <w:sz w:val="22"/>
          <w:szCs w:val="22"/>
          <w:color w:val="auto"/>
        </w:rPr>
        <w:t>. This Agreement is neither expressly nor impliedly made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any party other than the Parties and their successors and permitted assigns, except for the persons expressly entitled to indemnification as provided in Article 12 and only in accordance with the terms of such Article 12</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16.13 Counterparts; Electronic Delivery</w:t>
      </w:r>
      <w:r>
        <w:rPr>
          <w:rFonts w:ascii="Times New Roman" w:cs="Times New Roman" w:eastAsia="Times New Roman" w:hAnsi="Times New Roman"/>
          <w:sz w:val="22"/>
          <w:szCs w:val="22"/>
          <w:color w:val="auto"/>
        </w:rPr>
        <w:t>. This Agreement may be executed in counterparts, by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or PDF signature, each of which shall be deemed an original, but all of which together shall constitute one and the same instrument. Signatures to this Agreement transmitted by facsimile, by email in “portable document format” (“.pdf”), or by 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ind w:left="720" w:hanging="712"/>
        <w:spacing w:after="0"/>
        <w:tabs>
          <w:tab w:leader="none" w:pos="72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36" w:name="page137"/>
    <w:bookmarkEnd w:id="136"/>
    <w:p>
      <w:pPr>
        <w:spacing w:after="0" w:line="258" w:lineRule="auto"/>
        <w:rPr>
          <w:sz w:val="20"/>
          <w:szCs w:val="20"/>
          <w:color w:val="auto"/>
        </w:rPr>
      </w:pPr>
      <w:r>
        <w:rPr>
          <w:rFonts w:ascii="Times New Roman" w:cs="Times New Roman" w:eastAsia="Times New Roman" w:hAnsi="Times New Roman"/>
          <w:sz w:val="22"/>
          <w:szCs w:val="22"/>
          <w:color w:val="auto"/>
        </w:rPr>
        <w:t>other electronic means intended to preserve the original graphic and pictorial appearance of this Agreement shall have the same effect as physical delivery of the paper document bearing original signature.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ind w:left="720" w:hanging="712"/>
        <w:spacing w:after="0"/>
        <w:tabs>
          <w:tab w:leader="none" w:pos="72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37" w:name="page138"/>
    <w:bookmarkEnd w:id="137"/>
    <w:p>
      <w:pPr>
        <w:ind w:left="8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by their duly authorized officers as of the Effective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MGEN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RROWHEAD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By:/S/ David Meline</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By:/S/ Chris Anzalone</w:t>
            </w:r>
          </w:p>
        </w:tc>
      </w:tr>
      <w:tr>
        <w:trPr>
          <w:trHeight w:val="20"/>
        </w:trPr>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0"/>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David Meline</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Name: Chris Anzalone</w:t>
            </w:r>
          </w:p>
        </w:tc>
      </w:tr>
      <w:tr>
        <w:trPr>
          <w:trHeight w:val="567"/>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EVP &amp; CFO</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b w:val="1"/>
          <w:bCs w:val="1"/>
          <w:color w:val="auto"/>
        </w:rPr>
        <w:t>LIST OF EXHIBITS:</w:t>
      </w:r>
    </w:p>
    <w:p>
      <w:pPr>
        <w:spacing w:after="0" w:line="21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Collaboration Target</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Research Plan Outline</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Certain Arrowhead Owned Patents</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Certain Arrowhead Licensed Patents</w:t>
      </w:r>
    </w:p>
    <w:p>
      <w:pPr>
        <w:spacing w:after="0" w:line="20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Third Party License Agreements</w:t>
      </w:r>
    </w:p>
    <w:p>
      <w:pPr>
        <w:spacing w:after="0" w:line="20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Initial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Collaboration Target: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607060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Research Plan Outline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882015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41" w:name="page142"/>
    <w:bookmarkEnd w:id="141"/>
    <w:p>
      <w:pPr>
        <w:jc w:val="center"/>
        <w:ind w:right="-1192"/>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10"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21"/>
          <w:szCs w:val="21"/>
          <w:color w:val="auto"/>
        </w:rPr>
        <w:t>Certain Arrowhead Owned Patents</w:t>
      </w:r>
      <w:r>
        <w:rPr>
          <w:rFonts w:ascii="Times New Roman" w:cs="Times New Roman" w:eastAsia="Times New Roman" w:hAnsi="Times New Roman"/>
          <w:sz w:val="17"/>
          <w:szCs w:val="17"/>
          <w:color w:val="auto"/>
        </w:rPr>
        <w:t>1</w:t>
      </w:r>
    </w:p>
    <w:p>
      <w:pPr>
        <w:spacing w:after="0" w:line="218"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 w:hanging="132"/>
        <w:spacing w:after="0"/>
        <w:tabs>
          <w:tab w:leader="none" w:pos="132"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4490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321945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1"/>
          </w:cols>
          <w:pgMar w:left="248" w:top="324"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Certain Arrowhead Licensed Patents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589915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143" w:name="page144"/>
    <w:bookmarkEnd w:id="143"/>
    <w:p>
      <w:pPr>
        <w:jc w:val="center"/>
        <w:ind w:right="374"/>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10"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22"/>
          <w:szCs w:val="22"/>
          <w:color w:val="auto"/>
        </w:rPr>
        <w:t>Third Party License Agreements</w:t>
      </w:r>
    </w:p>
    <w:p>
      <w:pPr>
        <w:spacing w:after="0" w:line="206" w:lineRule="exact"/>
        <w:rPr>
          <w:sz w:val="20"/>
          <w:szCs w:val="20"/>
          <w:color w:val="auto"/>
        </w:rPr>
      </w:pPr>
    </w:p>
    <w:p>
      <w:pPr>
        <w:ind w:left="446" w:right="580" w:hanging="446"/>
        <w:spacing w:after="0" w:line="258" w:lineRule="auto"/>
        <w:tabs>
          <w:tab w:leader="none" w:pos="44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Purchase and Exclusive License Agreement by and between Arrowhead Research Corporation and Novartis Institute for BioMedical Research, Inc., dated March 3, 2015.</w:t>
      </w:r>
    </w:p>
    <w:p>
      <w:pPr>
        <w:spacing w:after="0" w:line="158" w:lineRule="exact"/>
        <w:rPr>
          <w:rFonts w:ascii="Times New Roman" w:cs="Times New Roman" w:eastAsia="Times New Roman" w:hAnsi="Times New Roman"/>
          <w:sz w:val="22"/>
          <w:szCs w:val="22"/>
          <w:color w:val="auto"/>
        </w:rPr>
      </w:pPr>
    </w:p>
    <w:p>
      <w:pPr>
        <w:ind w:left="446" w:hanging="446"/>
        <w:spacing w:after="0" w:line="258" w:lineRule="auto"/>
        <w:tabs>
          <w:tab w:leader="none" w:pos="44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 Agreement between City of Hope and F. Hoffmann-La Roche Ltd. and Hoffmann-La Roche Inc., dated September 19, 2011.</w:t>
      </w:r>
    </w:p>
    <w:p>
      <w:pPr>
        <w:spacing w:after="0" w:line="158" w:lineRule="exact"/>
        <w:rPr>
          <w:rFonts w:ascii="Times New Roman" w:cs="Times New Roman" w:eastAsia="Times New Roman" w:hAnsi="Times New Roman"/>
          <w:sz w:val="22"/>
          <w:szCs w:val="22"/>
          <w:color w:val="auto"/>
        </w:rPr>
      </w:pPr>
    </w:p>
    <w:p>
      <w:pPr>
        <w:ind w:left="446" w:right="320" w:hanging="446"/>
        <w:spacing w:after="0" w:line="258" w:lineRule="auto"/>
        <w:tabs>
          <w:tab w:leader="none" w:pos="44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 Agreement between Hoffmann-La Roche Inc. and F. Hoffmann-La Roche Ltd. and MDRNA, Inc., dated 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602615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6"/>
          </w:cols>
          <w:pgMar w:left="694" w:top="324" w:right="29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Initial Press Release</w:t>
      </w:r>
    </w:p>
    <w:p>
      <w:pPr>
        <w:sectPr>
          <w:pgSz w:w="11900" w:h="16838" w:orient="portrait"/>
          <w:cols w:equalWidth="0" w:num="1">
            <w:col w:w="9019"/>
          </w:cols>
          <w:pgMar w:left="1440" w:top="324" w:right="1440" w:bottom="1440" w:gutter="0" w:footer="0" w:header="0"/>
        </w:sectPr>
      </w:pPr>
    </w:p>
    <w:bookmarkStart w:id="145" w:name="page146"/>
    <w:bookmarkEnd w:id="145"/>
    <w:p>
      <w:pPr>
        <w:ind w:left="996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124" w:lineRule="exact"/>
        <w:rPr>
          <w:sz w:val="20"/>
          <w:szCs w:val="20"/>
          <w:color w:val="auto"/>
        </w:rPr>
      </w:pPr>
    </w:p>
    <w:p>
      <w:pPr>
        <w:jc w:val="center"/>
        <w:ind w:left="260" w:right="120"/>
        <w:spacing w:after="0" w:line="246" w:lineRule="auto"/>
        <w:rPr>
          <w:sz w:val="20"/>
          <w:szCs w:val="20"/>
          <w:color w:val="auto"/>
        </w:rPr>
      </w:pPr>
      <w:r>
        <w:rPr>
          <w:rFonts w:ascii="Times New Roman" w:cs="Times New Roman" w:eastAsia="Times New Roman" w:hAnsi="Times New Roman"/>
          <w:sz w:val="22"/>
          <w:szCs w:val="22"/>
          <w:b w:val="1"/>
          <w:bCs w:val="1"/>
          <w:color w:val="auto"/>
        </w:rPr>
        <w:t>THE USE OF THE FOLLOWING NOTATION IN THIS EXHIBIT INDICATES THAT A CONFIDENTIAL PORTION HAS BEEN OMITTED PURSUANT TO A REQUEST FOR CONFIDENTIAL TREATMENT AND THE OMITTED MATERIAL HAS BEEN FILED SEPARATELY WITH THE COMMISSION: [***]</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COLLABORATION AND LICENSE AGREEMENT</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September 28, 2016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(a)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MGEN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Amgen</w:t>
      </w:r>
      <w:r>
        <w:rPr>
          <w:rFonts w:ascii="Times New Roman" w:cs="Times New Roman" w:eastAsia="Times New Roman" w:hAnsi="Times New Roman"/>
          <w:sz w:val="22"/>
          <w:szCs w:val="22"/>
          <w:color w:val="auto"/>
        </w:rPr>
        <w:t xml:space="preserve">”) and (b)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RROWHEAD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Arrowhead</w:t>
      </w:r>
      <w:r>
        <w:rPr>
          <w:rFonts w:ascii="Times New Roman" w:cs="Times New Roman" w:eastAsia="Times New Roman" w:hAnsi="Times New Roman"/>
          <w:sz w:val="22"/>
          <w:szCs w:val="22"/>
          <w:color w:val="auto"/>
        </w:rPr>
        <w:t>”). Arrowhead and Amgen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possesses proprietary technology and know-how related to the discovery, identification, synthesis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development of RNA interference (“</w:t>
      </w:r>
      <w:r>
        <w:rPr>
          <w:rFonts w:ascii="Times New Roman" w:cs="Times New Roman" w:eastAsia="Times New Roman" w:hAnsi="Times New Roman"/>
          <w:sz w:val="22"/>
          <w:szCs w:val="22"/>
          <w:b w:val="1"/>
          <w:bCs w:val="1"/>
          <w:color w:val="auto"/>
        </w:rPr>
        <w:t>RNAi</w:t>
      </w:r>
      <w:r>
        <w:rPr>
          <w:rFonts w:ascii="Times New Roman" w:cs="Times New Roman" w:eastAsia="Times New Roman" w:hAnsi="Times New Roman"/>
          <w:sz w:val="22"/>
          <w:szCs w:val="22"/>
          <w:color w:val="auto"/>
        </w:rPr>
        <w:t>”) therapeutics, using a GalNAc liver targeting approach;</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Amgen possesses resources and expertise in the development and commercialization of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 the field of medicine, and is interested in developing RNAi therapeutics as drug candidates in such field;</w:t>
      </w:r>
    </w:p>
    <w:p>
      <w:pPr>
        <w:spacing w:after="0" w:line="15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and Arrowhead desire to engage in a transaction pursuant to which Arrowhead will deliver optimized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drug candidates as part of a specific target program it has developed, and pursuant to which Amgen will obtain an exclusive license from Arrowhead to further develop and commercialize Licensed Products with respect to such target, all on the following terms and conditions; and</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concurrently herewith, the Parties are entering into a Common Stock Purchase Agreement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w:t>
      </w:r>
      <w:r>
        <w:rPr>
          <w:rFonts w:ascii="Times New Roman" w:cs="Times New Roman" w:eastAsia="Times New Roman" w:hAnsi="Times New Roman"/>
          <w:sz w:val="22"/>
          <w:szCs w:val="22"/>
          <w:b w:val="1"/>
          <w:bCs w:val="1"/>
          <w:color w:val="auto"/>
        </w:rPr>
        <w:t>Stock Purchase Agreement</w:t>
      </w:r>
      <w:r>
        <w:rPr>
          <w:rFonts w:ascii="Times New Roman" w:cs="Times New Roman" w:eastAsia="Times New Roman" w:hAnsi="Times New Roman"/>
          <w:sz w:val="22"/>
          <w:szCs w:val="22"/>
          <w:color w:val="auto"/>
        </w:rPr>
        <w:t>”) pursuant to which Amgen agrees to purchase, and Arrowhead agrees to sell, up to $12,500,000 worth of shares of common stock, par value $0.001 per share, of Arrowhead.</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foregoing premises and the mutual covenants and conditions contained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the Parties agree as 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8"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Acquiree</w:t>
      </w:r>
      <w:r>
        <w:rPr>
          <w:rFonts w:ascii="Times New Roman" w:cs="Times New Roman" w:eastAsia="Times New Roman" w:hAnsi="Times New Roman"/>
          <w:sz w:val="21"/>
          <w:szCs w:val="21"/>
          <w:color w:val="auto"/>
        </w:rPr>
        <w:t>” has the meaning set forth in Section 15.6(b).</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Acquiror</w:t>
      </w:r>
      <w:r>
        <w:rPr>
          <w:rFonts w:ascii="Times New Roman" w:cs="Times New Roman" w:eastAsia="Times New Roman" w:hAnsi="Times New Roman"/>
          <w:sz w:val="21"/>
          <w:szCs w:val="21"/>
          <w:color w:val="auto"/>
        </w:rPr>
        <w:t>” has the meaning set forth in Section 15.6(a).</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Acquisition</w:t>
      </w:r>
      <w:r>
        <w:rPr>
          <w:rFonts w:ascii="Times New Roman" w:cs="Times New Roman" w:eastAsia="Times New Roman" w:hAnsi="Times New Roman"/>
          <w:sz w:val="21"/>
          <w:szCs w:val="21"/>
          <w:color w:val="auto"/>
        </w:rPr>
        <w:t>” has the meaning set forth in Section 15.6(b).</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particular Party, a person, corporation, partnership, or other entity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controls, is controlled by or is under common control with such Party. For the purposes of this definition, the word “control” (including, with correlative meaning,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6" w:name="page147"/>
    <w:bookmarkEnd w:id="146"/>
    <w:p>
      <w:pPr>
        <w:jc w:val="both"/>
        <w:spacing w:after="0" w:line="244" w:lineRule="auto"/>
        <w:rPr>
          <w:sz w:val="20"/>
          <w:szCs w:val="20"/>
          <w:color w:val="auto"/>
        </w:rPr>
      </w:pPr>
      <w:r>
        <w:rPr>
          <w:rFonts w:ascii="Times New Roman" w:cs="Times New Roman" w:eastAsia="Times New Roman" w:hAnsi="Times New Roman"/>
          <w:sz w:val="22"/>
          <w:szCs w:val="22"/>
          <w:color w:val="auto"/>
        </w:rPr>
        <w:t>the terms “controlled by” or “under common control with”) shall mean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70"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introductory paragraph.</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has the meaning set forth in the introductory paragraph.</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Amgen Indemnitees</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Amgen Withholding Tax Action</w:t>
      </w:r>
      <w:r>
        <w:rPr>
          <w:rFonts w:ascii="Times New Roman" w:cs="Times New Roman" w:eastAsia="Times New Roman" w:hAnsi="Times New Roman"/>
          <w:sz w:val="21"/>
          <w:szCs w:val="21"/>
          <w:color w:val="auto"/>
        </w:rPr>
        <w:t>” has the meaning set forth in Section 8.10(c).</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Arrowhead</w:t>
      </w:r>
      <w:r>
        <w:rPr>
          <w:rFonts w:ascii="Times New Roman" w:cs="Times New Roman" w:eastAsia="Times New Roman" w:hAnsi="Times New Roman"/>
          <w:sz w:val="21"/>
          <w:szCs w:val="21"/>
          <w:color w:val="auto"/>
        </w:rPr>
        <w:t>” has the meaning set forth in the introductory paragraph.</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Arrowhead Indemnitees</w:t>
      </w:r>
      <w:r>
        <w:rPr>
          <w:rFonts w:ascii="Times New Roman" w:cs="Times New Roman" w:eastAsia="Times New Roman" w:hAnsi="Times New Roman"/>
          <w:sz w:val="21"/>
          <w:szCs w:val="21"/>
          <w:color w:val="auto"/>
        </w:rPr>
        <w:t>” has the meaning set forth in Section 11.2.</w:t>
      </w:r>
    </w:p>
    <w:p>
      <w:pPr>
        <w:spacing w:after="0" w:line="20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Know-How</w:t>
      </w:r>
      <w:r>
        <w:rPr>
          <w:rFonts w:ascii="Times New Roman" w:cs="Times New Roman" w:eastAsia="Times New Roman" w:hAnsi="Times New Roman"/>
          <w:sz w:val="22"/>
          <w:szCs w:val="22"/>
          <w:color w:val="auto"/>
        </w:rPr>
        <w:t>” means all Information Controlled by Arrowhead or any of its Affiliates (a)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Effective Date or during the Term, and (b) (i) (A) that was used by Arrowhead or its Affiliates in its research and development of RNAi Molecules prior to the Effective Date or (B) that is used by Arrowhead or its Affiliates in the course of conducting activities under this Agreement during the Term, and, in each case, is related to the Development, Manufacturing, or Commercialization of Licensed Compounds or Licensed Products in any field, or (ii) that is necessary or reasonably useful for the Development, Manufacturing, Commercialization, use, sale, offer for sale, importation or other exploitation of any Licensed Compound or Licensed Product in any field.</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Licensed Technology</w:t>
      </w:r>
      <w:r>
        <w:rPr>
          <w:rFonts w:ascii="Times New Roman" w:cs="Times New Roman" w:eastAsia="Times New Roman" w:hAnsi="Times New Roman"/>
          <w:sz w:val="22"/>
          <w:szCs w:val="22"/>
          <w:color w:val="auto"/>
        </w:rPr>
        <w:t>” means the Arrowhead Know-How, Arrowhead Patents and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Results.</w:t>
      </w:r>
    </w:p>
    <w:p>
      <w:pPr>
        <w:spacing w:after="0" w:line="1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Arrowhead Patent</w:t>
      </w:r>
      <w:r>
        <w:rPr>
          <w:rFonts w:ascii="Times New Roman" w:cs="Times New Roman" w:eastAsia="Times New Roman" w:hAnsi="Times New Roman"/>
          <w:sz w:val="22"/>
          <w:szCs w:val="22"/>
          <w:color w:val="auto"/>
        </w:rPr>
        <w:t>” means any Patent (other than a Joint Patent) that (a) is Controlled by Arrowhead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Affiliates as of the Effective Date or at any time during the Term, and (b) (i) absent a license, would be infringed (or, for purposes of pending patent applications, would be infringed if a patent was issued therefor with claims in their then-current form) by, or (ii) would be reasonably necessary or useful for, in either case, the Development, Manufacture, Commercialization, use, sale, offer for sale, importation or other exploitation of any Licensed Compound or Licensed Product in any field.</w:t>
      </w:r>
    </w:p>
    <w:p>
      <w:pPr>
        <w:spacing w:after="0" w:line="17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Arrowhead Platform Patents</w:t>
      </w:r>
      <w:r>
        <w:rPr>
          <w:rFonts w:ascii="Times New Roman" w:cs="Times New Roman" w:eastAsia="Times New Roman" w:hAnsi="Times New Roman"/>
          <w:sz w:val="21"/>
          <w:szCs w:val="21"/>
          <w:color w:val="auto"/>
        </w:rPr>
        <w:t>” has the meaning set forth in Section 9.3(a)(i).</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Arrowhead Product Patents</w:t>
      </w:r>
      <w:r>
        <w:rPr>
          <w:rFonts w:ascii="Times New Roman" w:cs="Times New Roman" w:eastAsia="Times New Roman" w:hAnsi="Times New Roman"/>
          <w:sz w:val="21"/>
          <w:szCs w:val="21"/>
          <w:color w:val="auto"/>
        </w:rPr>
        <w:t>” has the meaning set forth in Section 9.3(a)(ii).</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Background IP</w:t>
      </w:r>
      <w:r>
        <w:rPr>
          <w:rFonts w:ascii="Times New Roman" w:cs="Times New Roman" w:eastAsia="Times New Roman" w:hAnsi="Times New Roman"/>
          <w:sz w:val="21"/>
          <w:szCs w:val="21"/>
          <w:color w:val="auto"/>
        </w:rPr>
        <w:t>” has the meaning set forth in Section 9.2(c).</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U.S. Code Sections 101 et. seq.</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Blocking Patents</w:t>
      </w:r>
      <w:r>
        <w:rPr>
          <w:rFonts w:ascii="Times New Roman" w:cs="Times New Roman" w:eastAsia="Times New Roman" w:hAnsi="Times New Roman"/>
          <w:sz w:val="22"/>
          <w:szCs w:val="22"/>
          <w:color w:val="auto"/>
        </w:rPr>
        <w:t>” means as to a Licensed Compound or Licensed Product, any Patent rights of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that claim, in a particular country, the composition or use 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ind w:left="720" w:hanging="712"/>
        <w:spacing w:after="0"/>
        <w:tabs>
          <w:tab w:leader="none" w:pos="720"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22"/>
          <w:szCs w:val="22"/>
          <w:color w:val="auto"/>
        </w:rPr>
        <w:t>manufacture of such Licensed Compound or Licensed Product, and which such Patent rights would be infringed by the manufacture, use, offer for sale, sale, import or export of such Licensed Compound or Licensed Product in such country.</w:t>
      </w:r>
    </w:p>
    <w:p>
      <w:pPr>
        <w:spacing w:after="0" w:line="15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weekday that is not a legal holiday in New York, New York, U.S., and is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on which banking institutions are required by Law to be closed.</w:t>
      </w:r>
    </w:p>
    <w:p>
      <w:pPr>
        <w:spacing w:after="0" w:line="15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17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 for the first Calendar Year of the Term, the period beginning 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ending on December 31, 2016, (b) for each Calendar Year of the Term thereafter, each successive period beginning on January 1 and ending twelve (12) consecutive calendar months later on December 31, and (c) for the last Calendar Year of the Term, the period beginning on January 1 of the Calendar Year in which the Agreement expires or terminates and ending on the effective date of expiration or termination of this Agreement.</w:t>
      </w:r>
    </w:p>
    <w:p>
      <w:pPr>
        <w:spacing w:after="0" w:line="17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(a) a Party enters into a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business combination, recapitalization, share exchange, stock sale or sale or transfer of all or substantially all of its assets to which this Agreement relates, or other similar transaction or series of transactions with a Third Party; or (b) any transaction or series of related transactions in which any Third Party or group of Third Parties acquires beneficial ownership of securities of a Party representing more than fifty percent (50%) of the combined voting power of the then outstanding securities of such Party. Notwithstanding the foregoing clauses (a) or (b), a stock sale to underwriters of a public offering of a Party’s capital stock or other Third Parties solely for the purpose of financing or a transaction solely to change the domicile of a Party shall not constitute a Change of Control.</w:t>
      </w:r>
    </w:p>
    <w:p>
      <w:pPr>
        <w:spacing w:after="0" w:line="179"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human clinical trial of a Licensed Product as defined in 21 C.F.R. § 312.21,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human clinical trial prescribed by the Regulatory Authorities in a foreign country.</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xml:space="preserve"> has the meaning set forth in Section 15.14.</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CMC</w:t>
      </w:r>
      <w:r>
        <w:rPr>
          <w:rFonts w:ascii="Times New Roman" w:cs="Times New Roman" w:eastAsia="Times New Roman" w:hAnsi="Times New Roman"/>
          <w:sz w:val="21"/>
          <w:szCs w:val="21"/>
          <w:color w:val="auto"/>
        </w:rPr>
        <w:t>” has the meaning set forth in Section 1.60.</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has the meaning set forth in Section 8.10(b).</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Target</w:t>
      </w:r>
      <w:r>
        <w:rPr>
          <w:rFonts w:ascii="Times New Roman" w:cs="Times New Roman" w:eastAsia="Times New Roman" w:hAnsi="Times New Roman"/>
          <w:sz w:val="21"/>
          <w:szCs w:val="21"/>
          <w:color w:val="auto"/>
        </w:rPr>
        <w:t xml:space="preserve">” means the Target identified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Licensed Product sold in combination with at least one (1)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 other than a Licensed Compound.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ind w:left="720" w:hanging="712"/>
        <w:spacing w:after="0"/>
        <w:tabs>
          <w:tab w:leader="none" w:pos="72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48" w:name="page149"/>
    <w:bookmarkEnd w:id="148"/>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the marketing, promotion, sale, distribution or other activities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a Licensed Product in any field in the Territory.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has a correlative meaning.</w:t>
      </w:r>
    </w:p>
    <w:p>
      <w:pPr>
        <w:spacing w:after="0" w:line="1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efforts consistent with the efforts and resources normally 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similarly situated pharmaceutical or biotechnology company in the exercise of its reasonable business discretion relating to the development or commercialization of a pharmaceutical product with similar product characteristics that is of similar market potential at a similar stage of development or commercialization, and in the case of either Party taking into account other relevant factors including technical, legal, intellectual property, competition, scientific and medical factors.</w:t>
      </w:r>
    </w:p>
    <w:p>
      <w:pPr>
        <w:spacing w:after="0" w:line="17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Competing Product</w:t>
      </w:r>
      <w:r>
        <w:rPr>
          <w:rFonts w:ascii="Times New Roman" w:cs="Times New Roman" w:eastAsia="Times New Roman" w:hAnsi="Times New Roman"/>
          <w:sz w:val="21"/>
          <w:szCs w:val="21"/>
          <w:color w:val="auto"/>
        </w:rPr>
        <w:t>” means any compound directed to the Collaboration Target.</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Competing Program</w:t>
      </w:r>
      <w:r>
        <w:rPr>
          <w:rFonts w:ascii="Times New Roman" w:cs="Times New Roman" w:eastAsia="Times New Roman" w:hAnsi="Times New Roman"/>
          <w:sz w:val="22"/>
          <w:szCs w:val="22"/>
          <w:color w:val="auto"/>
        </w:rPr>
        <w:t>” means the research, development, commercialization or manufacture,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Territory, of any Competing Product.</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the Confidential Disclosure Agreement between Arrowhead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effective as of April 21, 2014, as amended.</w:t>
      </w:r>
    </w:p>
    <w:p>
      <w:pPr>
        <w:spacing w:after="0" w:line="15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any and all Information of such Party (or of any Third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disclosed by a Party to the other Party under this Agreement, except as otherwise set forth in Article 12 or as otherwise expressly set forth in this Agreement, whether in oral, written, graphic, or electronic form. All Information disclosed by a Party pursuant to the Confidentiality Agreement shall be deemed to be such Party’s Confidential Information disclosed hereunder (with the mutual understanding and agreement that any use or disclosure thereof that is authorized under Article 12 shall not be restricted by, or be deemed a violation of, the Confidentiality Agreement).</w:t>
      </w:r>
    </w:p>
    <w:p>
      <w:pPr>
        <w:spacing w:after="0" w:line="176"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with respect to any Information or intellectual property right, that an entity (a) owns or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right to grant access, a license, or a sublicense (as applicable) to such Information or intellectual property right on the terms and conditions set forth in this Agreement without (i) violating the terms of any then-existing agreement with any Third Party or</w:t>
      </w:r>
    </w:p>
    <w:p>
      <w:pPr>
        <w:spacing w:after="0" w:line="2" w:lineRule="exact"/>
        <w:rPr>
          <w:sz w:val="20"/>
          <w:szCs w:val="20"/>
          <w:color w:val="auto"/>
        </w:rPr>
      </w:pPr>
    </w:p>
    <w:p>
      <w:pPr>
        <w:jc w:val="both"/>
        <w:ind w:firstLine="8"/>
        <w:spacing w:after="0" w:line="235" w:lineRule="auto"/>
        <w:tabs>
          <w:tab w:leader="none" w:pos="33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any payment (whether or not then due and payable) with respect to the grant or exercise of such access, license or sublicense under any then-existing agreement with any Third Party (unless the other Party agrees in writing to be responsible for such payments).</w:t>
      </w:r>
    </w:p>
    <w:p>
      <w:pPr>
        <w:spacing w:after="0" w:line="174"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has the meaning set forth in Section 13.3.</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activities that relate to obtaining, maintaining or expanding Regulatory Approval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 Licensed Product, including preclinical testing, toxicology, formulation, Clinical Trials, preparation, submission, review, and development of data or information for the purpose of submission to a Governmental Authority to obtain, maintain or expand Regulatory Approval for a Licensed Product.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Developing</w:t>
      </w:r>
      <w:r>
        <w:rPr>
          <w:rFonts w:ascii="Times New Roman" w:cs="Times New Roman" w:eastAsia="Times New Roman" w:hAnsi="Times New Roman"/>
          <w:sz w:val="22"/>
          <w:szCs w:val="22"/>
          <w:color w:val="auto"/>
        </w:rPr>
        <w:t>” have correlative meanings.</w:t>
      </w:r>
    </w:p>
    <w:p>
      <w:pPr>
        <w:spacing w:after="0" w:line="17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Disputes</w:t>
      </w:r>
      <w:r>
        <w:rPr>
          <w:rFonts w:ascii="Times New Roman" w:cs="Times New Roman" w:eastAsia="Times New Roman" w:hAnsi="Times New Roman"/>
          <w:sz w:val="21"/>
          <w:szCs w:val="21"/>
          <w:color w:val="auto"/>
        </w:rPr>
        <w:t>” has the meaning set forth in Section 14.1.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ind w:left="720" w:hanging="712"/>
        <w:spacing w:after="0"/>
        <w:tabs>
          <w:tab w:leader="none" w:pos="72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49" w:name="page150"/>
    <w:bookmarkEnd w:id="149"/>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has the meaning set forth in Section 15.14.</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w:t>
      </w:r>
      <w:r>
        <w:rPr>
          <w:rFonts w:ascii="Times New Roman" w:cs="Times New Roman" w:eastAsia="Times New Roman" w:hAnsi="Times New Roman"/>
          <w:sz w:val="21"/>
          <w:szCs w:val="21"/>
          <w:color w:val="auto"/>
        </w:rPr>
        <w:t>” means a U.S. dollar,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shall be interpreted accordingly.</w:t>
      </w:r>
    </w:p>
    <w:p>
      <w:pPr>
        <w:spacing w:after="0" w:line="206"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set forth in the introductory paragraph.</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entity.</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with respect to Arrowhead, its Chief Executive Officer, and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a designated official who shall be a Vice President or higher with authority to resolve such matter</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U.S. Federal Food, Drug and Cosmetic Act, as amended, and applicable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 by the FDA.</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U.S. Food and Drug Administration or any successor entity.</w:t>
      </w:r>
    </w:p>
    <w:p>
      <w:pPr>
        <w:spacing w:after="0" w:line="206"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Collaboration Agreement</w:t>
      </w:r>
      <w:r>
        <w:rPr>
          <w:rFonts w:ascii="Times New Roman" w:cs="Times New Roman" w:eastAsia="Times New Roman" w:hAnsi="Times New Roman"/>
          <w:sz w:val="22"/>
          <w:szCs w:val="22"/>
          <w:color w:val="auto"/>
        </w:rPr>
        <w:t>” means that certain First Collaboration and License Agreement entered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between Arrowhead and Amgen as of even date herewith.</w:t>
      </w:r>
    </w:p>
    <w:p>
      <w:pPr>
        <w:spacing w:after="0" w:line="1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 Licensed Product, the first sale to a Third Party for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or consumption of such Licensed Product in a given country following the receipt of Regulatory Approval in such country, provided that “First Commercial Sale” shall not include sale, disposal or use of a Licensed Product for marketing, regulatory, development or charitable purposes, such as clinical trials, pre-clinical trials, compassionate use, named patient use, or indigent patient programs, without consideration.</w:t>
      </w:r>
    </w:p>
    <w:p>
      <w:pPr>
        <w:spacing w:after="0" w:line="17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has the meaning set forth in 15.14.</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the then current generally accepted accounting principles in the U.S., as applied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basis.</w:t>
      </w:r>
    </w:p>
    <w:p>
      <w:pPr>
        <w:spacing w:after="0" w:line="15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Clinical Practices</w:t>
      </w:r>
      <w:r>
        <w:rPr>
          <w:rFonts w:ascii="Times New Roman" w:cs="Times New Roman" w:eastAsia="Times New Roman" w:hAnsi="Times New Roman"/>
          <w:sz w:val="22"/>
          <w:szCs w:val="22"/>
          <w:color w:val="auto"/>
        </w:rPr>
        <w:t>” means the then-current standards, practices and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or endorsed by the 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 as they may be updated from time to time, including applicable quality guidelines promulgated under the ICH.</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Laboratory Practices</w:t>
      </w:r>
      <w:r>
        <w:rPr>
          <w:rFonts w:ascii="Times New Roman" w:cs="Times New Roman" w:eastAsia="Times New Roman" w:hAnsi="Times New Roman"/>
          <w:sz w:val="22"/>
          <w:szCs w:val="22"/>
          <w:color w:val="auto"/>
        </w:rPr>
        <w:t>” means the then-current good laboratory practice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or endorsed 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172"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means the then-current Good Manufacturing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the FDA, as set forth in the FD&amp;C Act and the regulations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ind w:left="720" w:hanging="712"/>
        <w:spacing w:after="0"/>
        <w:tabs>
          <w:tab w:leader="none" w:pos="72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50" w:name="page151"/>
    <w:bookmarkEnd w:id="150"/>
    <w:p>
      <w:pPr>
        <w:jc w:val="both"/>
        <w:spacing w:after="0" w:line="244" w:lineRule="auto"/>
        <w:rPr>
          <w:sz w:val="20"/>
          <w:szCs w:val="20"/>
          <w:color w:val="auto"/>
        </w:rPr>
      </w:pPr>
      <w:r>
        <w:rPr>
          <w:rFonts w:ascii="Times New Roman" w:cs="Times New Roman" w:eastAsia="Times New Roman" w:hAnsi="Times New Roman"/>
          <w:sz w:val="22"/>
          <w:szCs w:val="22"/>
          <w:color w:val="auto"/>
        </w:rPr>
        <w:t>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7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federal, state, local, municipal, provincial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 of any nature (including any governmental division, prefecture, subdivision, department, agency, bureau, branch, office, commission, council, court or other tribunal).</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HSR Act</w:t>
      </w:r>
      <w:r>
        <w:rPr>
          <w:rFonts w:ascii="Times New Roman" w:cs="Times New Roman" w:eastAsia="Times New Roman" w:hAnsi="Times New Roman"/>
          <w:sz w:val="21"/>
          <w:szCs w:val="21"/>
          <w:color w:val="auto"/>
        </w:rPr>
        <w:t>” has the meaning set forth in Section 15.14.</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ICH</w:t>
      </w:r>
      <w:r>
        <w:rPr>
          <w:rFonts w:ascii="Times New Roman" w:cs="Times New Roman" w:eastAsia="Times New Roman" w:hAnsi="Times New Roman"/>
          <w:sz w:val="21"/>
          <w:szCs w:val="21"/>
          <w:color w:val="auto"/>
        </w:rPr>
        <w:t>” means International Conference on Harmonisation.</w:t>
      </w:r>
    </w:p>
    <w:p>
      <w:pPr>
        <w:spacing w:after="0" w:line="20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 an Investigational New Drug Application as defined in the FD&amp;C Act and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thereunder by the FDA, or (b) the equivalent application to the equivalent agency in any other regulatory jurisdiction, the filing of which is necessary to Initiate or conduct a Clinical Trial of a pharmaceutical product in humans in such jurisdiction.</w:t>
      </w:r>
    </w:p>
    <w:p>
      <w:pPr>
        <w:spacing w:after="0" w:line="172"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11.3.</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has the meaning set forth in Section 11.3.</w:t>
      </w:r>
    </w:p>
    <w:p>
      <w:pPr>
        <w:spacing w:after="0" w:line="20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1.60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any and all data, results, technology, business or financial information or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type whatsoever, in any tangible or intangible form, including know-how, trade secrets, practices, techniques, methods, processes, developments, specifications, formulations, or formulae of any type or kind (patentable or otherwise), software, algorithms, marketing reports, expertise, technology, test data (including pharmacological, biological, chemical, biochemical, clinical test data and data resulting from non-clinical studies), chemistry, manufacture and control (“</w:t>
      </w:r>
      <w:r>
        <w:rPr>
          <w:rFonts w:ascii="Times New Roman" w:cs="Times New Roman" w:eastAsia="Times New Roman" w:hAnsi="Times New Roman"/>
          <w:sz w:val="22"/>
          <w:szCs w:val="22"/>
          <w:b w:val="1"/>
          <w:bCs w:val="1"/>
          <w:color w:val="auto"/>
        </w:rPr>
        <w:t>CMC</w:t>
      </w:r>
      <w:r>
        <w:rPr>
          <w:rFonts w:ascii="Times New Roman" w:cs="Times New Roman" w:eastAsia="Times New Roman" w:hAnsi="Times New Roman"/>
          <w:sz w:val="22"/>
          <w:szCs w:val="22"/>
          <w:color w:val="auto"/>
        </w:rPr>
        <w:t>”) information, stability data and other study data and procedures.</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of a Clinical Trial means the first dosing of the first subject in such Clinical Trial.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correlative meaning.</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Invention</w:t>
      </w:r>
      <w:r>
        <w:rPr>
          <w:rFonts w:ascii="Times New Roman" w:cs="Times New Roman" w:eastAsia="Times New Roman" w:hAnsi="Times New Roman"/>
          <w:sz w:val="21"/>
          <w:szCs w:val="21"/>
          <w:color w:val="auto"/>
        </w:rPr>
        <w:t>” has the meaning set forth in Section 9.1.</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means drug substance and drug product containing Licensed Compounds and raw materials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 to Licensed Compounds, manufactured and stored by Arrowhead as of the Closing Date.</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Invention</w:t>
      </w:r>
      <w:r>
        <w:rPr>
          <w:rFonts w:ascii="Times New Roman" w:cs="Times New Roman" w:eastAsia="Times New Roman" w:hAnsi="Times New Roman"/>
          <w:sz w:val="21"/>
          <w:szCs w:val="21"/>
          <w:color w:val="auto"/>
        </w:rPr>
        <w:t>” has the meaning set forth in Section 9.2(a).</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IPR</w:t>
      </w:r>
      <w:r>
        <w:rPr>
          <w:rFonts w:ascii="Times New Roman" w:cs="Times New Roman" w:eastAsia="Times New Roman" w:hAnsi="Times New Roman"/>
          <w:sz w:val="21"/>
          <w:szCs w:val="21"/>
          <w:color w:val="auto"/>
        </w:rPr>
        <w:t>” has the meaning set forth in 9.2(a).</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Patent</w:t>
      </w:r>
      <w:r>
        <w:rPr>
          <w:rFonts w:ascii="Times New Roman" w:cs="Times New Roman" w:eastAsia="Times New Roman" w:hAnsi="Times New Roman"/>
          <w:sz w:val="21"/>
          <w:szCs w:val="21"/>
          <w:color w:val="auto"/>
        </w:rPr>
        <w:t>” has the meaning set forth in Section 9.2(a).</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Research Committee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has the meaning set forth in Section 4.1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ind w:left="720" w:hanging="712"/>
        <w:spacing w:after="0"/>
        <w:tabs>
          <w:tab w:leader="none" w:pos="720"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51" w:name="page152"/>
    <w:bookmarkEnd w:id="151"/>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Knowledge</w:t>
      </w:r>
      <w:r>
        <w:rPr>
          <w:rFonts w:ascii="Times New Roman" w:cs="Times New Roman" w:eastAsia="Times New Roman" w:hAnsi="Times New Roman"/>
          <w:sz w:val="21"/>
          <w:szCs w:val="21"/>
          <w:color w:val="auto"/>
        </w:rPr>
        <w:t>” of a Party has the meaning set forth in Section 10.6.</w:t>
      </w:r>
    </w:p>
    <w:p>
      <w:pPr>
        <w:spacing w:after="0" w:line="20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laws, statutes, rules, regulations, ordinances and other pronouncements having the effect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of any federal, national, multinational, state, provincial, county, city or other political subdivision.</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b w:val="1"/>
          <w:bCs w:val="1"/>
          <w:color w:val="auto"/>
        </w:rPr>
        <w:t xml:space="preserve">“License Fee” </w:t>
      </w:r>
      <w:r>
        <w:rPr>
          <w:rFonts w:ascii="Times New Roman" w:cs="Times New Roman" w:eastAsia="Times New Roman" w:hAnsi="Times New Roman"/>
          <w:sz w:val="21"/>
          <w:szCs w:val="21"/>
          <w:color w:val="auto"/>
        </w:rPr>
        <w:t>has the meaning set forth in Section 8.1.</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Compounds</w:t>
      </w:r>
      <w:r>
        <w:rPr>
          <w:rFonts w:ascii="Times New Roman" w:cs="Times New Roman" w:eastAsia="Times New Roman" w:hAnsi="Times New Roman"/>
          <w:sz w:val="22"/>
          <w:szCs w:val="22"/>
          <w:color w:val="auto"/>
        </w:rPr>
        <w:t>” means any RNAi Molecules for inhibiting the expression of the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 that have been generated by Arrowhead on or before the Effective Date or during the Term, which RNAi Molecules are licensed to Amgen hereunder. Licensed Compounds includes, without limitation, ARC-2713 and ARC-3460.</w:t>
      </w:r>
    </w:p>
    <w:p>
      <w:pPr>
        <w:spacing w:after="0" w:line="16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pharmaceutical product containing or comprising a Licensed Compound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active pharmaceutical ingredient.</w:t>
      </w:r>
    </w:p>
    <w:p>
      <w:pPr>
        <w:spacing w:after="0" w:line="150" w:lineRule="exact"/>
        <w:rPr>
          <w:sz w:val="20"/>
          <w:szCs w:val="20"/>
          <w:color w:val="auto"/>
        </w:rPr>
      </w:pPr>
    </w:p>
    <w:p>
      <w:pPr>
        <w:jc w:val="both"/>
        <w:ind w:firstLine="877"/>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1.73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Manufacture</w:t>
      </w:r>
      <w:r>
        <w:rPr>
          <w:rFonts w:ascii="Times New Roman" w:cs="Times New Roman" w:eastAsia="Times New Roman" w:hAnsi="Times New Roman"/>
          <w:sz w:val="21"/>
          <w:szCs w:val="21"/>
          <w:color w:val="auto"/>
        </w:rPr>
        <w:t>” means all activities related to the manufacturing of a Licensed Compound or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or any ingredient thereof, including test method development and stability testing, formulation, process development, manufacturing scale-up, manufacturing any Licensed Compound or Licensed Product in bulk or finished form for Development, manufacturing finished Licensed Product for Commercialization, packaging, in-process and finished Licensed Product testing, release of Licensed Product or any component or ingredient thereof, quality assurance activities related to manufacturing and release of Licensed Product, and regulatory activities related to any of the foregoing. “</w:t>
      </w: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has a correlative meaning.</w:t>
      </w:r>
    </w:p>
    <w:p>
      <w:pPr>
        <w:spacing w:after="0" w:line="16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with respect to a given period of time, gross sales of Licensed Product (following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Approval) by Amgen, its Affiliates and Sublicensees in such period, less the following deductions which are actually incurred, allowed, paid, accrued or specifically allocated to such gross sales amounts of Licensed Product using GAAP applied on a consistent basis:</w:t>
      </w:r>
    </w:p>
    <w:p>
      <w:pPr>
        <w:spacing w:after="0" w:line="172" w:lineRule="exact"/>
        <w:rPr>
          <w:sz w:val="20"/>
          <w:szCs w:val="20"/>
          <w:color w:val="auto"/>
        </w:rPr>
      </w:pPr>
    </w:p>
    <w:p>
      <w:pPr>
        <w:jc w:val="both"/>
        <w:ind w:firstLine="1755"/>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credits or allowances for defective or damaged Licensed Product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allowances for spoiled, outdated or withdrawn Licensed Product), returns or rejections of Licensed Product, price adjustments and billing errors;</w:t>
      </w:r>
    </w:p>
    <w:p>
      <w:pPr>
        <w:spacing w:after="0" w:line="200" w:lineRule="exact"/>
        <w:rPr>
          <w:sz w:val="20"/>
          <w:szCs w:val="20"/>
          <w:color w:val="auto"/>
        </w:rPr>
      </w:pPr>
    </w:p>
    <w:p>
      <w:pPr>
        <w:spacing w:after="0" w:line="223"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governmental payments and other rebates, refunds and chargebacks (or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granted to managed health care organizations; pharmacy benefit managers (or equivalents thereof); federal, state/provincial, local and other governments, their agencies and purchasers and reimbursers; or to trade customers;</w:t>
      </w:r>
    </w:p>
    <w:p>
      <w:pPr>
        <w:spacing w:after="0" w:line="167" w:lineRule="exact"/>
        <w:rPr>
          <w:sz w:val="20"/>
          <w:szCs w:val="20"/>
          <w:color w:val="auto"/>
        </w:rPr>
      </w:pPr>
    </w:p>
    <w:p>
      <w:pPr>
        <w:jc w:val="both"/>
        <w:ind w:right="20"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normal and customary trade, cash, prompt payment and/or quantity discounts,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allowances and credits and mandated discounts;</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2"/>
          <w:szCs w:val="22"/>
          <w:color w:val="auto"/>
        </w:rPr>
        <w:t>distribution services agreement fees allowed or paid to Third Party distributors and</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reasonable fees paid to wholesalers, selling agents (excluding any sales representatives of Amgen or any of its Affiliates or Sublicensees), group purchasing organizations, Third Party payors, other contractees and managed care entities, in each case with respect to such Licensed Product;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ind w:left="720" w:hanging="712"/>
        <w:spacing w:after="0"/>
        <w:tabs>
          <w:tab w:leader="none" w:pos="72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52" w:name="page153"/>
    <w:bookmarkEnd w:id="152"/>
    <w:p>
      <w:pPr>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 of gross sales to cover such items as transportation costs, including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outbound freight, other transportation charges, additional special packaging and bad debt;</w:t>
      </w:r>
    </w:p>
    <w:p>
      <w:pPr>
        <w:spacing w:after="0" w:line="150" w:lineRule="exact"/>
        <w:rPr>
          <w:sz w:val="20"/>
          <w:szCs w:val="20"/>
          <w:color w:val="auto"/>
        </w:rPr>
      </w:pPr>
    </w:p>
    <w:p>
      <w:pPr>
        <w:ind w:left="1760"/>
        <w:spacing w:after="0"/>
        <w:tabs>
          <w:tab w:leader="none" w:pos="3900" w:val="left"/>
        </w:tabs>
        <w:rPr>
          <w:sz w:val="20"/>
          <w:szCs w:val="20"/>
          <w:color w:val="auto"/>
        </w:rPr>
      </w:pPr>
      <w:r>
        <w:rPr>
          <w:rFonts w:ascii="Times New Roman" w:cs="Times New Roman" w:eastAsia="Times New Roman" w:hAnsi="Times New Roman"/>
          <w:sz w:val="22"/>
          <w:szCs w:val="22"/>
          <w:b w:val="1"/>
          <w:bCs w:val="1"/>
          <w:color w:val="auto"/>
        </w:rPr>
        <w:t>(f)</w:t>
      </w:r>
      <w:r>
        <w:rPr>
          <w:sz w:val="20"/>
          <w:szCs w:val="20"/>
          <w:color w:val="auto"/>
        </w:rPr>
        <w:tab/>
      </w:r>
      <w:r>
        <w:rPr>
          <w:rFonts w:ascii="Times New Roman" w:cs="Times New Roman" w:eastAsia="Times New Roman" w:hAnsi="Times New Roman"/>
          <w:sz w:val="22"/>
          <w:szCs w:val="22"/>
          <w:color w:val="auto"/>
        </w:rPr>
        <w:t>sales taxes, value added taxes and other taxes (other than income taxes) and duties</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paid in relation to such Licensed Product and any other equivalent governmental charges imposed upon the importation, use or sale of Licensed Product; and</w:t>
      </w:r>
    </w:p>
    <w:p>
      <w:pPr>
        <w:sectPr>
          <w:pgSz w:w="11900" w:h="16838" w:orient="portrait"/>
          <w:cols w:equalWidth="0" w:num="1">
            <w:col w:w="11420"/>
          </w:cols>
          <w:pgMar w:left="240" w:top="527" w:right="239" w:bottom="1440" w:gutter="0" w:footer="0" w:header="0"/>
        </w:sectPr>
      </w:pPr>
    </w:p>
    <w:p>
      <w:pPr>
        <w:spacing w:after="0" w:line="17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b w:val="1"/>
          <w:bCs w:val="1"/>
          <w:color w:val="auto"/>
        </w:rPr>
        <w:t>(g)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retroactive price reductions to the Third Party applicable to sales of such Licensed</w:t>
      </w:r>
    </w:p>
    <w:p>
      <w:pPr>
        <w:spacing w:after="0" w:line="20" w:lineRule="exact"/>
        <w:rPr>
          <w:sz w:val="20"/>
          <w:szCs w:val="20"/>
          <w:color w:val="auto"/>
        </w:rPr>
      </w:pPr>
    </w:p>
    <w:p>
      <w:pPr>
        <w:sectPr>
          <w:pgSz w:w="11900" w:h="16838" w:orient="portrait"/>
          <w:cols w:equalWidth="0" w:num="2">
            <w:col w:w="3240" w:space="720"/>
            <w:col w:w="746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Product.</w:t>
      </w:r>
    </w:p>
    <w:p>
      <w:pPr>
        <w:sectPr>
          <w:pgSz w:w="11900" w:h="16838" w:orient="portrait"/>
          <w:cols w:equalWidth="0" w:num="1">
            <w:col w:w="11420"/>
          </w:cols>
          <w:pgMar w:left="240" w:top="527" w:right="239" w:bottom="1440" w:gutter="0" w:footer="0" w:header="0"/>
          <w:type w:val="continuous"/>
        </w:sectPr>
      </w:pP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Sales of Licensed Product between or among Amgen and its Affiliates or Sublicensees shall be excluded from the computation of Net Sales, but the subsequent final sales of Licensed Product to Third Parties by such Affiliates and Sublicensees shall be included in the computation of Net Sales.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the event a Licensed Product is sold in a country in the Territory as a Combination Product, Net Sales of the Combination Product will be calculated as follows:</w:t>
      </w:r>
    </w:p>
    <w:p>
      <w:pPr>
        <w:spacing w:after="0" w:line="158" w:lineRule="exact"/>
        <w:rPr>
          <w:sz w:val="20"/>
          <w:szCs w:val="20"/>
          <w:color w:val="auto"/>
        </w:rPr>
      </w:pPr>
    </w:p>
    <w:p>
      <w:pPr>
        <w:jc w:val="both"/>
        <w:ind w:left="880" w:firstLine="816"/>
        <w:spacing w:after="0" w:line="235" w:lineRule="auto"/>
        <w:tabs>
          <w:tab w:leader="none" w:pos="254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Licensed Product and other active component(s) each are sold separately in such country, Net Sales will be calculated by multiplying the total Net Sales (as described above) of the Combination Product by the fraction A/(A+B), where A is the average gross selling price in such country of the Licensed Product sold separately in the same formulation and dosage, and B is the sum of the average gross selling prices in such country of such other active component(s) sold separately in the same formulation and dosage, during the applicable Calendar Quarter, or if sales of both the Licensed Product and the other product(s) did not occur in such period, then the most recent royalty reporting period in which such separate sales of both such Licensed Product and the other product(s) occurred.</w:t>
      </w:r>
    </w:p>
    <w:p>
      <w:pPr>
        <w:spacing w:after="0" w:line="183"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60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Licensed Product is sold independently of the other active component(s) therein in such country, but the average selling price of such other active component(s) cannot be determined, Net Sales will be calculated by multiplying the total Net Sales (as described above) of the Combination Product by the fraction A/C where A is the average selling price in such country of such Licensed Product sold independently and C is the average selling price in such country of the entire Combination Product.</w:t>
      </w:r>
    </w:p>
    <w:p>
      <w:pPr>
        <w:spacing w:after="0" w:line="177" w:lineRule="exact"/>
        <w:rPr>
          <w:sz w:val="20"/>
          <w:szCs w:val="20"/>
          <w:color w:val="auto"/>
        </w:rPr>
      </w:pPr>
    </w:p>
    <w:p>
      <w:pPr>
        <w:jc w:val="both"/>
        <w:ind w:firstLine="8"/>
        <w:spacing w:after="0" w:line="244" w:lineRule="auto"/>
        <w:tabs>
          <w:tab w:leader="none" w:pos="97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Licensed Product is not sold independently in such country, the Parties shall determine Net Sales for such Combination Product by mutual agreement based on the relative contribution of the Licensed Product and the other active ingredient(s) in the Combination Product.</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discounts, allowances, credits, rebates and other deductions shall be fairly allocated to the Licensed Product and, as between Licensed Product and other products or services of Amgen, its Affiliates or Sublicensees, shall not be inappropriately allocated. Amgen shall not attempt to reduce compensation rightly due to Arrowhead hereunder by shifting compensation otherwise payable to Amgen from a Third Party with respect to any Licensed Product to another product or service for which no royalties are payable hereunder.</w:t>
      </w:r>
    </w:p>
    <w:p>
      <w:pPr>
        <w:spacing w:after="0" w:line="173"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has the meaning set forth in Section 13.3.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ind w:left="720" w:hanging="712"/>
        <w:spacing w:after="0"/>
        <w:tabs>
          <w:tab w:leader="none" w:pos="72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53" w:name="page154"/>
    <w:bookmarkEnd w:id="153"/>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has the meaning set forth in the introductory paragraph.</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 pending patent applications, issued patents, utility models and designs; (b) reissues,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a Clinical Trial of a Licensed Product in any and all fields conducted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patients with the disease or condition under study to evaluate the effectiveness of the Licensed Product, as and to the extent defined for the U.S. in 21 C.F.R. § 312.21(a), as amended from time to time, or equivalent law or regulation in regulatory jurisdictions outside the U.S.</w:t>
      </w:r>
    </w:p>
    <w:p>
      <w:pPr>
        <w:spacing w:after="0" w:line="17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 Clinical Trial of a Licensed Product in any and all fields conducted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patients with the disease or condition under study to evaluate the effectiveness of the Licensed Product, as and to the extent defined for the U.S. in 21 C.F.R. § 312.21(b), as amended from time to time, or equivalent law or regulation in regulatory jurisdictions outside the U.S.</w:t>
      </w:r>
    </w:p>
    <w:p>
      <w:pPr>
        <w:spacing w:after="0" w:line="17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pivotal Clinical Trial of a Licensed Product in any and all fields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dose or a set of defined doses of such Licensed Product on sufficient numbers of human patients designed to confirm with statistical significance the safety and efficacy of such Licensed Product and to support a Regulatory Approval as and to the extent defined for the U.S. in 21 C.F.R. § 312.21(c), as amended from time to time, or equivalent law or regulation in regulatory jurisdictions outside the U.S.</w:t>
      </w:r>
    </w:p>
    <w:p>
      <w:pPr>
        <w:spacing w:after="0" w:line="17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from the relevant Regulatory Authority in a given country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jurisdiction of the Regulatory Approval Application for a Licensed Product in any field, including all licenses, registrations, and pricing or reimbursement approvals, that are necessary for the sale and marketing of such Licensed Product, including clinical testing, manufacture, distribution, or use of such Licensed Product, in such country or regulatory jurisdiction.</w:t>
      </w:r>
    </w:p>
    <w:p>
      <w:pPr>
        <w:spacing w:after="0" w:line="172"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 Application</w:t>
      </w:r>
      <w:r>
        <w:rPr>
          <w:rFonts w:ascii="Times New Roman" w:cs="Times New Roman" w:eastAsia="Times New Roman" w:hAnsi="Times New Roman"/>
          <w:sz w:val="22"/>
          <w:szCs w:val="22"/>
          <w:color w:val="auto"/>
        </w:rPr>
        <w:t>” means an application to the appropriate Regulatory Authority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to sell a Licensed Product in any particular jurisdiction, including an NDA in the U.S.</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in a particular country or jurisdiction, any applicable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that has the authority to regulate the manufacture, marketing, testing, pricing, or sale of drug products in such country or jurisdiction.</w:t>
      </w:r>
    </w:p>
    <w:p>
      <w:pPr>
        <w:spacing w:after="0" w:line="16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any exclusive marketing rights or data exclusivity rights conferred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 under applicable Law with respect to a Licensed Product in a country or jurisdiction in the Territory to prevent Third Parties from Commercializing such Licensed Product in such country or jurisdiction, other than a Patent right, including orphan drug exclusivity, pediatric exclusivity, rights conferred in the U.S. under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ind w:left="720" w:hanging="712"/>
        <w:spacing w:after="0"/>
        <w:tabs>
          <w:tab w:leader="none" w:pos="720"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54" w:name="page155"/>
    <w:bookmarkEnd w:id="154"/>
    <w:p>
      <w:pPr>
        <w:jc w:val="both"/>
        <w:spacing w:after="0" w:line="258" w:lineRule="auto"/>
        <w:rPr>
          <w:sz w:val="20"/>
          <w:szCs w:val="20"/>
          <w:color w:val="auto"/>
        </w:rPr>
      </w:pPr>
      <w:r>
        <w:rPr>
          <w:rFonts w:ascii="Times New Roman" w:cs="Times New Roman" w:eastAsia="Times New Roman" w:hAnsi="Times New Roman"/>
          <w:sz w:val="22"/>
          <w:szCs w:val="22"/>
          <w:color w:val="auto"/>
        </w:rPr>
        <w:t>Hatch-Waxman Act or the FDA Modernization Act of 1997, in the EU under Directive 2001/83/EC, or rights similar thereto in other countries or regulatory jurisdictions in the Territory.</w:t>
      </w:r>
    </w:p>
    <w:p>
      <w:pPr>
        <w:spacing w:after="0" w:line="15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1.85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regulatory applications, submissions, notifications,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registrations, Regulatory Approvals or other filings made to, received from or otherwise conducted with a Regulatory Authority in order to Develop, Manufacture, or Commercialize a Licensed Product in a particular country or jurisdiction.</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1.86 “RNAi Molecule” </w:t>
      </w:r>
      <w:r>
        <w:rPr>
          <w:rFonts w:ascii="Times New Roman" w:cs="Times New Roman" w:eastAsia="Times New Roman" w:hAnsi="Times New Roman"/>
          <w:sz w:val="22"/>
          <w:szCs w:val="22"/>
          <w:color w:val="auto"/>
        </w:rPr>
        <w:t>means an exogenous double-stranded oligomeric (i.e., RNA or modified variants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molecule incorporating N-acetyl-galactosamine (GalNAc) ligand conjugates capable of binding to the asialoglycoprotein receptor (ASGPR) to enhance targeting to the liver.</w:t>
      </w:r>
    </w:p>
    <w:p>
      <w:pPr>
        <w:spacing w:after="0" w:line="16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has the meaning set forth in Section 8.4(b).</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Stock Purchase Agreement</w:t>
      </w:r>
      <w:r>
        <w:rPr>
          <w:rFonts w:ascii="Times New Roman" w:cs="Times New Roman" w:eastAsia="Times New Roman" w:hAnsi="Times New Roman"/>
          <w:sz w:val="21"/>
          <w:szCs w:val="21"/>
          <w:color w:val="auto"/>
        </w:rPr>
        <w:t>” has the meaning set forth in the Recitals.</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Subject Patent</w:t>
      </w:r>
      <w:r>
        <w:rPr>
          <w:rFonts w:ascii="Times New Roman" w:cs="Times New Roman" w:eastAsia="Times New Roman" w:hAnsi="Times New Roman"/>
          <w:sz w:val="21"/>
          <w:szCs w:val="21"/>
          <w:color w:val="auto"/>
        </w:rPr>
        <w:t>” has the meaning set forth in Section 9.6.</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has the meaning set forth in Section 3.3(a).</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means (a) a polypeptide or entity comprising a combination of at least one polypeptide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macromolecules, that is a site or potential site of therapeutic intervention by a therapeutic agent; (b) variants of a polypeptide (including any splice variant thereof), cellular entity or nucleic acid described in clause (a); or (c) a defined non-peptide entity, including a microorganism, virus, or bacterium or single cell parasite, provided that the entire genome of a virus shall be regarded as a single Target.</w:t>
      </w:r>
    </w:p>
    <w:p>
      <w:pPr>
        <w:spacing w:after="0" w:line="177"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13.1.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all of the countries of the world.</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entity other than Arrowhead or Amgen or an Affiliate of either of them.</w:t>
      </w:r>
    </w:p>
    <w:p>
      <w:pPr>
        <w:spacing w:after="0" w:line="206"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including all possessions and territories thereof.</w:t>
      </w:r>
    </w:p>
    <w:p>
      <w:pPr>
        <w:spacing w:after="0" w:line="20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1.96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an issued claim that has not: (a) expired or been revoked or canceled; (b) been declared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or unenforceable by a patent office or a decision of a court or other Governmental Authority of competent jurisdiction; provided that if any such claim that has been declared invalid or unenforceable is subsequently determined to be valid and enforceable by a court or other Governmental Authority of competent jurisdiction from which no appeal can be taken (or was taken within the allowable time period), then such claim shall thereafter be a Valid Claim except as otherwise provided under subsection (a), (c), or (d); (c) been admitted to be invalid or unenforceable through reissue, re-examination, disclaimer or otherwise; or (d) been abandoned or disclaimed.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ind w:left="720" w:hanging="712"/>
        <w:spacing w:after="0"/>
        <w:tabs>
          <w:tab w:leader="none" w:pos="72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55" w:name="page156"/>
    <w:bookmarkEnd w:id="155"/>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1.97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 Plan</w:t>
      </w:r>
      <w:r>
        <w:rPr>
          <w:rFonts w:ascii="Times New Roman" w:cs="Times New Roman" w:eastAsia="Times New Roman" w:hAnsi="Times New Roman"/>
          <w:sz w:val="22"/>
          <w:szCs w:val="22"/>
          <w:color w:val="auto"/>
        </w:rPr>
        <w:t>” means the work plan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setting forth certain activities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by the Parties.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EXCLUSIVITY AND RELATED RESTRICTIONS</w:t>
      </w:r>
    </w:p>
    <w:p>
      <w:pPr>
        <w:spacing w:after="0" w:line="17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2.1 Exclusivity</w:t>
      </w:r>
      <w:r>
        <w:rPr>
          <w:rFonts w:ascii="Times New Roman" w:cs="Times New Roman" w:eastAsia="Times New Roman" w:hAnsi="Times New Roman"/>
          <w:sz w:val="22"/>
          <w:szCs w:val="22"/>
          <w:color w:val="auto"/>
        </w:rPr>
        <w:t>. During the Term, Arrowhead and its Affiliates shall not conduct or participate in, or advise, assist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enable any Third Party to conduct or participate in, the research, development, manufacture or commercialization of any compound directed to the Collaboration Target.</w:t>
      </w:r>
    </w:p>
    <w:p>
      <w:pPr>
        <w:spacing w:after="0" w:line="167"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b w:val="1"/>
          <w:bCs w:val="1"/>
          <w:color w:val="auto"/>
        </w:rPr>
        <w:t>2.2 Change of Control</w:t>
      </w:r>
      <w:r>
        <w:rPr>
          <w:rFonts w:ascii="Times New Roman" w:cs="Times New Roman" w:eastAsia="Times New Roman" w:hAnsi="Times New Roman"/>
          <w:sz w:val="22"/>
          <w:szCs w:val="22"/>
          <w:color w:val="auto"/>
        </w:rPr>
        <w:t>. Notwithstanding anything to the contrary in this Agreement, in the event of any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Control of Arrowhead (or successor entity thereto, applying the definition of Change of Control to such successor in place of Arrowhead) occurring after the Closing Date, and subject to Section 15.6, Section 2.1 shall not apply to or otherwise restrict (i) the activities of the Acquiror or its Affiliates (except for Arrowhead and its Affiliates prior to the acquisition) with respect to any product, product candidate or device being clinically developed or commercialized prior to or after the date of acquisition, including the making, using, selling, offering for sale, importing, or otherwise developing, commercializing, or exploiting thereof, or the intellectual property rights Controlled by such Acquiror or its Affiliates (other than Arrowhead and its Affiliates prior to the acquisition) related thereto; provided that, such product, product candidate, device or service was not developed through the use of any Information or intellectual property right Controlled by Arrowhead or its pre-acquisition Affiliates as of the date of such Change of Control or thereafter. Arrowhead shall give Amgen written notice within five (5) days after the public announcement or disclosure of any proposed Change of Control of Arrowhead. From and after such notice, Amgen (i) may exclude Arrowhead (following such Change of Control) from participation in whole or in part from any working teams, (ii) shall no longer be subject to the obligations set forth in Section 6.2 and Section 6.3 and (iii) shall not be required to (A) share correspondence, filings or other information with Arrowhead or (B) discuss with Arrowhead and consider its comments, in either case with respect to intellectual property matters as set forth in Article 9. In the event of a Change of Control of Arrowhead, if the Acquiror, itself or through any of its Affiliates, directly or indirectly conducts or participates in any Competing Program, the Acquiror shall hold separate such Competing Program, including ensuring that no personnel working on Licensed Compounds or Licensed Products or activities hereunder works on a Competing Program (and vice versa), and ensuring that information and materials relating to Licensed Compounds or Licensed Products or activities hereunder are not shared with or used for the benefit of, and are sequestered from, personnel working on the Competing Program (and vice versa).</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680" w:type="dxa"/>
            <w:vAlign w:val="bottom"/>
          </w:tcPr>
          <w:p>
            <w:pPr>
              <w:jc w:val="center"/>
              <w:ind w:right="3632"/>
              <w:spacing w:after="0"/>
              <w:rPr>
                <w:sz w:val="20"/>
                <w:szCs w:val="20"/>
                <w:color w:val="auto"/>
              </w:rPr>
            </w:pPr>
            <w:r>
              <w:rPr>
                <w:rFonts w:ascii="Times New Roman" w:cs="Times New Roman" w:eastAsia="Times New Roman" w:hAnsi="Times New Roman"/>
                <w:sz w:val="22"/>
                <w:szCs w:val="22"/>
                <w:b w:val="1"/>
                <w:bCs w:val="1"/>
                <w:color w:val="auto"/>
                <w:w w:val="97"/>
              </w:rPr>
              <w:t>ARTICLE 3</w:t>
            </w:r>
          </w:p>
        </w:tc>
      </w:tr>
      <w:tr>
        <w:trPr>
          <w:trHeight w:val="287"/>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80" w:type="dxa"/>
            <w:vAlign w:val="bottom"/>
          </w:tcPr>
          <w:p>
            <w:pPr>
              <w:jc w:val="center"/>
              <w:ind w:right="3632"/>
              <w:spacing w:after="0"/>
              <w:rPr>
                <w:sz w:val="20"/>
                <w:szCs w:val="20"/>
                <w:color w:val="auto"/>
              </w:rPr>
            </w:pPr>
            <w:r>
              <w:rPr>
                <w:rFonts w:ascii="Times New Roman" w:cs="Times New Roman" w:eastAsia="Times New Roman" w:hAnsi="Times New Roman"/>
                <w:sz w:val="22"/>
                <w:szCs w:val="22"/>
                <w:b w:val="1"/>
                <w:bCs w:val="1"/>
                <w:color w:val="auto"/>
                <w:w w:val="97"/>
              </w:rPr>
              <w:t>LICENSES</w:t>
            </w:r>
          </w:p>
        </w:tc>
      </w:tr>
      <w:tr>
        <w:trPr>
          <w:trHeight w:val="459"/>
        </w:trPr>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4"/>
              </w:rPr>
              <w:t>3.1</w:t>
            </w:r>
          </w:p>
        </w:tc>
        <w:tc>
          <w:tcPr>
            <w:tcW w:w="22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License to Amgen</w:t>
            </w:r>
            <w:r>
              <w:rPr>
                <w:rFonts w:ascii="Times New Roman" w:cs="Times New Roman" w:eastAsia="Times New Roman" w:hAnsi="Times New Roman"/>
                <w:sz w:val="22"/>
                <w:szCs w:val="22"/>
                <w:color w:val="auto"/>
              </w:rPr>
              <w:t>.</w:t>
            </w:r>
          </w:p>
        </w:tc>
        <w:tc>
          <w:tcPr>
            <w:tcW w:w="7680" w:type="dxa"/>
            <w:vAlign w:val="bottom"/>
          </w:tcPr>
          <w:p>
            <w:pPr>
              <w:spacing w:after="0"/>
              <w:rPr>
                <w:sz w:val="24"/>
                <w:szCs w:val="24"/>
                <w:color w:val="auto"/>
              </w:rPr>
            </w:pPr>
          </w:p>
        </w:tc>
      </w:tr>
      <w:tr>
        <w:trPr>
          <w:trHeight w:val="444"/>
        </w:trPr>
        <w:tc>
          <w:tcPr>
            <w:tcW w:w="580" w:type="dxa"/>
            <w:vAlign w:val="bottom"/>
          </w:tcPr>
          <w:p>
            <w:pPr>
              <w:spacing w:after="0"/>
              <w:rPr>
                <w:sz w:val="24"/>
                <w:szCs w:val="24"/>
                <w:color w:val="auto"/>
              </w:rPr>
            </w:pPr>
          </w:p>
        </w:tc>
        <w:tc>
          <w:tcPr>
            <w:tcW w:w="22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w:t>
            </w:r>
          </w:p>
        </w:tc>
        <w:tc>
          <w:tcPr>
            <w:tcW w:w="76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Arrowhead Developed IP</w:t>
            </w:r>
            <w:r>
              <w:rPr>
                <w:rFonts w:ascii="Times New Roman" w:cs="Times New Roman" w:eastAsia="Times New Roman" w:hAnsi="Times New Roman"/>
                <w:sz w:val="22"/>
                <w:szCs w:val="22"/>
                <w:color w:val="auto"/>
              </w:rPr>
              <w:t>.  Subject to the terms and conditions of this Agreement,</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and further subject to Arrowhead’s receipt of the License Fee, Arrowhead hereby grants to Amgen an exclusive (even as to Arrowhead except as provided in Section 3.2), royalty-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ind w:left="720" w:hanging="712"/>
        <w:spacing w:after="0"/>
        <w:tabs>
          <w:tab w:leader="none" w:pos="720"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56" w:name="page157"/>
    <w:bookmarkEnd w:id="156"/>
    <w:p>
      <w:pPr>
        <w:jc w:val="both"/>
        <w:spacing w:after="0" w:line="239" w:lineRule="auto"/>
        <w:rPr>
          <w:sz w:val="20"/>
          <w:szCs w:val="20"/>
          <w:color w:val="auto"/>
        </w:rPr>
      </w:pPr>
      <w:r>
        <w:rPr>
          <w:rFonts w:ascii="Times New Roman" w:cs="Times New Roman" w:eastAsia="Times New Roman" w:hAnsi="Times New Roman"/>
          <w:sz w:val="22"/>
          <w:szCs w:val="22"/>
          <w:color w:val="auto"/>
        </w:rPr>
        <w:t>bearing license, with the right to sublicense solely as provided in Section 3.3, under the Arrowhead Licensed Technology with respect to the Licensed Compounds and Licensed Products, and Arrowhead’s rights under the Joint IPR, to make, have made, use, sell, offer for sale, import and otherwise exploit such Licensed Compound and Licensed Product for any and all uses in the Territory.</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(b) Arrowhead Background IP</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further subject to Arrowhead’s receipt of the License Fee, Arrowhead hereby grants to Amgen a non-exclusive license, with the right to sublicense solely as provided in Section 3.3, under the Arrowhead Background IP with respect to the Licensed Compounds and Licensed Products, to make, have made, use, sell, offer for sale, import and otherwise exploit such Licensed Compound and Licensed Product for any and all uses in the Territory.</w:t>
      </w:r>
    </w:p>
    <w:p>
      <w:pPr>
        <w:spacing w:after="0" w:line="177"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3.2 Arrowhead Retained Rights </w:t>
      </w:r>
      <w:r>
        <w:rPr>
          <w:rFonts w:ascii="Times New Roman" w:cs="Times New Roman" w:eastAsia="Times New Roman" w:hAnsi="Times New Roman"/>
          <w:sz w:val="22"/>
          <w:szCs w:val="22"/>
          <w:color w:val="auto"/>
        </w:rPr>
        <w:t>. Except as expressly granted under Section 3.1, Arrowhead retains the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Arrowhead Licensed Technology, (a) in the Territory, to fulfill its obligations under this Agreement, (b) to exploit the Arrowhead Licensed Technology and Joint IPR other than in connection with compounds directed to the Collaboration Target, Licensed Compounds and Licensed Products; and (c) to use the Arrowhead Know-How in connection with Arrowhead’s conduct of general research and discovery of molecules other than compounds directed to the Collaboration Target, Licensed Compound and Licensed Products.</w:t>
      </w:r>
    </w:p>
    <w:p>
      <w:pPr>
        <w:spacing w:after="0" w:line="17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Sublicense Rights and Subcontracting.</w:t>
      </w:r>
    </w:p>
    <w:p>
      <w:pPr>
        <w:spacing w:after="0" w:line="210" w:lineRule="exact"/>
        <w:rPr>
          <w:sz w:val="20"/>
          <w:szCs w:val="20"/>
          <w:color w:val="auto"/>
        </w:rPr>
      </w:pPr>
    </w:p>
    <w:p>
      <w:pPr>
        <w:jc w:val="both"/>
        <w:ind w:firstLine="1763"/>
        <w:spacing w:after="0" w:line="255" w:lineRule="auto"/>
        <w:tabs>
          <w:tab w:leader="none" w:pos="2655"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Amgen shall have the right to grant a sublicense of the licenses granted in Section 3.1 to its Affiliates or Third Parties (whether directly or through multiple tiers in accordance with the terms of subsection (v) below) (each, a “</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provided that Amgen reports the identity of any Third Party Sublicensee to Arrowhead within thirty (30) days of granting such sublicense and provided further that any sublicenses to Third Parties shall be subject to Sections 3.3(a)(i) through (v):</w:t>
      </w:r>
    </w:p>
    <w:p>
      <w:pPr>
        <w:spacing w:after="0" w:line="158" w:lineRule="exact"/>
        <w:rPr>
          <w:sz w:val="20"/>
          <w:szCs w:val="20"/>
          <w:color w:val="auto"/>
        </w:rPr>
      </w:pPr>
    </w:p>
    <w:p>
      <w:pPr>
        <w:ind w:firstLine="263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Amgen shall remain primarily responsible for the performance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and any and all failures by its Sublicensees to comply with the applicable terms of this Agreement;</w:t>
      </w:r>
    </w:p>
    <w:p>
      <w:pPr>
        <w:sectPr>
          <w:pgSz w:w="11900" w:h="16838" w:orient="portrait"/>
          <w:cols w:equalWidth="0" w:num="1">
            <w:col w:w="11420"/>
          </w:cols>
          <w:pgMar w:left="240" w:top="531" w:right="239" w:bottom="1440" w:gutter="0" w:footer="0" w:header="0"/>
        </w:sectPr>
      </w:pPr>
    </w:p>
    <w:p>
      <w:pPr>
        <w:spacing w:after="0" w:line="15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b w:val="1"/>
          <w:bCs w:val="1"/>
          <w:color w:val="auto"/>
        </w:rPr>
        <w:t>(ii)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Amgen’s obligations hereunder;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sublicense shall refer to this Agreement, shall not conflict with</w:t>
      </w:r>
    </w:p>
    <w:p>
      <w:pPr>
        <w:spacing w:after="0" w:line="456" w:lineRule="exact"/>
        <w:rPr>
          <w:sz w:val="20"/>
          <w:szCs w:val="20"/>
          <w:color w:val="auto"/>
        </w:rPr>
      </w:pPr>
    </w:p>
    <w:p>
      <w:pPr>
        <w:sectPr>
          <w:pgSz w:w="11900" w:h="16838" w:orient="portrait"/>
          <w:cols w:equalWidth="0" w:num="2">
            <w:col w:w="4780" w:space="720"/>
            <w:col w:w="5920"/>
          </w:cols>
          <w:pgMar w:left="240" w:top="531" w:right="239" w:bottom="1440" w:gutter="0" w:footer="0" w:header="0"/>
          <w:type w:val="continuous"/>
        </w:sectPr>
      </w:pPr>
    </w:p>
    <w:p>
      <w:pPr>
        <w:ind w:left="2640"/>
        <w:spacing w:after="0"/>
        <w:tabs>
          <w:tab w:leader="none" w:pos="5540" w:val="left"/>
        </w:tabs>
        <w:rPr>
          <w:sz w:val="20"/>
          <w:szCs w:val="20"/>
          <w:color w:val="auto"/>
        </w:rPr>
      </w:pPr>
      <w:r>
        <w:rPr>
          <w:rFonts w:ascii="Times New Roman" w:cs="Times New Roman" w:eastAsia="Times New Roman" w:hAnsi="Times New Roman"/>
          <w:sz w:val="21"/>
          <w:szCs w:val="21"/>
          <w:b w:val="1"/>
          <w:bCs w:val="1"/>
          <w:color w:val="auto"/>
        </w:rPr>
        <w:t>(iii)</w:t>
      </w:r>
      <w:r>
        <w:rPr>
          <w:sz w:val="20"/>
          <w:szCs w:val="20"/>
          <w:color w:val="auto"/>
        </w:rPr>
        <w:tab/>
      </w:r>
      <w:r>
        <w:rPr>
          <w:rFonts w:ascii="Times New Roman" w:cs="Times New Roman" w:eastAsia="Times New Roman" w:hAnsi="Times New Roman"/>
          <w:sz w:val="21"/>
          <w:szCs w:val="21"/>
          <w:color w:val="auto"/>
        </w:rPr>
        <w:t>within a reasonable time after execution of such sublicense, Amgen</w:t>
      </w:r>
    </w:p>
    <w:p>
      <w:pPr>
        <w:sectPr>
          <w:pgSz w:w="11900" w:h="16838" w:orient="portrait"/>
          <w:cols w:equalWidth="0" w:num="1">
            <w:col w:w="11420"/>
          </w:cols>
          <w:pgMar w:left="240" w:top="531" w:right="239" w:bottom="1440" w:gutter="0" w:footer="0" w:header="0"/>
          <w:type w:val="continuous"/>
        </w:sectPr>
      </w:pPr>
    </w:p>
    <w:p>
      <w:pPr>
        <w:spacing w:after="0" w:line="4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shall provide to Arrowhead a copy of such sublicense, which may be redacted to omit any terms not relevant to determining Amgen’s and such Sublicensee’s obligations under this Agreement; and</w:t>
      </w:r>
    </w:p>
    <w:p>
      <w:pPr>
        <w:spacing w:after="0" w:line="174" w:lineRule="exact"/>
        <w:rPr>
          <w:sz w:val="20"/>
          <w:szCs w:val="20"/>
          <w:color w:val="auto"/>
        </w:rPr>
      </w:pPr>
    </w:p>
    <w:p>
      <w:pPr>
        <w:jc w:val="both"/>
        <w:ind w:firstLine="263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color w:val="auto"/>
        </w:rPr>
        <w:t>except as otherwise provided in the sublicense, if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for any reason, upon Amgen’s written request to Arrowhead, any Sublicensee of the licenses set forth in Section 3.1 shall, from the effective date of such termination, automatically become a direct licensee of Arrowhead on the terms and conditions hereunder with respect to the rights licensed to Amgen and sublicensed to the Sublicensee by Amgen;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ind w:left="720" w:hanging="712"/>
        <w:spacing w:after="0"/>
        <w:tabs>
          <w:tab w:leader="none" w:pos="72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57" w:name="page158"/>
    <w:bookmarkEnd w:id="157"/>
    <w:p>
      <w:pPr>
        <w:jc w:val="both"/>
        <w:ind w:firstLine="263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(v) </w:t>
      </w:r>
      <w:r>
        <w:rPr>
          <w:rFonts w:ascii="Times New Roman" w:cs="Times New Roman" w:eastAsia="Times New Roman" w:hAnsi="Times New Roman"/>
          <w:sz w:val="22"/>
          <w:szCs w:val="22"/>
          <w:color w:val="auto"/>
        </w:rPr>
        <w:t>such Sublicensees of the licenses contained in Section 3.1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grant further sublicenses to Third Parties of same or lesser scope as its sublicense from Amgen under the licenses contained in Section 3.1, provided that such further Sublicenses shall be in accordance with and subject to all of the terms and conditions of this Section 3.3 (i.e., such Sublicensee shall be subject to this Section 3.3 in the same manner and to the same extent as Amgen). For clarity, any person or entity to whom a Sublicensee grants a sublicense as permitted by the terms of this Agreement shall be deemed to be a Sublicensee for purposes of this Agreement.</w:t>
      </w:r>
    </w:p>
    <w:p>
      <w:pPr>
        <w:spacing w:after="0" w:line="17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Amgen shall have the right to retain Third Party contractors, to perform any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Amgen’s exercise of any of its rights granted under Section 3.1, where such activity is to be performed at the direction and control and for the sole benefit of Amgen, its Affiliates and/or Sublicensees. Such retention of the Third Party contractor shall not be a sublicense within the meaning of this Section 3.3 but shall be considered an activity of Amgen under the license granted in Section 3.1.</w:t>
      </w:r>
    </w:p>
    <w:p>
      <w:pPr>
        <w:spacing w:after="0" w:line="1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3.4 No Implied Licenses</w:t>
      </w:r>
      <w:r>
        <w:rPr>
          <w:rFonts w:ascii="Times New Roman" w:cs="Times New Roman" w:eastAsia="Times New Roman" w:hAnsi="Times New Roman"/>
          <w:sz w:val="22"/>
          <w:szCs w:val="22"/>
          <w:color w:val="auto"/>
        </w:rPr>
        <w:t>. Except as explicitly set forth in this Agreement, neither Party shall be deemed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estoppel or implication to have granted the other Party any license or other right to any intellectual property of such Party.</w:t>
      </w:r>
    </w:p>
    <w:p>
      <w:pPr>
        <w:spacing w:after="0" w:line="15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3.5 Contractors</w:t>
      </w:r>
      <w:r>
        <w:rPr>
          <w:rFonts w:ascii="Times New Roman" w:cs="Times New Roman" w:eastAsia="Times New Roman" w:hAnsi="Times New Roman"/>
          <w:sz w:val="22"/>
          <w:szCs w:val="22"/>
          <w:color w:val="auto"/>
        </w:rPr>
        <w:t>. To the extent that a Party contracts with a Third Party contractor to perform services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shall do so on terms that are commercially reasonable, including with respect to confidentiality and intellectual property rights.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 AND WORK PLAN</w:t>
      </w:r>
    </w:p>
    <w:p>
      <w:pPr>
        <w:spacing w:after="0" w:line="17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 Joint Research Committee. </w:t>
      </w:r>
      <w:r>
        <w:rPr>
          <w:rFonts w:ascii="Times New Roman" w:cs="Times New Roman" w:eastAsia="Times New Roman" w:hAnsi="Times New Roman"/>
          <w:sz w:val="22"/>
          <w:szCs w:val="22"/>
          <w:color w:val="auto"/>
        </w:rPr>
        <w:t>The joint research committee established pursuant to this Article 4 (the “</w:t>
      </w:r>
      <w:r>
        <w:rPr>
          <w:rFonts w:ascii="Times New Roman" w:cs="Times New Roman" w:eastAsia="Times New Roman" w:hAnsi="Times New Roman"/>
          <w:sz w:val="22"/>
          <w:szCs w:val="22"/>
          <w:b w:val="1"/>
          <w:bCs w:val="1"/>
          <w:color w:val="auto"/>
        </w:rPr>
        <w:t>Joint Research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will have oversight responsibility for the overall review of the activities pursuant to and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this Agreement during the Term.</w:t>
      </w:r>
    </w:p>
    <w:p>
      <w:pPr>
        <w:spacing w:after="0" w:line="16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 Formation and Purpose. </w:t>
      </w:r>
      <w:r>
        <w:rPr>
          <w:rFonts w:ascii="Times New Roman" w:cs="Times New Roman" w:eastAsia="Times New Roman" w:hAnsi="Times New Roman"/>
          <w:sz w:val="22"/>
          <w:szCs w:val="22"/>
          <w:color w:val="auto"/>
        </w:rPr>
        <w:t>Within [***] after the Closing Date, the Parties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establish and convene a JRC that will direct and oversee activities under this Agreement during the Term. The JRC shall consist of representatives from Arrowhead and Amgen, and operate in accordance with the procedures set forth in this Section 4.1 and any other procedures as agreed upon by the JRC members. Except as otherwise provided herein, the role of the Joint Research Committee shall be:</w:t>
      </w:r>
    </w:p>
    <w:p>
      <w:pPr>
        <w:spacing w:after="0" w:line="177" w:lineRule="exact"/>
        <w:rPr>
          <w:sz w:val="20"/>
          <w:szCs w:val="20"/>
          <w:color w:val="auto"/>
        </w:rPr>
      </w:pPr>
    </w:p>
    <w:p>
      <w:pPr>
        <w:ind w:firstLine="263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to encourage and facilitate ongoing communication and 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with respect to the activities during the Term under this Agreement,</w:t>
      </w:r>
    </w:p>
    <w:p>
      <w:pPr>
        <w:sectPr>
          <w:pgSz w:w="11900" w:h="16838" w:orient="portrait"/>
          <w:cols w:equalWidth="0" w:num="1">
            <w:col w:w="11420"/>
          </w:cols>
          <w:pgMar w:left="240" w:top="527" w:right="239" w:bottom="1440" w:gutter="0" w:footer="0" w:header="0"/>
        </w:sectPr>
      </w:pPr>
    </w:p>
    <w:p>
      <w:pPr>
        <w:spacing w:after="0" w:line="15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1"/>
          <w:szCs w:val="21"/>
          <w:b w:val="1"/>
          <w:bCs w:val="1"/>
          <w:color w:val="auto"/>
        </w:rPr>
        <w:t>(ii)</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oversee the activities to be undertaken by the Parties pursuant to</w:t>
      </w:r>
    </w:p>
    <w:p>
      <w:pPr>
        <w:spacing w:after="0" w:line="20" w:lineRule="exact"/>
        <w:rPr>
          <w:sz w:val="20"/>
          <w:szCs w:val="20"/>
          <w:color w:val="auto"/>
        </w:rPr>
      </w:pPr>
    </w:p>
    <w:p>
      <w:pPr>
        <w:sectPr>
          <w:pgSz w:w="11900" w:h="16838" w:orient="portrait"/>
          <w:cols w:equalWidth="0" w:num="2">
            <w:col w:w="4780" w:space="720"/>
            <w:col w:w="592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the Work Plan;</w:t>
      </w:r>
    </w:p>
    <w:p>
      <w:pPr>
        <w:spacing w:after="0" w:line="173" w:lineRule="exact"/>
        <w:rPr>
          <w:sz w:val="20"/>
          <w:szCs w:val="20"/>
          <w:color w:val="auto"/>
        </w:rPr>
      </w:pPr>
    </w:p>
    <w:p>
      <w:pPr>
        <w:ind w:left="2640"/>
        <w:spacing w:after="0"/>
        <w:tabs>
          <w:tab w:leader="none" w:pos="554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2"/>
          <w:szCs w:val="22"/>
          <w:color w:val="auto"/>
        </w:rPr>
        <w:t>to establish other such working groups or subcommittees, as</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needed to further the purposes of the Agreement relating to Licensed Compounds and Licensed Products, as mutually agreed by the Parties in writing;</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ind w:left="720" w:hanging="712"/>
        <w:spacing w:after="0"/>
        <w:tabs>
          <w:tab w:leader="none" w:pos="72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58" w:name="page159"/>
    <w:bookmarkEnd w:id="158"/>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to resolve any disputes referred to the JRC; and</w:t>
      </w:r>
    </w:p>
    <w:p>
      <w:pPr>
        <w:spacing w:after="0" w:line="207" w:lineRule="exact"/>
        <w:rPr>
          <w:sz w:val="20"/>
          <w:szCs w:val="20"/>
          <w:color w:val="auto"/>
        </w:rPr>
      </w:pPr>
    </w:p>
    <w:p>
      <w:pPr>
        <w:sectPr>
          <w:pgSz w:w="11900" w:h="16838" w:orient="portrait"/>
          <w:cols w:equalWidth="0" w:num="2">
            <w:col w:w="4820" w:space="720"/>
            <w:col w:w="5880"/>
          </w:cols>
          <w:pgMar w:left="240" w:top="527" w:right="239" w:bottom="1440" w:gutter="0" w:footer="0" w:header="0"/>
        </w:sectPr>
      </w:pPr>
    </w:p>
    <w:p>
      <w:pPr>
        <w:spacing w:after="0" w:line="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approve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decide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such</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other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matters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as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provided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this</w:t>
      </w:r>
    </w:p>
    <w:p>
      <w:pPr>
        <w:spacing w:after="0" w:line="20" w:lineRule="exact"/>
        <w:rPr>
          <w:sz w:val="20"/>
          <w:szCs w:val="20"/>
          <w:color w:val="auto"/>
        </w:rPr>
      </w:pPr>
    </w:p>
    <w:p>
      <w:pPr>
        <w:sectPr>
          <w:pgSz w:w="11900" w:h="16838" w:orient="portrait"/>
          <w:cols w:equalWidth="0" w:num="12">
            <w:col w:w="4760" w:space="720"/>
            <w:col w:w="180" w:space="140"/>
            <w:col w:w="700" w:space="140"/>
            <w:col w:w="180" w:space="140"/>
            <w:col w:w="560" w:space="140"/>
            <w:col w:w="400" w:space="140"/>
            <w:col w:w="440" w:space="140"/>
            <w:col w:w="640" w:space="140"/>
            <w:col w:w="180" w:space="140"/>
            <w:col w:w="780" w:space="140"/>
            <w:col w:w="160" w:space="140"/>
            <w:col w:w="320"/>
          </w:cols>
          <w:pgMar w:left="240" w:top="5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3" w:lineRule="exact"/>
        <w:rPr>
          <w:sz w:val="20"/>
          <w:szCs w:val="20"/>
          <w:color w:val="auto"/>
        </w:rPr>
      </w:pPr>
    </w:p>
    <w:p>
      <w:pPr>
        <w:ind w:left="1760"/>
        <w:spacing w:after="0"/>
        <w:tabs>
          <w:tab w:leader="none" w:pos="3960" w:val="left"/>
          <w:tab w:leader="none" w:pos="970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JRC Decisions; Final Decision Authority.</w:t>
      </w:r>
      <w:r>
        <w:rPr>
          <w:sz w:val="20"/>
          <w:szCs w:val="20"/>
          <w:color w:val="auto"/>
        </w:rPr>
        <w:tab/>
      </w:r>
      <w:r>
        <w:rPr>
          <w:rFonts w:ascii="Times New Roman" w:cs="Times New Roman" w:eastAsia="Times New Roman" w:hAnsi="Times New Roman"/>
          <w:sz w:val="21"/>
          <w:szCs w:val="21"/>
          <w:color w:val="auto"/>
        </w:rPr>
        <w:t>The JRC will make</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good faith efforts to make all decisions by consensus. Except as set forth in this Section 4.1(b), actions to be taken by the Joint Research Committee shall be taken only following unanimous vote, with each Party’s representatives collectively having one (1) vote. If the Joint Research Committee fails to reach unanimous agreement on a matter before it for decision for a period in excess of fifteen (15) days from the date first presented to the JRC in writing, either Party may submit such matter for resolution to the Executive Officers of the Parties for attempted resolution by good faith negotiation after such notice is received among the Executive Officers. In the event that such Executive Officers are unable to reach agreement regarding any matter referred to them, then the decision will be made by Amgen; provided, however, that Amgen shall not have the power to resolve such a matter in a manner that would require Arrowhead to incur additional costs to a material extent or to perform activities not contemplated by this Agreement.</w:t>
      </w:r>
    </w:p>
    <w:p>
      <w:pPr>
        <w:spacing w:after="0" w:line="179"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 Membership. </w:t>
      </w:r>
      <w:r>
        <w:rPr>
          <w:rFonts w:ascii="Times New Roman" w:cs="Times New Roman" w:eastAsia="Times New Roman" w:hAnsi="Times New Roman"/>
          <w:sz w:val="22"/>
          <w:szCs w:val="22"/>
          <w:color w:val="auto"/>
        </w:rPr>
        <w:t>Arrowhead and Amgen shall each designate an equal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to serve on the JRC by written notices to the other Party. Promptly after the Closing Date, each Party shall designate three (3) representatives for the JRC. The JRC may elect to vary the number of representatives from time to time during the Term; provided that the JRC shall maintain an equal number of representatives from each Party. Each representative shall have the appropriate level of experience in the subject area of the JRC, and at least one (1) representative shall have sufficient seniority within the applicable Party’s organization to have the necessary decision-making authority in order for the JRC to fulfill its responsibilities. Either Party may designate substitutes for its JRC representatives if one (1) or more of such Party’s designated representatives is unable to be present at a meeting. From time to time each Party may replace its JRC representatives by written notice to the other Party specifying the prior representative(s) and their replacement(s). The JRC in its discretion may create functional subcommittees or working teams.</w:t>
      </w:r>
    </w:p>
    <w:p>
      <w:pPr>
        <w:spacing w:after="0" w:line="180"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(d) Chairperson</w:t>
      </w:r>
      <w:r>
        <w:rPr>
          <w:rFonts w:ascii="Times New Roman" w:cs="Times New Roman" w:eastAsia="Times New Roman" w:hAnsi="Times New Roman"/>
          <w:sz w:val="22"/>
          <w:szCs w:val="22"/>
          <w:color w:val="auto"/>
        </w:rPr>
        <w:t>. The JRC will have two chairpersons, one designated by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The chairpersons shall be responsible for calling and convening meetings, but shall have no special authority over the other members of the JRC, and shall have no additional voting rights. The chairpersons (or their designates) shall jointly: (i) prepare and circulate an agenda reasonably in advance of each upcoming meeting; and (ii) prepare and issue minutes of each JRC meeting as promptly as practicable thereafter. Such minutes shall not be finalized until each JRC representative reviews and approves such minutes in writing.</w:t>
      </w:r>
    </w:p>
    <w:p>
      <w:pPr>
        <w:sectPr>
          <w:pgSz w:w="11900" w:h="16838" w:orient="portrait"/>
          <w:cols w:equalWidth="0" w:num="1">
            <w:col w:w="11420"/>
          </w:cols>
          <w:pgMar w:left="240" w:top="527" w:right="239" w:bottom="1440" w:gutter="0" w:footer="0" w:header="0"/>
          <w:type w:val="continuous"/>
        </w:sectPr>
      </w:pPr>
    </w:p>
    <w:p>
      <w:pPr>
        <w:spacing w:after="0" w:line="17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Meetings.</w:t>
      </w:r>
    </w:p>
    <w:p>
      <w:pPr>
        <w:spacing w:after="0" w:line="200" w:lineRule="exact"/>
        <w:rPr>
          <w:sz w:val="20"/>
          <w:szCs w:val="20"/>
          <w:color w:val="auto"/>
        </w:rPr>
      </w:pPr>
    </w:p>
    <w:p>
      <w:pPr>
        <w:sectPr>
          <w:pgSz w:w="11900" w:h="16838" w:orient="portrait"/>
          <w:cols w:equalWidth="0" w:num="2">
            <w:col w:w="3220" w:space="720"/>
            <w:col w:w="7480"/>
          </w:cols>
          <w:pgMar w:left="240" w:top="527" w:right="239" w:bottom="1440" w:gutter="0" w:footer="0" w:header="0"/>
          <w:type w:val="continuous"/>
        </w:sectPr>
      </w:pPr>
    </w:p>
    <w:p>
      <w:pPr>
        <w:spacing w:after="0" w:line="18"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b w:val="1"/>
          <w:bCs w:val="1"/>
          <w:color w:val="auto"/>
        </w:rPr>
        <w:t xml:space="preserve">JRC Meetings.  </w:t>
      </w:r>
      <w:r>
        <w:rPr>
          <w:rFonts w:ascii="Times New Roman" w:cs="Times New Roman" w:eastAsia="Times New Roman" w:hAnsi="Times New Roman"/>
          <w:sz w:val="22"/>
          <w:szCs w:val="22"/>
          <w:color w:val="auto"/>
        </w:rPr>
        <w:t>The JRC shall meet at such frequency as shall be</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agreed by the members of the JRC. In addition, as they may mutually agree, the Parties may hold joint meetings of the JRC and any governance body established under the First Collaboration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ind w:left="720" w:hanging="712"/>
        <w:spacing w:after="0"/>
        <w:tabs>
          <w:tab w:leader="none" w:pos="720"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59" w:name="page160"/>
    <w:bookmarkEnd w:id="159"/>
    <w:p>
      <w:pPr>
        <w:jc w:val="both"/>
        <w:ind w:firstLine="263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(ii) General Requirements. </w:t>
      </w:r>
      <w:r>
        <w:rPr>
          <w:rFonts w:ascii="Times New Roman" w:cs="Times New Roman" w:eastAsia="Times New Roman" w:hAnsi="Times New Roman"/>
          <w:sz w:val="22"/>
          <w:szCs w:val="22"/>
          <w:color w:val="auto"/>
        </w:rPr>
        <w:t>Other than the initial meeting,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held in person, the JRC may meet either (A) in person at either Party’s facilities or at such locations as the Parties may otherwise agree; or (B) by audio or video teleconference. Additional non-member representatives of a Party having relevant experience may from time to time be invited to participate in a JRC meeting. Non-member participants who are not employees of a Party or its Affiliates shall only be allowed to attend if: (i) the other Party’s representatives have consented to the attendance; and (ii) such non-member participant is subject to confidentiality and non-use obligations at least as restrictive as those set forth in this Agreement. Each Party shall be responsible for all of its own expenses incurred in connection with participating in the JRC including all travel and all expenses associated with an initial alliance kick-off meeting. All other expenses incurred by the JRC in furtherance of a meeting, such as expenses associated with off-site meetings, shall be shared equally by the Parties.</w:t>
      </w:r>
    </w:p>
    <w:p>
      <w:pPr>
        <w:spacing w:after="0" w:line="175"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(f) Alliance Managers. </w:t>
      </w:r>
      <w:r>
        <w:rPr>
          <w:rFonts w:ascii="Times New Roman" w:cs="Times New Roman" w:eastAsia="Times New Roman" w:hAnsi="Times New Roman"/>
          <w:sz w:val="22"/>
          <w:szCs w:val="22"/>
          <w:color w:val="auto"/>
        </w:rPr>
        <w:t>Promptly following the Closing Date, each Party shall designate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an Alliance Manager to serve as the primary point of contact for the Parties regarding all collaboration and transition activities contemplated under this Agreement. Each Alliance Manager shall facilitate communication and coordination of the Parties’ activities under this Agreement relating to the Products and shall plan the JRC meetings. The Alliance Managers shall be allowed to attend JRC meetings as observers.</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4.2 Work Plan</w:t>
      </w:r>
      <w:r>
        <w:rPr>
          <w:rFonts w:ascii="Times New Roman" w:cs="Times New Roman" w:eastAsia="Times New Roman" w:hAnsi="Times New Roman"/>
          <w:sz w:val="22"/>
          <w:szCs w:val="22"/>
          <w:color w:val="auto"/>
        </w:rPr>
        <w:t>. The JRC shall oversee the activities to be conducted by each Party pursuant to the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Other than as set forth in the Work Plan and in accordance with Article 6, Amgen shall be solely responsible for research and Development of the Licensed Compounds and Licensed Products in any and all fields and in accordance with applicable Laws.</w:t>
      </w:r>
    </w:p>
    <w:p>
      <w:pPr>
        <w:spacing w:after="0" w:line="16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 xml:space="preserve">Costs. </w:t>
      </w:r>
      <w:r>
        <w:rPr>
          <w:rFonts w:ascii="Times New Roman" w:cs="Times New Roman" w:eastAsia="Times New Roman" w:hAnsi="Times New Roman"/>
          <w:sz w:val="21"/>
          <w:szCs w:val="21"/>
          <w:color w:val="auto"/>
        </w:rPr>
        <w:t>The Parties’ respective responsibilities for the costs of Work Plan activities is as set forth therein.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w:t>
      </w:r>
    </w:p>
    <w:p>
      <w:pPr>
        <w:spacing w:after="0" w:line="17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 Regulatory Responsibilities. </w:t>
      </w:r>
      <w:r>
        <w:rPr>
          <w:rFonts w:ascii="Times New Roman" w:cs="Times New Roman" w:eastAsia="Times New Roman" w:hAnsi="Times New Roman"/>
          <w:sz w:val="22"/>
          <w:szCs w:val="22"/>
          <w:color w:val="auto"/>
        </w:rPr>
        <w:t>Amgen shall be solely responsible, at its expense, for preparing, filing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maintaining all Regulatory Materials for Licensed Products with Regulatory Authorities related to Licensed Products in the Territory, and Amgen shall own all Regulatory Materials (including all INDs, NDAs, Regulatory Approval Applications and Regulatory Approvals) for Licensed Products in the Territory and otherwise shall be responsible for all regulatory matters with respect to Licensed Products in the Territory.</w:t>
      </w:r>
    </w:p>
    <w:p>
      <w:pPr>
        <w:spacing w:after="0" w:line="17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 Regulatory Matters. </w:t>
      </w:r>
      <w:r>
        <w:rPr>
          <w:rFonts w:ascii="Times New Roman" w:cs="Times New Roman" w:eastAsia="Times New Roman" w:hAnsi="Times New Roman"/>
          <w:sz w:val="22"/>
          <w:szCs w:val="22"/>
          <w:color w:val="auto"/>
        </w:rPr>
        <w:t>Amgen shall keep Arrowhead reasonably informed of all material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relating to Licensed Products in the Territory through the annual development reports under Section 6.3. Arrowhead shall provide Amgen with such documentation that is in Arrowhead's possession and reasonably required to support applications to Regulatory Authorities with respect to the Development, Manufacture and Commercialization, as applicable, of Licensed Compounds and Licensed Products.</w:t>
      </w:r>
    </w:p>
    <w:p>
      <w:pPr>
        <w:spacing w:after="0" w:line="17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Adverse Event Reporting.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ind w:left="720" w:hanging="712"/>
        <w:spacing w:after="0"/>
        <w:tabs>
          <w:tab w:leader="none" w:pos="72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60" w:name="page161"/>
    <w:bookmarkEnd w:id="160"/>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Amgen shall be responsible for creating and maintaining a global safety database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Licensed Product in the Territory, at Amgen’s expense. Amgen shall be responsible for reporting quality complaints, adverse events and safety data related to the Licensed Product to applicable Regulatory Authorities in the Territory, as well as responding to safety issues and to all requests of Regulatory Authorities relating to the Licensed Product in the Territory. Arrowhead will not have direct access to the global safety database. Amgen will provide to Arrowhead such information from the safety database as Arrowhead may reasonably require to satisfy Arrowhead’s obligations under applicable Laws.</w:t>
      </w:r>
    </w:p>
    <w:p>
      <w:pPr>
        <w:spacing w:after="0" w:line="17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Prior to the commencement of clinical development of the Licensed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may request that the Parties discuss in good faith to determine whether a procedure for the mutual exchange of adverse event reports and safety information associated with the Licensed Product is reasonably required of the Parties in order to comply with applicable Laws. If the Parties so determine, the operating procedure respecting such adverse event reports and safety information exchange shall be the subject of a mutually-agreed written pharmacovigilance agreement between the Parties.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AND COMMERCIALIZATION</w:t>
      </w:r>
    </w:p>
    <w:p>
      <w:pPr>
        <w:spacing w:after="0" w:line="178"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6.1 General. </w:t>
      </w:r>
      <w:r>
        <w:rPr>
          <w:rFonts w:ascii="Times New Roman" w:cs="Times New Roman" w:eastAsia="Times New Roman" w:hAnsi="Times New Roman"/>
          <w:sz w:val="22"/>
          <w:szCs w:val="22"/>
          <w:color w:val="auto"/>
        </w:rPr>
        <w:t>Amgen (itself and with its Affiliates and Sublicensees), will be solely responsible, at its expense,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aspects of the Development and Commercialization of the Licensed Compounds and Licensed Product in the Territory Subject to the express written terms of this Agreement, all decisions concerning the development, marketing and sales of Licensed Products, including the clinical and regulatory strategy, design, sale, price and promotion of Licensed Products under this Agreement shall be within the sole discretion of Amgen. Following the Closing Date, Arrowhead will promptly transfer to Amgen all Arrowhead Know-How as is reasonably necessary or useful for Amgen to Develop and seek Regulatory Approval for the Licensed Compounds and Licensed Products, including all materials for supporting regulatory filings consistent with Amgen’s obligations under Article 5.</w:t>
      </w:r>
    </w:p>
    <w:p>
      <w:pPr>
        <w:spacing w:after="0" w:line="179"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 Diligence. </w:t>
      </w:r>
      <w:r>
        <w:rPr>
          <w:rFonts w:ascii="Times New Roman" w:cs="Times New Roman" w:eastAsia="Times New Roman" w:hAnsi="Times New Roman"/>
          <w:sz w:val="22"/>
          <w:szCs w:val="22"/>
          <w:color w:val="auto"/>
        </w:rPr>
        <w:t>Amgen shall use Commercially Reasonable Efforts to Develop, seek Regulatory Approval 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successful, Commercialize a Licensed Product in one or more fields in the Territory.</w:t>
      </w:r>
    </w:p>
    <w:p>
      <w:pPr>
        <w:spacing w:after="0" w:line="150"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6.3 Communication. </w:t>
      </w:r>
      <w:r>
        <w:rPr>
          <w:rFonts w:ascii="Times New Roman" w:cs="Times New Roman" w:eastAsia="Times New Roman" w:hAnsi="Times New Roman"/>
          <w:sz w:val="22"/>
          <w:szCs w:val="22"/>
          <w:color w:val="auto"/>
        </w:rPr>
        <w:t>During the Term until a Licensed Product receives Regulatory Approval, Amgen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Arrowhead summaries once per Calendar Year, of (i) material developments with respect to Licensed Products, including the anticipated timing of completion of any in-process Clinical Trial and results of any Phase 3 Clinical Trials, (ii) an estimate of its progress towards meeting key milestones that are expected to be achieved within the following six months, (iii) any Regulatory Approvals for Licensed Products in the Territory received and (iv) manufacturing information pursuant to Section 7.4 of this Agreement. All reports and other Information provided by Amgen under this Section 6.3 will be Amgen’s Confidential Information subject to the terms of Article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ind w:left="720" w:hanging="712"/>
        <w:spacing w:after="0"/>
        <w:tabs>
          <w:tab w:leader="none" w:pos="720"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MANUFACTURE AND SUPPLY</w:t>
      </w:r>
    </w:p>
    <w:p>
      <w:pPr>
        <w:spacing w:after="0" w:line="17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7.1 Responsibilities. </w:t>
      </w:r>
      <w:r>
        <w:rPr>
          <w:rFonts w:ascii="Times New Roman" w:cs="Times New Roman" w:eastAsia="Times New Roman" w:hAnsi="Times New Roman"/>
          <w:sz w:val="22"/>
          <w:szCs w:val="22"/>
          <w:color w:val="auto"/>
        </w:rPr>
        <w:t>Except as otherwise expressly provided in this Article 7 or as set forth in the Work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Amgen will be solely responsible for the Manufacture of Licensed Compounds and Licensed Products, at its expense, for Development and Commercialization purposes in the Territory. Following the Closing Date and as more fully set forth in the Work Plan, Arrowhead will transfer to Amgen all relevant manufacturing processes and Arrowhead Know-How as is reasonably necessary or useful for Amgen (or its Third Party manufacturer) to manufacture the Licensed Compounds and Licensed Products, including all materials for supporting regulatory filings. Any such manufacturing processes transferred by Arrowhead to Amgen shall be similar in quality to the processes used by Arrowhead for its internal compounds and products of a similar stage in development and applicable for the intended use. Upon request by Amgen, the Parties shall negotiate in good faith to enter into an agreement under which Arrowhead would provide process development and manufacturing services to Amgen on customary terms and conditions (including financial terms consistent with market practices).</w:t>
      </w:r>
    </w:p>
    <w:p>
      <w:pPr>
        <w:spacing w:after="0" w:line="180"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 Third Party Manufacture. </w:t>
      </w:r>
      <w:r>
        <w:rPr>
          <w:rFonts w:ascii="Times New Roman" w:cs="Times New Roman" w:eastAsia="Times New Roman" w:hAnsi="Times New Roman"/>
          <w:sz w:val="22"/>
          <w:szCs w:val="22"/>
          <w:color w:val="auto"/>
        </w:rPr>
        <w:t>Amgen may perform the Manufacture of Licensed Compounds or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through one or more Third Party manufacturers, provided that (a) Amgen remains responsible for such Third Party manufacturer performing activities under this Agreement and for any unauthorized use by such Third Party manufacturers of Arrowhead Licensed Technology provided to it by Amgen; (b) the Third Party manufacturer undertakes in writing obligations of confidentiality and non-use regarding Confidential Information that are no less protective than those set forth in Article 12; and (c) the Third Party manufacturer agrees in writing to commercially reasonable terms with respect to the intellectual property relating to such Licensed Compound or Licensed Product.</w:t>
      </w:r>
    </w:p>
    <w:p>
      <w:pPr>
        <w:spacing w:after="0" w:line="17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7.3 Existing Manufacturing Arrangements. </w:t>
      </w:r>
      <w:r>
        <w:rPr>
          <w:rFonts w:ascii="Times New Roman" w:cs="Times New Roman" w:eastAsia="Times New Roman" w:hAnsi="Times New Roman"/>
          <w:sz w:val="22"/>
          <w:szCs w:val="22"/>
          <w:color w:val="auto"/>
        </w:rPr>
        <w:t>If upon the Closing Date Arrowhead has made arrangements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competent and capable Third Party manufacturers to manufacture up to 2 kilograms of Licensed Compounds under GMP on customary terms and conditions (including financial terms consistent with market practices) Arrowhead shall deliver and Amgen shall receive the benefits and costs of such arrangements; provided, however, that upon Amgen’s request, Arrowhead shall assign, and Amgen shall assume, any agreement with a Third Party manufacturer in respect of such arrangement. To the extent Arrowhead has paid any such costs in advance, Amgen will reimburse such paid costs to Arrowhead within [***] days following the Closing Date, provided such costs will not exceed [***] dollars ($[***]).</w:t>
      </w:r>
    </w:p>
    <w:p>
      <w:pPr>
        <w:spacing w:after="0" w:line="17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7.4 Manufacturing Cooperation. </w:t>
      </w:r>
      <w:r>
        <w:rPr>
          <w:rFonts w:ascii="Times New Roman" w:cs="Times New Roman" w:eastAsia="Times New Roman" w:hAnsi="Times New Roman"/>
          <w:sz w:val="22"/>
          <w:szCs w:val="22"/>
          <w:color w:val="auto"/>
        </w:rPr>
        <w:t>Amgen and Arrowhead shall each keep the other Party reasonably informed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identities of any Third Party manufacturers performing Manufacturing activities for Licensed Compounds and the Licensed Product (in the case of Amgen, through the annual development reports under Section 6.3 and, once a Licensed Product receives Regulatory Approval, through annual updates communicated through the Alliance Managers). Arrowhead shall keep Amgen reasonably informed of any material improvements made by it or its Affiliates or Third Party Manufactures to the manufacturing processes for RNAi Molecules through periodic updates communicated through the Alliance Managers.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ind w:left="720" w:hanging="712"/>
        <w:spacing w:after="0"/>
        <w:tabs>
          <w:tab w:leader="none" w:pos="720"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62" w:name="page163"/>
    <w:bookmarkEnd w:id="162"/>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7.5 Use of Manufacturing Information. </w:t>
      </w:r>
      <w:r>
        <w:rPr>
          <w:rFonts w:ascii="Times New Roman" w:cs="Times New Roman" w:eastAsia="Times New Roman" w:hAnsi="Times New Roman"/>
          <w:sz w:val="22"/>
          <w:szCs w:val="22"/>
          <w:color w:val="auto"/>
        </w:rPr>
        <w:t>Amgen and its Affiliates and Third Party manufacturer shall use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Know-How related to the manufacture of Licensed Compounds or Licensed Products in accordance with the licenses granted in Section 3.1 and only for the purpose of Manufacturing Licensed Compounds or Licensed Products. Prior to any transfer of any Arrowhead Know-How that is Confidential Information to a Third Party manufacturer, Amgen shall require that such Third Party be bound to confidentiality restrictions at least as protective in the aggregate as those of Article 12.</w:t>
      </w:r>
    </w:p>
    <w:p>
      <w:pPr>
        <w:spacing w:after="0" w:line="177" w:lineRule="exact"/>
        <w:rPr>
          <w:sz w:val="20"/>
          <w:szCs w:val="20"/>
          <w:color w:val="auto"/>
        </w:rPr>
      </w:pPr>
    </w:p>
    <w:p>
      <w:pPr>
        <w:jc w:val="both"/>
        <w:ind w:firstLine="877"/>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7.6 Inventory. </w:t>
      </w:r>
      <w:r>
        <w:rPr>
          <w:rFonts w:ascii="Times New Roman" w:cs="Times New Roman" w:eastAsia="Times New Roman" w:hAnsi="Times New Roman"/>
          <w:sz w:val="21"/>
          <w:szCs w:val="21"/>
          <w:color w:val="auto"/>
        </w:rPr>
        <w:t>As of the Closing Date, Arrowhead hereby conveys, assigns and transfers to Amgen all right, title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interest in and to the Inventory. Arrowhead shall enter into customary documents (e.g., Certificates of Analysis, Material Safety Data Sheet) for the shipment of Inventory to Amgen. Arrowhead shall deliver to Amgen all quantities of Inventory to the location designated by Amgen using a carrier selected by and paid for by Amgen EXW (Incoterms 2010). Prior to the delivery of such Inventory to Amgen, Arrowhead will store and handle all Inventory in the same manner and using the same degree of care in which such Inventory was stored and handled immediately prior to the Closing Date (and in all events in accordance with GMP).</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7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8.1 License Fee</w:t>
      </w:r>
      <w:r>
        <w:rPr>
          <w:rFonts w:ascii="Times New Roman" w:cs="Times New Roman" w:eastAsia="Times New Roman" w:hAnsi="Times New Roman"/>
          <w:sz w:val="22"/>
          <w:szCs w:val="22"/>
          <w:color w:val="auto"/>
        </w:rPr>
        <w:t>. Within [***] days after the Closing Date, Amgen shall pay to Arrowhead a one-time, non-refundable and non-creditable upfront payment of thirty million Dollars ($30,000,000), and Amgen shall also purchase the Second Tranche Closing Shares pursuant to Section 1.3 of the Stock Purchase Agreement (the upfront payment and the purchase of the Second Tranche Closing Share collectively the “</w:t>
      </w:r>
      <w:r>
        <w:rPr>
          <w:rFonts w:ascii="Times New Roman" w:cs="Times New Roman" w:eastAsia="Times New Roman" w:hAnsi="Times New Roman"/>
          <w:sz w:val="22"/>
          <w:szCs w:val="22"/>
          <w:b w:val="1"/>
          <w:bCs w:val="1"/>
          <w:color w:val="auto"/>
        </w:rPr>
        <w:t>License Fee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87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8.2 Development and Regulatory Milestone Payments. </w:t>
      </w:r>
      <w:r>
        <w:rPr>
          <w:rFonts w:ascii="Times New Roman" w:cs="Times New Roman" w:eastAsia="Times New Roman" w:hAnsi="Times New Roman"/>
          <w:sz w:val="21"/>
          <w:szCs w:val="21"/>
          <w:color w:val="auto"/>
        </w:rPr>
        <w:t>Amgen shall make each of the following one-time, non-refundable, non-creditable development and regulatory milestone payments to Arrowhead upon the achievement by Amgen or its Affiliates or Sublicensees of the applicable development milestone event by the Licensed Product. Amgen shall pay to Arrowhead each such amount within [***] days after the achievement of the applicable development and regulatory milestone event. [***].</w:t>
      </w:r>
    </w:p>
    <w:p>
      <w:pPr>
        <w:sectPr>
          <w:pgSz w:w="11900" w:h="16838" w:orient="portrait"/>
          <w:cols w:equalWidth="0" w:num="1">
            <w:col w:w="11420"/>
          </w:cols>
          <w:pgMar w:left="240" w:top="527" w:right="239" w:bottom="1440" w:gutter="0" w:footer="0" w:header="0"/>
        </w:sectPr>
      </w:pP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b w:val="1"/>
          <w:bCs w:val="1"/>
          <w:color w:val="auto"/>
        </w:rPr>
        <w:t>Development and Regulatory Milestone Event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Development and</w:t>
      </w:r>
    </w:p>
    <w:p>
      <w:pPr>
        <w:spacing w:after="0" w:line="8"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Regulatory Milestone</w:t>
      </w:r>
    </w:p>
    <w:p>
      <w:pPr>
        <w:jc w:val="center"/>
        <w:ind w:right="3140"/>
        <w:spacing w:after="0"/>
        <w:rPr>
          <w:sz w:val="20"/>
          <w:szCs w:val="20"/>
          <w:color w:val="auto"/>
        </w:rPr>
      </w:pPr>
      <w:r>
        <w:rPr>
          <w:rFonts w:ascii="Times New Roman" w:cs="Times New Roman" w:eastAsia="Times New Roman" w:hAnsi="Times New Roman"/>
          <w:sz w:val="21"/>
          <w:szCs w:val="21"/>
          <w:b w:val="1"/>
          <w:bCs w:val="1"/>
          <w:color w:val="auto"/>
        </w:rPr>
        <w:t>Payment (each paid one</w:t>
      </w:r>
    </w:p>
    <w:p>
      <w:pPr>
        <w:spacing w:after="0" w:line="2"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22"/>
          <w:szCs w:val="22"/>
          <w:b w:val="1"/>
          <w:bCs w:val="1"/>
          <w:color w:val="auto"/>
        </w:rPr>
        <w:t>time only)</w:t>
      </w:r>
    </w:p>
    <w:p>
      <w:pPr>
        <w:spacing w:after="0" w:line="182" w:lineRule="exact"/>
        <w:rPr>
          <w:sz w:val="20"/>
          <w:szCs w:val="20"/>
          <w:color w:val="auto"/>
        </w:rPr>
      </w:pPr>
    </w:p>
    <w:p>
      <w:pPr>
        <w:sectPr>
          <w:pgSz w:w="11900" w:h="16838" w:orient="portrait"/>
          <w:cols w:equalWidth="0" w:num="2">
            <w:col w:w="5360" w:space="720"/>
            <w:col w:w="5340"/>
          </w:cols>
          <w:pgMar w:left="240" w:top="527"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8.3 Commercial Milestones. </w:t>
      </w:r>
      <w:r>
        <w:rPr>
          <w:rFonts w:ascii="Times New Roman" w:cs="Times New Roman" w:eastAsia="Times New Roman" w:hAnsi="Times New Roman"/>
          <w:sz w:val="22"/>
          <w:szCs w:val="22"/>
          <w:color w:val="auto"/>
        </w:rPr>
        <w:t>Amgen shall make each of the following one-time, non-refundable (except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Section 8.9), non-creditable sales milestone payments to Arrowhead when the Net Sales of a Licensed Product in the Territory first reach the amount specified below. Amgen shall pay to Arrowhead such amount within [***] days after the Calendar Quarter in which such commercial milestone event is achieved. [***].</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ind w:left="80" w:hanging="72"/>
        <w:spacing w:after="0"/>
        <w:tabs>
          <w:tab w:leader="none" w:pos="80" w:val="left"/>
        </w:tabs>
        <w:numPr>
          <w:ilvl w:val="0"/>
          <w:numId w:val="1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63" w:name="page164"/>
    <w:bookmarkEnd w:id="163"/>
    <w:tbl>
      <w:tblPr>
        <w:tblLayout w:type="fixed"/>
        <w:tblInd w:w="880" w:type="dxa"/>
        <w:tblCellMar>
          <w:top w:w="0" w:type="dxa"/>
          <w:left w:w="0" w:type="dxa"/>
          <w:bottom w:w="0" w:type="dxa"/>
          <w:right w:w="0" w:type="dxa"/>
        </w:tblCellMar>
      </w:tblPr>
      <w:tr>
        <w:trPr>
          <w:trHeight w:val="287"/>
        </w:trPr>
        <w:tc>
          <w:tcPr>
            <w:tcW w:w="580" w:type="dxa"/>
            <w:vAlign w:val="bottom"/>
          </w:tcPr>
          <w:p>
            <w:pPr>
              <w:spacing w:after="0"/>
              <w:rPr>
                <w:sz w:val="24"/>
                <w:szCs w:val="24"/>
                <w:color w:val="auto"/>
              </w:rPr>
            </w:pPr>
          </w:p>
        </w:tc>
        <w:tc>
          <w:tcPr>
            <w:tcW w:w="3920" w:type="dxa"/>
            <w:vAlign w:val="bottom"/>
            <w:gridSpan w:val="2"/>
          </w:tcPr>
          <w:p>
            <w:pPr>
              <w:ind w:left="560"/>
              <w:spacing w:after="0"/>
              <w:rPr>
                <w:sz w:val="20"/>
                <w:szCs w:val="20"/>
                <w:color w:val="auto"/>
              </w:rPr>
            </w:pPr>
            <w:r>
              <w:rPr>
                <w:rFonts w:ascii="Times New Roman" w:cs="Times New Roman" w:eastAsia="Times New Roman" w:hAnsi="Times New Roman"/>
                <w:sz w:val="22"/>
                <w:szCs w:val="22"/>
                <w:b w:val="1"/>
                <w:bCs w:val="1"/>
                <w:color w:val="auto"/>
              </w:rPr>
              <w:t>Sales Milestone Event</w:t>
            </w:r>
          </w:p>
        </w:tc>
        <w:tc>
          <w:tcPr>
            <w:tcW w:w="6040" w:type="dxa"/>
            <w:vAlign w:val="bottom"/>
          </w:tcPr>
          <w:p>
            <w:pPr>
              <w:ind w:left="86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459"/>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4"/>
              </w:rPr>
              <w:t>8.4</w:t>
            </w:r>
          </w:p>
        </w:tc>
        <w:tc>
          <w:tcPr>
            <w:tcW w:w="18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Royalties</w:t>
            </w:r>
          </w:p>
        </w:tc>
        <w:tc>
          <w:tcPr>
            <w:tcW w:w="208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444"/>
        </w:trPr>
        <w:tc>
          <w:tcPr>
            <w:tcW w:w="580" w:type="dxa"/>
            <w:vAlign w:val="bottom"/>
          </w:tcPr>
          <w:p>
            <w:pPr>
              <w:spacing w:after="0"/>
              <w:rPr>
                <w:sz w:val="24"/>
                <w:szCs w:val="24"/>
                <w:color w:val="auto"/>
              </w:rPr>
            </w:pPr>
          </w:p>
        </w:tc>
        <w:tc>
          <w:tcPr>
            <w:tcW w:w="18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w:t>
            </w:r>
          </w:p>
        </w:tc>
        <w:tc>
          <w:tcPr>
            <w:tcW w:w="208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w:t>
            </w:r>
          </w:p>
        </w:tc>
        <w:tc>
          <w:tcPr>
            <w:tcW w:w="6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Subject to Sections 8.4(b), 8.4(c), 8.4(d), and 8.5, Amgen shall pay</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to Arrowhead non-creditable, non-refundable (except as set forth in Section 8.9) royalties on annual Net Sales of Licensed Products in the Territory, as calculated by multiplying the applicable royalty rate by the corresponding amount of incremental Net Sales of the Licensed Product in the Territory in each Calendar Year as follows:</w:t>
      </w:r>
    </w:p>
    <w:p>
      <w:pPr>
        <w:sectPr>
          <w:pgSz w:w="11900" w:h="16838" w:orient="portrait"/>
          <w:cols w:equalWidth="0" w:num="1">
            <w:col w:w="11420"/>
          </w:cols>
          <w:pgMar w:left="240" w:top="527" w:right="239" w:bottom="1440" w:gutter="0" w:footer="0" w:header="0"/>
        </w:sectPr>
      </w:pP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b w:val="1"/>
          <w:bCs w:val="1"/>
          <w:color w:val="auto"/>
        </w:rPr>
        <w:t>Annual Net Sales of Licensed Products in the Territory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Royalty Rate</w:t>
      </w:r>
    </w:p>
    <w:p>
      <w:pPr>
        <w:spacing w:after="0" w:line="200" w:lineRule="exact"/>
        <w:rPr>
          <w:sz w:val="20"/>
          <w:szCs w:val="20"/>
          <w:color w:val="auto"/>
        </w:rPr>
      </w:pPr>
    </w:p>
    <w:p>
      <w:pPr>
        <w:sectPr>
          <w:pgSz w:w="11900" w:h="16838" w:orient="portrait"/>
          <w:cols w:equalWidth="0" w:num="2">
            <w:col w:w="6260" w:space="720"/>
            <w:col w:w="4440"/>
          </w:cols>
          <w:pgMar w:left="240" w:top="527"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760"/>
        <w:spacing w:after="0"/>
        <w:tabs>
          <w:tab w:leader="none" w:pos="3960" w:val="left"/>
          <w:tab w:leader="none" w:pos="550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Royalty Term.</w:t>
      </w:r>
      <w:r>
        <w:rPr>
          <w:sz w:val="20"/>
          <w:szCs w:val="20"/>
          <w:color w:val="auto"/>
        </w:rPr>
        <w:tab/>
      </w:r>
      <w:r>
        <w:rPr>
          <w:rFonts w:ascii="Times New Roman" w:cs="Times New Roman" w:eastAsia="Times New Roman" w:hAnsi="Times New Roman"/>
          <w:sz w:val="22"/>
          <w:szCs w:val="22"/>
          <w:color w:val="auto"/>
        </w:rPr>
        <w:t>Royalties shall be paid under this Section 8.4, on a country-by-</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country basis, [***]. Following the Royalty Term, Amgen shall have a fully paid-up, irrevocable, freely transferable and sublicensable license in such country under the relevant Arrowhead Patents to make, have made, use, sell, offer for sale, import and otherwise exploit such Licensed Product for any and all uses in the Territory.</w:t>
      </w:r>
    </w:p>
    <w:p>
      <w:pPr>
        <w:sectPr>
          <w:pgSz w:w="11900" w:h="16838" w:orient="portrait"/>
          <w:cols w:equalWidth="0" w:num="1">
            <w:col w:w="11420"/>
          </w:cols>
          <w:pgMar w:left="240" w:top="527" w:right="239" w:bottom="1440" w:gutter="0" w:footer="0" w:header="0"/>
          <w:type w:val="continuous"/>
        </w:sectPr>
      </w:pPr>
    </w:p>
    <w:p>
      <w:pPr>
        <w:spacing w:after="0" w:line="17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(c)</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20" w:space="720"/>
            <w:col w:w="7480"/>
          </w:cols>
          <w:pgMar w:left="240" w:top="527" w:right="239" w:bottom="1440" w:gutter="0" w:footer="0" w:header="0"/>
          <w:type w:val="continuous"/>
        </w:sectPr>
      </w:pPr>
    </w:p>
    <w:p>
      <w:pPr>
        <w:spacing w:after="0" w:line="1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1"/>
          <w:szCs w:val="21"/>
          <w:b w:val="1"/>
          <w:bCs w:val="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60" w:space="720"/>
            <w:col w:w="7440"/>
          </w:cols>
          <w:pgMar w:left="240" w:top="527" w:right="239" w:bottom="1440" w:gutter="0" w:footer="0" w:header="0"/>
          <w:type w:val="continuous"/>
        </w:sectPr>
      </w:pPr>
    </w:p>
    <w:p>
      <w:pPr>
        <w:spacing w:after="0" w:line="14"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2"/>
          <w:szCs w:val="22"/>
          <w:b w:val="1"/>
          <w:bCs w:val="1"/>
          <w:color w:val="auto"/>
        </w:rPr>
        <w:t xml:space="preserve">Royalty Reports and Payments. </w:t>
      </w:r>
      <w:r>
        <w:rPr>
          <w:rFonts w:ascii="Times New Roman" w:cs="Times New Roman" w:eastAsia="Times New Roman" w:hAnsi="Times New Roman"/>
          <w:sz w:val="22"/>
          <w:szCs w:val="22"/>
          <w:color w:val="auto"/>
        </w:rPr>
        <w:t>Within sixty (60) days following the end of each</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Calendar Quarter, commencing with the Calendar Quarter in which the First Commercial Sale of any Licensed Product is made anywhere in the Territory, Amgen shall provide Arrowhead with a report containing the following information for the applicable Calendar Quarter: (i) the amount of gross sales of Licensed Product in the Territory, (ii) an itemized calculation of Net Sales in the Territory (iii) a calculation of the royalty payment due on such sales, and (iv) the exchange rate for such country. Concurrent with the delivery of the applicable quarterly report, Amgen shall pay in Dollars all amounts due to Arrowhead pursuant to Section 8.4 in such Calendar Quarter.</w:t>
      </w:r>
    </w:p>
    <w:p>
      <w:pPr>
        <w:spacing w:after="0" w:line="17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8.6 Blocked Currency. </w:t>
      </w:r>
      <w:r>
        <w:rPr>
          <w:rFonts w:ascii="Times New Roman" w:cs="Times New Roman" w:eastAsia="Times New Roman" w:hAnsi="Times New Roman"/>
          <w:sz w:val="22"/>
          <w:szCs w:val="22"/>
          <w:color w:val="auto"/>
        </w:rPr>
        <w:t>In each country in the Territory where the local currency is blocked and cannot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removed from the country, at the election of Amgen, royalties accrued on Net Sales in such country shall be paid to Arrowhead in local currency by deposit in a local bank in such country designated by Arrowhead.</w:t>
      </w:r>
    </w:p>
    <w:p>
      <w:pPr>
        <w:spacing w:after="0" w:line="16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8.7 Currency of Payments. </w:t>
      </w:r>
      <w:r>
        <w:rPr>
          <w:rFonts w:ascii="Times New Roman" w:cs="Times New Roman" w:eastAsia="Times New Roman" w:hAnsi="Times New Roman"/>
          <w:sz w:val="22"/>
          <w:szCs w:val="22"/>
          <w:color w:val="auto"/>
        </w:rPr>
        <w:t>Unless otherwise set forth in this Agreement or agreed to by the Parties, all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shall be made in Dollars by wire transfer of immediately available funds into an account designated by Arrowhead. Net Sales outside of the U.S. shall be first determined in the currency in which they are earned and shall then be converted into an amount in Dollars using Amgen’s customary and usual conversion procedures used in preparing its financial statements pursuant to GAAP for the applicable reporting period.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ind w:left="720" w:hanging="712"/>
        <w:spacing w:after="0"/>
        <w:tabs>
          <w:tab w:leader="none" w:pos="720"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64" w:name="page165"/>
    <w:bookmarkEnd w:id="164"/>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8.8 Late Payments. </w:t>
      </w:r>
      <w:r>
        <w:rPr>
          <w:rFonts w:ascii="Times New Roman" w:cs="Times New Roman" w:eastAsia="Times New Roman" w:hAnsi="Times New Roman"/>
          <w:sz w:val="22"/>
          <w:szCs w:val="22"/>
          <w:color w:val="auto"/>
        </w:rPr>
        <w:t>If Arrowhead does not receive payment of any sum due to it on or before the due date,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portions thereof due hereunder which are not paid on the date such payments are due under this Agreement will bear interest at the lower of [***].</w:t>
      </w:r>
    </w:p>
    <w:p>
      <w:pPr>
        <w:spacing w:after="0" w:line="167"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8.9 Records; Audits. </w:t>
      </w:r>
      <w:r>
        <w:rPr>
          <w:rFonts w:ascii="Times New Roman" w:cs="Times New Roman" w:eastAsia="Times New Roman" w:hAnsi="Times New Roman"/>
          <w:sz w:val="22"/>
          <w:szCs w:val="22"/>
          <w:color w:val="auto"/>
        </w:rPr>
        <w:t>Amgen and its Affiliates will, and Amgen will cause each of its Sublicensees, if 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complete and accurate records in sufficient detail to confirm the accuracy of the calculation of royalty payments and the achievement of milestone events, for a period of [***] after the Calendar Year in which such sales or events occurred. Upon reasonable prior notice and without disruption to Amgen’s business, such records of Amgen and its Affiliates shall be made available during regular business hours for a period of [***] from the end of the Calendar Year to which they pertain for examination, and not more often than once each Calendar Year, by an independent certified public accountant selected by Arrowhead and reasonably acceptable to Amgen, for the sole purpose of and only to the extent necessary for verifying the accuracy of the financial reports furnished by Amgen pursuant to this Article 9. Such independent accountant shall disclose to Arrowhead only the amounts that such independent accountant believes to be due and payable hereunder to Arrowhead, details concerning any discrepancy from the amount paid and the amount due, and shall disclose no other information revealed in such audit. The records for any particular Calendar Year shall only be subject to one (1) audit hereunder. Any and all records examined by such independent accountant shall be deemed Amgen’s Confidential Information which may not be disclosed by such independent accountant to any Third Party, and Amgen may require such independent accountant to enter into an appropriate written agreement obligating it to be bound by obligations of confidentiality and restrictions on use of such Confidential Information that are no less protective than those set forth in Article 12. If, as a result of any inspection of the books and records of Amgen, it is shown that payments under this Agreement were less than the amount which should have been paid, then Amgen shall make all payments required to be made from the original due date to eliminate any discrepancy revealed by such inspection within [***]. If, as a result of any inspection of the books and records of Amgen, it is shown that payments under this Agreement were more than the amount which should have been paid, then Arrowhead shall, at Amgen’s election, either make all payments required to be made to eliminate any discrepancy revealed by such inspection within [***] or credit such amounts to Amgen against future payments. Arrowhead shall pay for such audits, except that in the event that the audited amounts were underpaid by Amgen by more than [***] of the undisputed amounts that should have been paid during the period in question as per the audit, Amgen shall pay the costs of the audit.</w:t>
      </w:r>
    </w:p>
    <w:p>
      <w:pPr>
        <w:spacing w:after="0" w:line="183"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8.10</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0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Taxes on Income. </w:t>
      </w:r>
      <w:r>
        <w:rPr>
          <w:rFonts w:ascii="Times New Roman" w:cs="Times New Roman" w:eastAsia="Times New Roman" w:hAnsi="Times New Roman"/>
          <w:sz w:val="22"/>
          <w:szCs w:val="22"/>
          <w:color w:val="auto"/>
        </w:rPr>
        <w:t>Each Party shall be solely responsible for the payment of all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imposed on its share of income arising directly or indirectly from the efforts of the Parties under this Agreement.</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The Parties agree to cooperate with one another and use reasonable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efforts to reduce or eliminate tax withholding or similar obligations in respect of royalties, milestone payments, and other payments made by Amgen to Arrowhead under this Agreement. To the extent Amgen is required under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any other tax Laws to deduct and withhold taxes on any payment to Arrowhead, Amgen shall pay the amounts of such taxes to the proper Governmental Authority in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ind w:left="720" w:hanging="712"/>
        <w:spacing w:after="0"/>
        <w:tabs>
          <w:tab w:leader="none" w:pos="720"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65" w:name="page166"/>
    <w:bookmarkEnd w:id="165"/>
    <w:p>
      <w:pPr>
        <w:jc w:val="both"/>
        <w:spacing w:after="0" w:line="233" w:lineRule="auto"/>
        <w:rPr>
          <w:sz w:val="20"/>
          <w:szCs w:val="20"/>
          <w:color w:val="auto"/>
        </w:rPr>
      </w:pPr>
      <w:r>
        <w:rPr>
          <w:rFonts w:ascii="Times New Roman" w:cs="Times New Roman" w:eastAsia="Times New Roman" w:hAnsi="Times New Roman"/>
          <w:sz w:val="22"/>
          <w:szCs w:val="22"/>
          <w:color w:val="auto"/>
        </w:rPr>
        <w:t>a timely manner and promptly transmit to Arrowhead an official tax certificate or other evidence of such withholding sufficient to enable Arrowhead to claim such payment of taxes. Except as otherwise provided in Section 8.10(c), if any taxes are so deducted or withheld, such deducted or withheld amounts shall be treated for all purposes of this Agreement as having been paid to Arrowhead. Upon Amgen’s reasonable request, Arrowhead shall provide Amgen any tax forms (including Internal Revenue Service Form W-8BEN or W-8ECI or other applicable Internal Revenue Service Form) that may be reasonably necessary in order for Amgen to determine whether to withhold tax on any such payments or to withhold tax on such payments at a reduced rate under the Code or any other tax Laws, including any applicable bilateral income tax treaty. Amgen shall give reasonable support so that any withholding tax or value added tax may be minimized or avoided to the extent permitted under the applicable Laws and treaties.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Amgen shall require its sublicensees in the Territory to cooperate with Arrowhead in a manner consistent with this Section 8.10(b).</w:t>
      </w:r>
    </w:p>
    <w:p>
      <w:pPr>
        <w:spacing w:after="0" w:line="182"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Taxes Resulting From Amgen Action. </w:t>
      </w:r>
      <w:r>
        <w:rPr>
          <w:rFonts w:ascii="Times New Roman" w:cs="Times New Roman" w:eastAsia="Times New Roman" w:hAnsi="Times New Roman"/>
          <w:sz w:val="22"/>
          <w:szCs w:val="22"/>
          <w:color w:val="auto"/>
        </w:rPr>
        <w:t>If Amgen is required to make a payment to</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Arrowhead that is subject to increased deduction or withholding of tax as a result of any willful action by Amgen, such as an assignment or sublicense by Amgen, or any failure on the part of Amgen to comply with applicable Laws or filing or record retention requirements (an “</w:t>
      </w:r>
      <w:r>
        <w:rPr>
          <w:rFonts w:ascii="Times New Roman" w:cs="Times New Roman" w:eastAsia="Times New Roman" w:hAnsi="Times New Roman"/>
          <w:sz w:val="22"/>
          <w:szCs w:val="22"/>
          <w:b w:val="1"/>
          <w:bCs w:val="1"/>
          <w:color w:val="auto"/>
        </w:rPr>
        <w:t>Amgen Withholding Tax Action</w:t>
      </w:r>
      <w:r>
        <w:rPr>
          <w:rFonts w:ascii="Times New Roman" w:cs="Times New Roman" w:eastAsia="Times New Roman" w:hAnsi="Times New Roman"/>
          <w:sz w:val="22"/>
          <w:szCs w:val="22"/>
          <w:color w:val="auto"/>
        </w:rPr>
        <w:t>”), then the sum payable by Amgen (in respect of which such increased deduction or withholding is required to be made) shall be increased to the extent necessary to ensure that Arrowhead receives a sum equal to the sum which it would have received had no such Amgen Withholding Tax Action occurred. Notwithstanding the foregoing, any assignment or sublicense by Amgen that is agreed or consented to by Arrowhead in advance in writing shall not constitute an Amgen Withholding Tax Action. To the extent that Arrowhead actually realizes a tax benefit in any jurisdiction as a result of any such withholding taxes paid by Amgen pursuant to this Section 8.10(c), Arrowhead shall cooperate with Amgen to convey the additional tax benefit, if possible, to Amgen.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MATTERS</w:t>
      </w:r>
    </w:p>
    <w:p>
      <w:pPr>
        <w:spacing w:after="0" w:line="178"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9.1 Inventions</w:t>
      </w:r>
      <w:r>
        <w:rPr>
          <w:rFonts w:ascii="Times New Roman" w:cs="Times New Roman" w:eastAsia="Times New Roman" w:hAnsi="Times New Roman"/>
          <w:sz w:val="22"/>
          <w:szCs w:val="22"/>
          <w:color w:val="auto"/>
        </w:rPr>
        <w:t>. Any inventions, whether or not patentable, and whether (a) invented solely by a Party’s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agents, consultants, or independent contractors (including any partner, joint venturer, licensee, sublicensee or similar arrangement) or (b) invented by a Party’s own employees, agents, consultants, or independent contractors jointly with employees, agents, consultants, or independent contractors of the other Party, in each case in the course of conducting a Party’s activities under this Agreement (including the Development, Manufacture or Commercialization of the Licensed Compounds and the Licensed Products), together with all intellectual property rights therein, shall be referred to herein as an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Inventorship shall be determined in accordance with U.S. patent laws (without reference to any conflict of law principles).</w:t>
      </w:r>
    </w:p>
    <w:p>
      <w:pPr>
        <w:spacing w:after="0" w:line="17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ind w:left="720" w:hanging="712"/>
        <w:spacing w:after="0"/>
        <w:tabs>
          <w:tab w:leader="none" w:pos="720"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66" w:name="page167"/>
    <w:bookmarkEnd w:id="166"/>
    <w:p>
      <w:pPr>
        <w:jc w:val="both"/>
        <w:ind w:firstLine="1755"/>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Except as otherwise expressly provided in this Agreement, (i) if an Invention is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invented by one or more employees, agents, consultants, subcontractors or independent contractors of a Party, such Invention, and any and all intellectual property rights therein, shall be solely owned by such Party; and (ii) if an Invention is jointly invented by one or more employees, agents, consultants, subcontractors or independent contractors of each Party, such Invention (a “</w:t>
      </w:r>
      <w:r>
        <w:rPr>
          <w:rFonts w:ascii="Times New Roman" w:cs="Times New Roman" w:eastAsia="Times New Roman" w:hAnsi="Times New Roman"/>
          <w:sz w:val="22"/>
          <w:szCs w:val="22"/>
          <w:b w:val="1"/>
          <w:bCs w:val="1"/>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and each Patent claiming such Joint Invention (each, a “</w:t>
      </w:r>
      <w:r>
        <w:rPr>
          <w:rFonts w:ascii="Times New Roman" w:cs="Times New Roman" w:eastAsia="Times New Roman" w:hAnsi="Times New Roman"/>
          <w:sz w:val="22"/>
          <w:szCs w:val="22"/>
          <w:b w:val="1"/>
          <w:bCs w:val="1"/>
          <w:color w:val="auto"/>
        </w:rPr>
        <w:t>Joint Patent</w:t>
      </w:r>
      <w:r>
        <w:rPr>
          <w:rFonts w:ascii="Times New Roman" w:cs="Times New Roman" w:eastAsia="Times New Roman" w:hAnsi="Times New Roman"/>
          <w:sz w:val="22"/>
          <w:szCs w:val="22"/>
          <w:color w:val="auto"/>
        </w:rPr>
        <w:t>”) and other intellectual property rights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Invention (such intellectual property rights, together with any such Joint Patent, “</w:t>
      </w:r>
      <w:r>
        <w:rPr>
          <w:rFonts w:ascii="Times New Roman" w:cs="Times New Roman" w:eastAsia="Times New Roman" w:hAnsi="Times New Roman"/>
          <w:sz w:val="22"/>
          <w:szCs w:val="22"/>
          <w:b w:val="1"/>
          <w:bCs w:val="1"/>
          <w:color w:val="auto"/>
        </w:rPr>
        <w:t>Joint IPR</w:t>
      </w:r>
      <w:r>
        <w:rPr>
          <w:rFonts w:ascii="Times New Roman" w:cs="Times New Roman" w:eastAsia="Times New Roman" w:hAnsi="Times New Roman"/>
          <w:sz w:val="22"/>
          <w:szCs w:val="22"/>
          <w:color w:val="auto"/>
        </w:rPr>
        <w:t xml:space="preserve">”), shall be jointly owned by the Parties. Subject to the terms of this Agreement and except as otherwise licensed to the other Party under this Agreement, and subject to any other intellectual property owned by the Parties, each Party shall be entitled to practice and exploit the Joint Inventions and Joint IPR, subject to the licenses granted under Article 4, without the duty of accounting, paying a share of the proceeds to, or seeking consent from the other Party, and each Party hereby waives any right it may have under the laws of any jurisdiction to require such accounting, payment or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any Joint Patent that, but for Amgen’s inventive contribution, would be an Arrowhead Platform Patent, Amgen’s rights to practice and exploit the Joint Patent shall be limited to its use with a RNAi Molecule directed toward the Collaboration Target, Licensed Compounds, and Licensed Products. Each Party agrees to be named as a party, if necessary, to bring or maintain a lawsuit involving a Joint Invention or Joint IPR.</w:t>
      </w:r>
    </w:p>
    <w:p>
      <w:pPr>
        <w:spacing w:after="0" w:line="181"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Each Party shall notify the other Party promptly after developing any Invention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other Party is the sole owner. Each Party shall assign and hereby assigns to the other Party its entire right, title and interest in and to such Inventions and the Patents and other intellectual property rights therein as needed to implement the ownership of the Patents in accordance with the provisions of Section 9.2(a).</w:t>
      </w:r>
    </w:p>
    <w:p>
      <w:pPr>
        <w:spacing w:after="0" w:line="172"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Nothing in this Agreement shall obligate either Party to transfer any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any Patents or other intellectual property rights of such Party existing on the Closing Date (“</w:t>
      </w:r>
      <w:r>
        <w:rPr>
          <w:rFonts w:ascii="Times New Roman" w:cs="Times New Roman" w:eastAsia="Times New Roman" w:hAnsi="Times New Roman"/>
          <w:sz w:val="22"/>
          <w:szCs w:val="22"/>
          <w:b w:val="1"/>
          <w:bCs w:val="1"/>
          <w:color w:val="auto"/>
        </w:rPr>
        <w:t>Background IP</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Prosecution of Patents</w:t>
      </w:r>
      <w:r>
        <w:rPr>
          <w:rFonts w:ascii="Times New Roman" w:cs="Times New Roman" w:eastAsia="Times New Roman" w:hAnsi="Times New Roman"/>
          <w:sz w:val="21"/>
          <w:szCs w:val="21"/>
          <w:color w:val="auto"/>
        </w:rPr>
        <w:t>.</w:t>
      </w:r>
    </w:p>
    <w:p>
      <w:pPr>
        <w:sectPr>
          <w:pgSz w:w="11900" w:h="16838" w:orient="portrait"/>
          <w:cols w:equalWidth="0" w:num="1">
            <w:col w:w="11420"/>
          </w:cols>
          <w:pgMar w:left="240" w:top="527" w:right="239" w:bottom="1440" w:gutter="0" w:footer="0" w:header="0"/>
        </w:sectPr>
      </w:pPr>
    </w:p>
    <w:p>
      <w:pPr>
        <w:spacing w:after="0" w:line="20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Arrowhead Patents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3240" w:space="720"/>
            <w:col w:w="7460"/>
          </w:cols>
          <w:pgMar w:left="240" w:top="527" w:right="239" w:bottom="1440" w:gutter="0" w:footer="0" w:header="0"/>
          <w:type w:val="continuous"/>
        </w:sectPr>
      </w:pPr>
    </w:p>
    <w:p>
      <w:pPr>
        <w:spacing w:after="0" w:line="6"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color w:val="auto"/>
        </w:rPr>
        <w:t>Subject to Section 9.3(a)(ii) and (iii), as between the Parties,</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Arrowhead shall have the sole right to prepare, file, prosecute and maintain all Arrowhead Patents (A) listed as “Platform Patents” on </w:t>
      </w:r>
      <w:r>
        <w:rPr>
          <w:rFonts w:ascii="Times New Roman" w:cs="Times New Roman" w:eastAsia="Times New Roman" w:hAnsi="Times New Roman"/>
          <w:sz w:val="21"/>
          <w:szCs w:val="21"/>
          <w:u w:val="single" w:color="auto"/>
          <w:color w:val="auto"/>
        </w:rPr>
        <w:t>Exhibits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(B) filed after the Effective Date and during the Term, except for any Arrowhead Product Patents as defined in Section 9.3(a)(ii), in each case including all Patents that claim priority, directly or indirectly, from such Patents; and any Patent from which such Patents claim priority, directly or indirectly (collectively, the “</w:t>
      </w:r>
      <w:r>
        <w:rPr>
          <w:rFonts w:ascii="Times New Roman" w:cs="Times New Roman" w:eastAsia="Times New Roman" w:hAnsi="Times New Roman"/>
          <w:sz w:val="21"/>
          <w:szCs w:val="21"/>
          <w:b w:val="1"/>
          <w:bCs w:val="1"/>
          <w:color w:val="auto"/>
        </w:rPr>
        <w:t>Arrowhead Platform Patents</w:t>
      </w:r>
      <w:r>
        <w:rPr>
          <w:rFonts w:ascii="Times New Roman" w:cs="Times New Roman" w:eastAsia="Times New Roman" w:hAnsi="Times New Roman"/>
          <w:sz w:val="21"/>
          <w:szCs w:val="21"/>
          <w:color w:val="auto"/>
        </w:rPr>
        <w:t>”), at Arrowhead’s cost and expense. On a Calendar Quarter basis, Arrowhead shall update Amgen on the status of the prosecution and maintenance of all Arrowhead Platform Patents and shall provide Amgen with copies of material filings with and communications from patent authorities with respect to such Patents to the extent applicable to Licensed Compounds or Licensed Products. Arrowhead shall respond to all reasonable requests of Amgen for additional Information with respect to all such prosecution and maintenance efforts. Arrowhead agrees to discuss and consider in good faith any recommendations of Amgen toward the objective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ind w:left="720" w:hanging="712"/>
        <w:spacing w:after="0"/>
        <w:tabs>
          <w:tab w:leader="none" w:pos="720"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67" w:name="page168"/>
    <w:bookmarkEnd w:id="167"/>
    <w:p>
      <w:pPr>
        <w:jc w:val="both"/>
        <w:spacing w:after="0" w:line="235" w:lineRule="auto"/>
        <w:rPr>
          <w:sz w:val="20"/>
          <w:szCs w:val="20"/>
          <w:color w:val="auto"/>
        </w:rPr>
      </w:pPr>
      <w:r>
        <w:rPr>
          <w:rFonts w:ascii="Times New Roman" w:cs="Times New Roman" w:eastAsia="Times New Roman" w:hAnsi="Times New Roman"/>
          <w:sz w:val="22"/>
          <w:szCs w:val="22"/>
          <w:color w:val="auto"/>
        </w:rPr>
        <w:t>optimizing overall patent protection for Licensed Compounds (during the Term) and Licensed Products (during the Term). If Arrowhead decides to cease the prosecution or maintenance of all claims in an Arrowhead Platform Patent that claims the Development, Manufacture or Commercialization of a Licensed Compound or Licensed Product in the Territory, it shall notify Amgen in writing sufficiently in advance so that Amgen may, at its discretion, assume the responsibility for the prosecution or maintenance of such Arrowhead Platform Patent to the extent claiming the Development, Manufacture or Commercialization of a Licensed Compound or Licensed Product in the Territory, at Amgen’s cost and expense. If Amgen assumes such responsibility in a jurisdiction, then no such claim shall be deemed a Valid Claim in such jurisdiction.</w:t>
      </w:r>
    </w:p>
    <w:p>
      <w:pPr>
        <w:spacing w:after="0" w:line="180" w:lineRule="exact"/>
        <w:rPr>
          <w:sz w:val="20"/>
          <w:szCs w:val="20"/>
          <w:color w:val="auto"/>
        </w:rPr>
      </w:pPr>
    </w:p>
    <w:p>
      <w:pPr>
        <w:jc w:val="both"/>
        <w:ind w:firstLine="2634"/>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22"/>
          <w:szCs w:val="22"/>
          <w:color w:val="auto"/>
        </w:rPr>
        <w:t>As between the Parties (x) until the Closing Date, Arrowhead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have the first right to prepare, file, prosecute and maintain all Arrowhead Patents having claims solely directed to compositions of matter comprising the nucleotide sequence and/or the modification pattern of Licensed Compounds or Licensed Products or methods of using or making Licensed Compounds or Licensed Products (collectively, and including those listed as “Product Patents” on </w:t>
      </w:r>
      <w:r>
        <w:rPr>
          <w:rFonts w:ascii="Times New Roman" w:cs="Times New Roman" w:eastAsia="Times New Roman" w:hAnsi="Times New Roman"/>
          <w:sz w:val="22"/>
          <w:szCs w:val="22"/>
          <w:u w:val="single" w:color="auto"/>
          <w:color w:val="auto"/>
        </w:rPr>
        <w:t>Exhibits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Arrowhead Product Patents</w:t>
      </w:r>
      <w:r>
        <w:rPr>
          <w:rFonts w:ascii="Times New Roman" w:cs="Times New Roman" w:eastAsia="Times New Roman" w:hAnsi="Times New Roman"/>
          <w:sz w:val="22"/>
          <w:szCs w:val="22"/>
          <w:color w:val="auto"/>
        </w:rPr>
        <w:t>”) in the Territory, at Arrowhead’s cost and expense and (y) from and after the Closing Date, Amgen shall have the first right to prepare, file, prosecute and maintain all Arrowhead Product Patents in the Territory, at Amgen’s cost and expense. Promptly following the Closing Date, Arrowhead shall transfer control of the Arrowhead Product Patents to Amgen. The prosecuting Party shall reasonably inform and consult with the other Party, and shall take the other Party’s comments into good faith consideration, with respect to the preparation, prosecution and maintenance of such Arrowhead Product Patents. The prosecuting Party shall provide to the other Party copies of any correspondence relating to the filing, prosecution or maintenance of such Arrowhead Product Patents reasonably in advance of their being filed or promptly upon their being received, including draft filings, reasonably in advance of their being filed, so that the other Party can comment and provide input with respect to such draft filings. The prosecuting Party agrees to discuss and consider in good faith any changes reasonably requested by the other Party to such correspondence, including draft filings, as promptly as practicable upon their being received, toward the objective of optimizing overall patent protection for Licensed Compounds or the Licensed Products. If the prosecuting Party decides to cease the prosecution or maintenance of an Arrowhead Product Patent, it shall notify the other Party in writing sufficiently in advance so that the other Party may, at its discretion, assume the responsibility for the prosecution or maintenance of such Arrowhead Product Patents at such other Party’s cost and expense. Notwithstanding the foregoing, while Arrowhead is the prosecuting Party pursuant to clause (x) above, Arrowhead shall not file any Patent application with respect to an Arrowhead Product Patent without the prior written consent of Amgen, not to be unreasonably withheld, conditioned or delayed.</w:t>
      </w:r>
    </w:p>
    <w:p>
      <w:pPr>
        <w:spacing w:after="0" w:line="186" w:lineRule="exact"/>
        <w:rPr>
          <w:sz w:val="20"/>
          <w:szCs w:val="20"/>
          <w:color w:val="auto"/>
        </w:rPr>
      </w:pPr>
    </w:p>
    <w:p>
      <w:pPr>
        <w:jc w:val="both"/>
        <w:ind w:firstLine="263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(iii) </w:t>
      </w:r>
      <w:r>
        <w:rPr>
          <w:rFonts w:ascii="Times New Roman" w:cs="Times New Roman" w:eastAsia="Times New Roman" w:hAnsi="Times New Roman"/>
          <w:sz w:val="22"/>
          <w:szCs w:val="22"/>
          <w:color w:val="auto"/>
        </w:rPr>
        <w:t>Following the Closing Date, the Parties shall meet and discuss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to which it is feasible to allocate certain claims in the Arrowhead Platform Patents to the Arrowhead Product Patents. At the reasonable request of Amgen, Arrowhead shall make such filings as the Parties reasonably agree to allocate claims solely claiming Licensed Compounds and/or Licensed Products in any and all fields to the Arrowhead Product Patents. The Parties shall equally share in the costs associated with such actions reasonably requested by Amgen.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ind w:left="720" w:hanging="712"/>
        <w:spacing w:after="0"/>
        <w:tabs>
          <w:tab w:leader="none" w:pos="720"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68" w:name="page169"/>
    <w:bookmarkEnd w:id="168"/>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(b) Joint Patents</w:t>
      </w:r>
      <w:r>
        <w:rPr>
          <w:rFonts w:ascii="Times New Roman" w:cs="Times New Roman" w:eastAsia="Times New Roman" w:hAnsi="Times New Roman"/>
          <w:sz w:val="22"/>
          <w:szCs w:val="22"/>
          <w:color w:val="auto"/>
        </w:rPr>
        <w:t>. Amgen shall have the first right to prepare, file, prosecute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all Joint Patents in the Territory, at Amgen’s cost and expense. Amgen shall reasonably inform and consult with Arrowhead, and shall take such other Arrowhead’s comments into good faith consideration, with respect to the preparation, prosecution and maintenance of such Joint Patents. Amgen shall provide to Arrowhead copies of any correspondence relating to the filing, prosecution or maintenance of such Joint Patents reasonably in advance of their being filed or promptly upon their being received, including draft filings, reasonably in advance of their being filed so that Arrowhead can comment and provide input with respect to such draft filings. Amgen agrees to discuss and consider in good faith any changes reasonably requested by Arrowhead to such correspondence, including draft filings, promptly upon their being received, toward the objective of optimizing overall patent protection for Licensed Compounds and the Licensed Product. If Amgen decides to cease the prosecution or maintenance of a Joint Patent, it shall notify Arrowhead in writing sufficiently in advance so that Arrowhead may, at its discretion, assume the responsibility for the prosecution or maintenance of such Joint Patent at Arrowhead’s cost and expense.</w:t>
      </w:r>
    </w:p>
    <w:p>
      <w:pPr>
        <w:spacing w:after="0" w:line="177"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 Cooperation. </w:t>
      </w:r>
      <w:r>
        <w:rPr>
          <w:rFonts w:ascii="Times New Roman" w:cs="Times New Roman" w:eastAsia="Times New Roman" w:hAnsi="Times New Roman"/>
          <w:sz w:val="22"/>
          <w:szCs w:val="22"/>
          <w:color w:val="auto"/>
        </w:rPr>
        <w:t>Each Party shall provide the other Party all reasonable assistance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cooperation, at the other Party’s request and expense, in the patent prosecution efforts as provided above in this Section 9.3, including providing any necessary powers of attorney and executing any other required documents or instruments for such prosecution. Each Party shall execute and deliver to the other assignments with respect to any Patents, including Joint Inventions, as applicable, in a mutually agreeable form and will take whatever actions reasonably necessary (including the appointment of the other Party as its attorney in fact solely to make such assignment) to effect such assignment, in accordance with the ownership provisions provided above in Section 9.2. The prosecuting Party under this Section 9.3 agrees to conduct such prosecution toward the objective of optimizing overall patent protection for Licensed Compounds and Licensed Products.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4"/>
              </w:rPr>
              <w:t>9.4</w:t>
            </w:r>
          </w:p>
        </w:tc>
        <w:tc>
          <w:tcPr>
            <w:tcW w:w="996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Enforcement of Arrowhead Patents and Joint Patents</w:t>
            </w:r>
            <w:r>
              <w:rPr>
                <w:rFonts w:ascii="Times New Roman" w:cs="Times New Roman" w:eastAsia="Times New Roman" w:hAnsi="Times New Roman"/>
                <w:sz w:val="22"/>
                <w:szCs w:val="22"/>
                <w:color w:val="auto"/>
              </w:rPr>
              <w:t>.</w:t>
            </w:r>
          </w:p>
        </w:tc>
      </w:tr>
      <w:tr>
        <w:trPr>
          <w:trHeight w:val="444"/>
        </w:trPr>
        <w:tc>
          <w:tcPr>
            <w:tcW w:w="580" w:type="dxa"/>
            <w:vAlign w:val="bottom"/>
          </w:tcPr>
          <w:p>
            <w:pPr>
              <w:spacing w:after="0"/>
              <w:rPr>
                <w:sz w:val="24"/>
                <w:szCs w:val="24"/>
                <w:color w:val="auto"/>
              </w:rPr>
            </w:pPr>
          </w:p>
        </w:tc>
        <w:tc>
          <w:tcPr>
            <w:tcW w:w="15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w:t>
            </w:r>
          </w:p>
        </w:tc>
        <w:tc>
          <w:tcPr>
            <w:tcW w:w="8440" w:type="dxa"/>
            <w:vAlign w:val="bottom"/>
          </w:tcPr>
          <w:p>
            <w:pPr>
              <w:ind w:left="980"/>
              <w:spacing w:after="0"/>
              <w:rPr>
                <w:sz w:val="20"/>
                <w:szCs w:val="20"/>
                <w:color w:val="auto"/>
              </w:rPr>
            </w:pP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If  either  Party  becomes  aware  of  any  existing  or  threatened</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infringement of Arrowhead Patents or Joint Patents with respect to Third Party products involving RNAi Molecules in any and all fields in the Territory, which infringing activity involves the using, making, importing, offering for sale or selling RNAi Molecules directed to the Collaboration Target, Licensed Compounds or Licensed Products, in each case in any and all fields and in the Territory, or any such Arrowhead Patent or Joint Patent is challenged in any action or proceeding to the extent directly relating to RNAi Molecules directed to the Collaboration Target, Licensed Compounds or Licensed Products, in each case in any field and in the Territory (other than any oppositions, cancellations, interferences, reissue proceedings or reexaminations, which are addressed in Section 9.7) (a “</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it shall promptly notify the other Party in writing to that effect and the Parties will consult with each other regarding any actions to be taken with respect to such Product Infringement. Each Party shall share with the other Party all Information available to it regarding such alleged Product Infringement.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ind w:left="720" w:hanging="712"/>
        <w:spacing w:after="0"/>
        <w:tabs>
          <w:tab w:leader="none" w:pos="720"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69" w:name="page170"/>
    <w:bookmarkEnd w:id="169"/>
    <w:p>
      <w:pPr>
        <w:jc w:val="center"/>
        <w:ind w:left="520"/>
        <w:spacing w:after="0"/>
        <w:rPr>
          <w:sz w:val="20"/>
          <w:szCs w:val="20"/>
          <w:color w:val="auto"/>
        </w:rPr>
      </w:pPr>
      <w:r>
        <w:rPr>
          <w:rFonts w:ascii="Times New Roman" w:cs="Times New Roman" w:eastAsia="Times New Roman" w:hAnsi="Times New Roman"/>
          <w:sz w:val="21"/>
          <w:szCs w:val="21"/>
          <w:b w:val="1"/>
          <w:bCs w:val="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Enforcement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260" w:space="720"/>
            <w:col w:w="7440"/>
          </w:cols>
          <w:pgMar w:left="240" w:top="527" w:right="239" w:bottom="1440" w:gutter="0" w:footer="0" w:header="0"/>
        </w:sectPr>
      </w:pPr>
    </w:p>
    <w:p>
      <w:pPr>
        <w:spacing w:after="0" w:line="18" w:lineRule="exact"/>
        <w:rPr>
          <w:sz w:val="20"/>
          <w:szCs w:val="20"/>
          <w:color w:val="auto"/>
        </w:rPr>
      </w:pPr>
    </w:p>
    <w:p>
      <w:pPr>
        <w:ind w:left="264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2"/>
          <w:szCs w:val="22"/>
          <w:color w:val="auto"/>
        </w:rPr>
        <w:t>Arrowhead shall have the first right, but not the obligation, to bring</w:t>
      </w:r>
    </w:p>
    <w:p>
      <w:pPr>
        <w:sectPr>
          <w:pgSz w:w="11900" w:h="16838" w:orient="portrait"/>
          <w:cols w:equalWidth="0" w:num="1">
            <w:col w:w="11420"/>
          </w:cols>
          <w:pgMar w:left="240" w:top="527"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 appropriate suit or other action against any person or entity engaged in a Product Infringement of the Arrowhead Platform Patents. Arrowhead shall keep Amgen regularly informed of the status and progress of such enforcement efforts, shall reasonably consider Amgen’s comments on any such efforts, and shall seek consent of Amgen in any important aspects of such enforcement, including determination of litigation strategy and filing of material papers to the competent court, which consent shall not be unreasonably withheld or delayed. In addition, Arrowhead shall provide Amgen with drafts of all material papers to be filed with the court and shall in good faith incorporate all reasonable comments thereto by Amgen before filing such papers. Amgen shall provide to Arrowhead reasonable assistance in such enforcement pursuant to this subsection (b)(i), at Arrowhead’s request and expense, including joining such action as a party plaintiff if required by applicable Laws to pursue such action.</w:t>
      </w:r>
    </w:p>
    <w:p>
      <w:pPr>
        <w:spacing w:after="0" w:line="178" w:lineRule="exact"/>
        <w:rPr>
          <w:sz w:val="20"/>
          <w:szCs w:val="20"/>
          <w:color w:val="auto"/>
        </w:rPr>
      </w:pPr>
    </w:p>
    <w:p>
      <w:pPr>
        <w:jc w:val="both"/>
        <w:ind w:firstLine="263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22"/>
          <w:szCs w:val="22"/>
          <w:color w:val="auto"/>
        </w:rPr>
        <w:t>If Arrowhead elects not to commence a suit to enforce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Arrowhead Platform Patents or settle or otherwise secure the abatement of such Product Infringement, then Amgen shall have the right, but not the obligation, to commence a suit or take action to enforce such Arrowhead Platform Patents against such Product Infringement in any and all fields in the Territory at its own cost and expense. In such event, promptly after Arrowhead’s notice to Amgen that it does not elect to enforce such Arrowhead Platform Patents, the Parties shall meet to discuss in good faith the strategy for enforcing such Arrowhead Platform Patents. Amgen acknowledges and agrees that the Arrowhead Platform Patents may be licensed to Third Parties who have rights with respect to the enforcement of such Patents, and that Amgen’s rights to conduct any enforcement activities are subject to such rights. In any event, Arrowhead shall have the right to consult with such Third Party licensees prior to making any decisions with respect to enforcement activities under this Section 9.4(b)(ii). In addition, Amgen shall provide Arrowhead with drafts of all material papers to be filed with the court and shall incorporate all reasonable comments thereto by Arrowhead before filing such papers. Arrowhead shall be entitled to separate representation in such matter by counsel of its own choice and at its own expense.</w:t>
      </w:r>
    </w:p>
    <w:p>
      <w:pPr>
        <w:spacing w:after="0" w:line="173" w:lineRule="exact"/>
        <w:rPr>
          <w:sz w:val="20"/>
          <w:szCs w:val="20"/>
          <w:color w:val="auto"/>
        </w:rPr>
      </w:pPr>
    </w:p>
    <w:p>
      <w:pPr>
        <w:jc w:val="both"/>
        <w:ind w:firstLine="263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(iii) </w:t>
      </w:r>
      <w:r>
        <w:rPr>
          <w:rFonts w:ascii="Times New Roman" w:cs="Times New Roman" w:eastAsia="Times New Roman" w:hAnsi="Times New Roman"/>
          <w:sz w:val="22"/>
          <w:szCs w:val="22"/>
          <w:color w:val="auto"/>
        </w:rPr>
        <w:t>Amgen shall have the first right, but not the obligation, to bring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an appropriate suit or other action against any person or entity engaged in a Product Infringement of the Arrowhead Product Patents or Joint Patents, in its own name and entirely under its own direction and control, subject to the following. Amgen shall keep Arrowhead regularly informed of the status and progress of such enforcement efforts. Amgen shall consult with Arrowhead and take any Arrowhead comments into good faith consideration with respect to the infringement, claim construction, or defense of the validity or enforceability of any claim in any Arrowhead Product Patent or Joint Patent. In addition, Amgen shall provide Arrowhead with drafts of all material papers to be filed with the court and shall incorporate all reasonable comments thereto by Arrowhead before filing such papers. Arrowhead shall provide to Amgen reasonable assistance in such enforcement pursuant to this Section 9.4(b)(iii), at Amgen’s request and expense, including joining such action as a party plaintiff if requested by Amgen or required by applicable Laws to pursue such action. Arrowhead shall be entitled to separate representation in such matter by counsel of its own choice and at its own expense.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ind w:left="720" w:hanging="712"/>
        <w:spacing w:after="0"/>
        <w:tabs>
          <w:tab w:leader="none" w:pos="72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70" w:name="page171"/>
    <w:bookmarkEnd w:id="170"/>
    <w:p>
      <w:pPr>
        <w:jc w:val="both"/>
        <w:ind w:firstLine="2634"/>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color w:val="auto"/>
        </w:rPr>
        <w:t>If Amgen elects not to settle, or bring any action or proceeding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9.4(b)(iii), then it will notify Arrowhead thereof and Arrowhead may bring such suit or other action against any person or entity engaged in a Product Infringement of the Arrowhead Product Patents or Joint Patents, in its own name and entirely under its own direction and control, subject to the following. Arrowhead shall consult with Amgen and take any Amgen comments into good faith consideration with respect to the infringement, claim construction, or defense of the validity or enforceability of any claim in any Arrowhead Product Patent or Joint Patent. Amgen shall provide to Arrowhead reasonable assistance in such enforcement pursuant to this Section 9.4(b)(iv), at Arrowhead’s request and expense, including joining such action as a party plaintiff if requested by Arrowhead or required by applicable Laws to pursue such action. Amgen shall have the right to participate and be represented in any such suit by its own counsel at its own expense with respect to a Product Infringement. No settlement of any such action or proceeding which restricts the scope, or adversely affects the enforceability, of any Arrowhead Product Patent or Joint Patent, or imposes on Amgen any restrictions, obligations or other liabilities, shall be entered into by Arrowhead without the prior written consent of Amgen, which consent shall not be unreasonably withheld, conditioned, or delayed. Arrowhead shall not knowingly take any action during such litigation of any Arrowhead Product Patent or Joint Patent that would materially and adversely affect them, without Amgen’s prior written consent, which shall not be unreasonably withheld, delayed, or conditioned. Notwithstanding the foregoing, Arrowhead will not have the right to enforce or settle any such action or proceeding if Amgen has a good faith belief that enforcement of such Arrowhead Product Patent or Joint Patent in such circumstances could unreasonably jeopardize the rights licensed to Amgen under such Patent.</w:t>
      </w:r>
    </w:p>
    <w:p>
      <w:pPr>
        <w:spacing w:after="0" w:line="173" w:lineRule="exact"/>
        <w:rPr>
          <w:sz w:val="20"/>
          <w:szCs w:val="20"/>
          <w:color w:val="auto"/>
        </w:rPr>
      </w:pPr>
    </w:p>
    <w:p>
      <w:pPr>
        <w:jc w:val="both"/>
        <w:ind w:firstLine="263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(v) </w:t>
      </w:r>
      <w:r>
        <w:rPr>
          <w:rFonts w:ascii="Times New Roman" w:cs="Times New Roman" w:eastAsia="Times New Roman" w:hAnsi="Times New Roman"/>
          <w:sz w:val="22"/>
          <w:szCs w:val="22"/>
          <w:color w:val="auto"/>
        </w:rPr>
        <w:t>Notwithstanding Section 9.4(b)(ii) or (iv), if a Third Party submits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application to the appropriate Regulatory Authority for approval to sell a drug product, and supports the application with any safety, efficacy, or other data that either Party has generated in Developing a Licensed Compound or Licensed Product, then the following will apply:</w:t>
      </w:r>
    </w:p>
    <w:p>
      <w:pPr>
        <w:spacing w:after="0" w:line="172" w:lineRule="exact"/>
        <w:rPr>
          <w:sz w:val="20"/>
          <w:szCs w:val="20"/>
          <w:color w:val="auto"/>
        </w:rPr>
      </w:pPr>
    </w:p>
    <w:p>
      <w:pPr>
        <w:jc w:val="both"/>
        <w:ind w:firstLine="3511"/>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22"/>
          <w:szCs w:val="22"/>
          <w:color w:val="auto"/>
        </w:rPr>
        <w:t>if a Party receives from the Third Party a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alleging that the Third Party’s manufacture, use, or sale of the drug product does not infringe an Arrowhead Patent, or that such Patent is invalid or unenforceable (such as a certification under 21 U.S.C. §§ 355(b)(2)(A)(iv) or 355(j)(2)(A)(vii)(IV), 21 C.F.R.</w:t>
      </w:r>
    </w:p>
    <w:p>
      <w:pPr>
        <w:spacing w:after="0" w:line="2" w:lineRule="exact"/>
        <w:rPr>
          <w:sz w:val="20"/>
          <w:szCs w:val="20"/>
          <w:color w:val="auto"/>
        </w:rPr>
      </w:pPr>
    </w:p>
    <w:p>
      <w:pPr>
        <w:jc w:val="both"/>
        <w:ind w:firstLine="8"/>
        <w:spacing w:after="0" w:line="234" w:lineRule="auto"/>
        <w:tabs>
          <w:tab w:leader="none" w:pos="28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314.94 or 314.95, 42 U.S.C. § 262(l), or under any other law anywhere in the world that by its effect permits a Third Party to support its application for approval with any safety, efficacy, or other data generated in Developing a Licensed Compound or Licensed Product), then the Party receiving the notice will provide it to the other Party via facsimile and overnight courier as soon as practicable and at least within five (5) days after receiving the notice.</w:t>
      </w:r>
    </w:p>
    <w:p>
      <w:pPr>
        <w:spacing w:after="0" w:line="174" w:lineRule="exact"/>
        <w:rPr>
          <w:sz w:val="20"/>
          <w:szCs w:val="20"/>
          <w:color w:val="auto"/>
        </w:rPr>
      </w:pPr>
    </w:p>
    <w:p>
      <w:pPr>
        <w:jc w:val="both"/>
        <w:ind w:firstLine="3511"/>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 </w:t>
      </w:r>
      <w:r>
        <w:rPr>
          <w:rFonts w:ascii="Times New Roman" w:cs="Times New Roman" w:eastAsia="Times New Roman" w:hAnsi="Times New Roman"/>
          <w:sz w:val="22"/>
          <w:szCs w:val="22"/>
          <w:color w:val="auto"/>
        </w:rPr>
        <w:t>Arrowhead will have the first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institute and control (where Arrowhead is a plaintiff) or defend and control (where Arrowhead is a defendant) an action before any government or private tribunal against the Third Party concerning the infringement, validity, and enforceability of any Arrowhead Platform Patent and to settle any claims in connection with such Patents. Amgen will have the first right, but not the obligation, to institute and control (where Amgen is a plaintiff) or defend and control (where Amgen is a defendant) an action before any government or private tribunal against the Third Party concerning the infringement, validity, and enforceability of any Arrowhead Product Patent and to settle any claims in connection with such Patents. If the applicable Party decides not to institute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ind w:left="720" w:hanging="712"/>
        <w:spacing w:after="0"/>
        <w:tabs>
          <w:tab w:leader="none" w:pos="72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71" w:name="page172"/>
    <w:bookmarkEnd w:id="17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defend, as applicable) such action, such Party will give notice to the other Party of its decision within twenty (20) days of the deadline for initiating the action (or, if such Party is defending the action, within twenty (20) days of any deadline required to maintain the action), upon receipt of which the other Party may institute (or defend, as applicable) and control such action. Each Party will cooperate fully with the other Party in such actions and will provide reasonable assistance (including making available to such other Party documents possessed by such Party that are reasonably required by such other Party and making available personnel for interviews and testimony) in any actions undertaken in accordance with this Section 9.4(b)(v). At the controlling Party’s request, the other Party agrees to join any such action, or, in the case of Arrowhead, to use reasonable efforts to cause any Third Party licensor under any license agreement between Arrowhead and such Third Party pursuant to which Arrowhead has obtained rights to any Arrowhead Licensed Technology, including the agreements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to join any such action, for the purpose of establishing standing. Each Party will have the right to approve any settlement under Section 9.4(b)(v) that would adversely affect the Arrowhead Patents or result in any liability, restriction, obligation or admission on behalf of such Party, such approval not to be unreasonably withheld, conditioned, or delayed. Any recovery, by settlement or otherwise, realized as a result of such litigation will be allocated in accordance with Section 9.4(d).</w:t>
      </w:r>
    </w:p>
    <w:p>
      <w:pPr>
        <w:spacing w:after="0" w:line="180"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2"/>
          <w:szCs w:val="22"/>
          <w:b w:val="1"/>
          <w:bCs w:val="1"/>
          <w:color w:val="auto"/>
        </w:rPr>
        <w:t>(c) Settlement</w:t>
      </w:r>
      <w:r>
        <w:rPr>
          <w:rFonts w:ascii="Times New Roman" w:cs="Times New Roman" w:eastAsia="Times New Roman" w:hAnsi="Times New Roman"/>
          <w:sz w:val="22"/>
          <w:szCs w:val="22"/>
          <w:color w:val="auto"/>
        </w:rPr>
        <w:t>. Neither Party shall settle any claim, suit or action that it brought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9.4(b) without the prior written consent of the other Party, not to be unreasonably withheld, delayed, or</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conditioned. Nothing in this Article 9 shall require such other Party to consent to any settlement that is reasonably anticipated by such other Party to have a material and adverse impact upon any Arrowhead Patents or Joint Patents.</w:t>
      </w:r>
    </w:p>
    <w:p>
      <w:pPr>
        <w:spacing w:after="0" w:line="175"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(d) Expenses and Recoveries</w:t>
      </w:r>
      <w:r>
        <w:rPr>
          <w:rFonts w:ascii="Times New Roman" w:cs="Times New Roman" w:eastAsia="Times New Roman" w:hAnsi="Times New Roman"/>
          <w:sz w:val="22"/>
          <w:szCs w:val="22"/>
          <w:color w:val="auto"/>
        </w:rPr>
        <w:t>. The enforcing Party bringing a claim, suit or action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9.4(b) shall be solely responsible for any expenses incurred by such Party as a result of such claim, suit or action. If such Party recovers monetary damages in such claim, suit or action, such recovery shall first be allocated to the reimbursement of any expenses incurred by the Parties in such litigation (including, for this purpose, a reasonable allocation of expenses of internal counsel). If such recovery is insufficient to cover all such costs and expenses of both Parties, it shall be shared in proportion to the total of such costs and expenses incurred by each Party. If after such reimbursement any funds remain from such damages or other sums recovered, if Amgen brought such suit, such remaining funds shall [***].</w:t>
      </w:r>
    </w:p>
    <w:p>
      <w:pPr>
        <w:spacing w:after="0" w:line="176"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2"/>
          <w:szCs w:val="22"/>
          <w:b w:val="1"/>
          <w:bCs w:val="1"/>
          <w:color w:val="auto"/>
        </w:rPr>
        <w:t>Infringement Other Than a Product Infringement</w:t>
      </w:r>
      <w:r>
        <w:rPr>
          <w:rFonts w:ascii="Times New Roman" w:cs="Times New Roman" w:eastAsia="Times New Roman" w:hAnsi="Times New Roman"/>
          <w:sz w:val="22"/>
          <w:szCs w:val="22"/>
          <w:color w:val="auto"/>
        </w:rPr>
        <w:t>.  For any and all infringement</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of any Arrowhead Patents or Joint Patents other than a Product Infringement, as between the Parties, (i) Arrowhead shall have the sole and exclusive right to bring an appropriate suit or other action against any person or entity engaged in such other infringement of an Arrowhead Patent, in its sole discretion, and shall bear all related expenses and retain all related recoveries, and (ii) each Party shall have the right to bring an appropriate suit or other action against any person or entity engaged in such other infringement of a Joint Patent, in its sole discretion, and shall bear all related expenses and retain all related recoveries, and the other Party shall provide reasonable assistance in such enforcement action, including joining such action as a party plaintiff if required by applicable Laws to pursue such action, at the request and expense of the Party bringing the suit or action.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ind w:left="720" w:hanging="712"/>
        <w:spacing w:after="0"/>
        <w:tabs>
          <w:tab w:leader="none" w:pos="72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72" w:name="page173"/>
    <w:bookmarkEnd w:id="172"/>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9.5 Patents Licensed From Third Parties. </w:t>
      </w:r>
      <w:r>
        <w:rPr>
          <w:rFonts w:ascii="Times New Roman" w:cs="Times New Roman" w:eastAsia="Times New Roman" w:hAnsi="Times New Roman"/>
          <w:sz w:val="22"/>
          <w:szCs w:val="22"/>
          <w:color w:val="auto"/>
        </w:rPr>
        <w:t>Each Party’s rights under this Article 9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prosecution, maintenance and enforcement of any Arrowhead Patent that is licensed by Arrowhead from a Third Party shall be subject to the rights of such Third Party to prosecute, maintain and enforce such Patent.</w:t>
      </w:r>
    </w:p>
    <w:p>
      <w:pPr>
        <w:spacing w:after="0" w:line="167"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9.6 Infringement of Third Party Rights in the Territory</w:t>
      </w:r>
      <w:r>
        <w:rPr>
          <w:rFonts w:ascii="Times New Roman" w:cs="Times New Roman" w:eastAsia="Times New Roman" w:hAnsi="Times New Roman"/>
          <w:sz w:val="22"/>
          <w:szCs w:val="22"/>
          <w:color w:val="auto"/>
        </w:rPr>
        <w:t>. If any Licensed Compound or Licensed Product 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sold by Amgen, its Affiliates or sublicensees becomes the subject of a Third Party’s claim or assertion of infringement of a Patent granted by a jurisdiction within the Territory, Amgen shall promptly notify Arrowhead and the Parties shall agree on and enter into a “common interest agreement” wherein the Parties agree to their shared, mutual interest in the outcome of such potential dispute, and thereafter, the Parties shall promptly meet to consider the claim or assertion and the appropriate course of action. Amgen shall be solely responsible for the defense of any such infringement claims, provided that Amgen shall provide to Arrowhead the ability to join such action, at Arrowhead’s request and expense, to pursue such action in which a patent asserted by a Third Party under this Section 9.6, claims (a) the composition of matter or use, sale, offer for sale, or importation in any and all fields of any Licensed Compound or Licensed Product or (b) the manufacture of any such Licensed Compound or Licensed Product using the process employed by Arrowhead as of the Effective Date (any such patent, “</w:t>
      </w:r>
      <w:r>
        <w:rPr>
          <w:rFonts w:ascii="Times New Roman" w:cs="Times New Roman" w:eastAsia="Times New Roman" w:hAnsi="Times New Roman"/>
          <w:sz w:val="22"/>
          <w:szCs w:val="22"/>
          <w:b w:val="1"/>
          <w:bCs w:val="1"/>
          <w:color w:val="auto"/>
        </w:rPr>
        <w:t>Subject Patent</w:t>
      </w:r>
      <w:r>
        <w:rPr>
          <w:rFonts w:ascii="Times New Roman" w:cs="Times New Roman" w:eastAsia="Times New Roman" w:hAnsi="Times New Roman"/>
          <w:sz w:val="22"/>
          <w:szCs w:val="22"/>
          <w:color w:val="auto"/>
        </w:rPr>
        <w:t>”). To the extent directly related to the Subject Patent, Amgen shall keep Arrowhead regularly informed of the status and progress of any action to the extent involving a Subject Patent, shall reasonably consider Arrowhead’s comments on any such action with respect to such Subject Patent, including determination of litigation strategy and filing of material papers to the competent court. In addition, Amgen shall provide Arrowhead with drafts of all material papers to be filed with the court to the extent directly related to the Subject Patent and shall in good faith incorporate all reasonable comments thereto by Arrowhead before filing such papers.</w:t>
      </w:r>
    </w:p>
    <w:p>
      <w:pPr>
        <w:spacing w:after="0" w:line="179"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9.7 Parties’ Patent Rights. </w:t>
      </w:r>
      <w:r>
        <w:rPr>
          <w:rFonts w:ascii="Times New Roman" w:cs="Times New Roman" w:eastAsia="Times New Roman" w:hAnsi="Times New Roman"/>
          <w:sz w:val="21"/>
          <w:szCs w:val="21"/>
          <w:color w:val="auto"/>
        </w:rPr>
        <w:t>If any Arrowhead Patent or Joint Patent becomes the subject of any proceeding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commenced by a Third Party within the Territory in connection with an opposition, reexamination request, action for declaratory judgment, nullity action, interference, inter partes review, or other attack upon the validity, title or enforceability thereof (except insofar as such action is a counterclaim to or defense of, or accompanies a defense of, an action for infringement against a Third Party under Section 9.4, in which case the provisions of Section 9.4 shall govern), then Arrowhead shall control such defense with respect to the Arrowhead Platform Patents and Amgen shall control such defense with respect to the Arrowhead Product Patents and Joint Patents. The defending Party shall be responsible for all costs and expenses incurred by such Party under this Section 9.7. The defending Party shall provide to the other Party copies of any papers relating to any such opposition, reexamination request, action for declaratory judgment, nullity action, interference or other attack upon any Arrowhead Platform Patents, Arrowhead Product Patents or Joint Patents, as applicable, reasonably in advance of their being filed or promptly upon their being received, including draft filings reasonably in advance of their being filed so that the other Party can comment and provide input with respect to such draft filings. The defending Party agrees to discuss and consider in good faith any changes reasonably requested by the other Party to such papers, including draft filings, promptly upon their being received, toward the objective of optimizing overall patent protection for Licensed Compounds or the Licensed Product. The defending Party shall permit the other Party to participate in the proceeding for an Arrowhead Platform Patent, Arrowhead Product Patent or Joint Patent, as applicable, to the extent permissible under applicable Laws, and to be represented by its own counsel in such proceeding,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ind w:left="720" w:hanging="712"/>
        <w:spacing w:after="0"/>
        <w:tabs>
          <w:tab w:leader="none" w:pos="720"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73" w:name="page174"/>
    <w:bookmarkEnd w:id="173"/>
    <w:p>
      <w:pPr>
        <w:jc w:val="both"/>
        <w:spacing w:after="0" w:line="244" w:lineRule="auto"/>
        <w:rPr>
          <w:sz w:val="20"/>
          <w:szCs w:val="20"/>
          <w:color w:val="auto"/>
        </w:rPr>
      </w:pPr>
      <w:r>
        <w:rPr>
          <w:rFonts w:ascii="Times New Roman" w:cs="Times New Roman" w:eastAsia="Times New Roman" w:hAnsi="Times New Roman"/>
          <w:sz w:val="22"/>
          <w:szCs w:val="22"/>
          <w:color w:val="auto"/>
        </w:rPr>
        <w:t>at such other Party’s expense. If the defending Party decides that it does not wish to defend against such action, then the other Party shall have a backup right to assume defense of such Third Party action at its own expense. Any awards or amounts received in defending any such Third Party action shall be allocated between the Parties as provided in Section 9.4(d).</w:t>
      </w:r>
    </w:p>
    <w:p>
      <w:pPr>
        <w:spacing w:after="0" w:line="17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9.8 Patent Term Extension. </w:t>
      </w:r>
      <w:r>
        <w:rPr>
          <w:rFonts w:ascii="Times New Roman" w:cs="Times New Roman" w:eastAsia="Times New Roman" w:hAnsi="Times New Roman"/>
          <w:sz w:val="22"/>
          <w:szCs w:val="22"/>
          <w:color w:val="auto"/>
        </w:rPr>
        <w:t>In the event Amgen desires to seek a patent term extension (including any pediatric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exclusivity extensions as may be available) or supplemental protection certificate or their equivalents in any country for any Arrowhead Product Patent or Joint Patent, then the Parties shall meet and discuss such request in good faith, provided that Amgen shall have the final decision-making authority with respect thereto. In the event Amgen desires to seek any of the foregoing extensions for any Arrowhead Platform Patent, then the Parties shall meet and discuss such request in good faith and Arrowhead will not unreasonably withhold consent to such extension, provided that it shall not be unreasonable for Arrowhead to withhold its consent if such extension would materially adversely affect such Arrowhead Platform Patent or Arrowhead’s or its licensee’s development or commercialization of compounds covered by such Arrowhead Platform Patent.</w:t>
      </w:r>
    </w:p>
    <w:p>
      <w:pPr>
        <w:spacing w:after="0" w:line="179"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9.9 Regulatory Data Protection. </w:t>
      </w:r>
      <w:r>
        <w:rPr>
          <w:rFonts w:ascii="Times New Roman" w:cs="Times New Roman" w:eastAsia="Times New Roman" w:hAnsi="Times New Roman"/>
          <w:sz w:val="22"/>
          <w:szCs w:val="22"/>
          <w:color w:val="auto"/>
        </w:rPr>
        <w:t>To the extent required by or permitted by Law, Amgen will, at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decide whether to list with the applicable Regulatory Authorities during the Term any applicable Arrowhead Product Patents claiming any Licensed Compound or Licensed Product that Amgen intends to, or has begun to, Commercialize, and that has become the subject of a Regulatory Approval Application submitted to FDA. In the event Amgen desires to include in such listing any Arrowhead Platform Patent, then the Parties shall meet and discuss such request in good faith and Arrowhead will not unreasonably withhold consent to such listing, provided that it shall not be unreasonable for Arrowhead to withhold its consent if such extension would materially adversely affect such Arrowhead Platform Patent. Such listings may include all so called “Orange Book” listings required under the Hatch-Waxman Act or listing of Patents as provided in the patent dispute resolution procedures of the Biologics Price Competition and Innovation Act of 2009 or under 42 U.S.C. § 262(l) or similar provisions in the Territory during the Term. Prior to such decision on listings, the Parties will meet to evaluate and identify all applicable Patents to be listed and Amgen shall reasonably incorporate and address suggestions provided by Arrowhead as to the listing or non-listing of any applicable Patents.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COVENANTS; DISCLAIMERS</w:t>
      </w:r>
    </w:p>
    <w:p>
      <w:pPr>
        <w:spacing w:after="0" w:line="178"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2"/>
          <w:szCs w:val="22"/>
          <w:b w:val="1"/>
          <w:bCs w:val="1"/>
          <w:color w:val="auto"/>
        </w:rPr>
        <w:t>Mutual Representations and Warranties</w:t>
      </w:r>
      <w:r>
        <w:rPr>
          <w:rFonts w:ascii="Times New Roman" w:cs="Times New Roman" w:eastAsia="Times New Roman" w:hAnsi="Times New Roman"/>
          <w:sz w:val="22"/>
          <w:szCs w:val="22"/>
          <w:color w:val="auto"/>
        </w:rPr>
        <w:t>. Each Party hereby represents and warrants to the other Party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as of the Effective Date, it is a corporation duly organized,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under the Laws of the jurisdiction in which it is incorporated; and</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2"/>
          <w:szCs w:val="22"/>
          <w:color w:val="auto"/>
        </w:rPr>
        <w:t>as of the Effective Date, (i) it has the corporate power and authority and the legal</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right to enter into this Agreement and perform its obligations hereunder; (ii) it has taken all necessary corporate action on its part required to authorize the execution and delivery of this Agreement and the performance of its obligations hereunder; and (iii) this Agreement has been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ind w:left="720" w:hanging="712"/>
        <w:spacing w:after="0"/>
        <w:tabs>
          <w:tab w:leader="none" w:pos="720"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74" w:name="page175"/>
    <w:bookmarkEnd w:id="174"/>
    <w:p>
      <w:pPr>
        <w:spacing w:after="0" w:line="258" w:lineRule="auto"/>
        <w:rPr>
          <w:sz w:val="20"/>
          <w:szCs w:val="20"/>
          <w:color w:val="auto"/>
        </w:rPr>
      </w:pPr>
      <w:r>
        <w:rPr>
          <w:rFonts w:ascii="Times New Roman" w:cs="Times New Roman" w:eastAsia="Times New Roman" w:hAnsi="Times New Roman"/>
          <w:sz w:val="22"/>
          <w:szCs w:val="22"/>
          <w:color w:val="auto"/>
        </w:rPr>
        <w:t>duly executed and delivered on behalf of such Party, and constitutes a legal, valid, and binding obligation of such Party that is enforceable against it in accordance with its terms.</w:t>
      </w:r>
    </w:p>
    <w:p>
      <w:pPr>
        <w:sectPr>
          <w:pgSz w:w="11900" w:h="16838" w:orient="portrait"/>
          <w:cols w:equalWidth="0" w:num="1">
            <w:col w:w="11420"/>
          </w:cols>
          <w:pgMar w:left="240" w:top="531" w:right="239" w:bottom="1440" w:gutter="0" w:footer="0" w:header="0"/>
        </w:sectPr>
      </w:pPr>
    </w:p>
    <w:p>
      <w:pPr>
        <w:spacing w:after="0" w:line="154"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2"/>
          <w:szCs w:val="22"/>
          <w:b w:val="1"/>
          <w:bCs w:val="1"/>
          <w:color w:val="auto"/>
        </w:rPr>
        <w:t>Additional Representations and Warranties of Arrowhead</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Amgen, as of the Effective Date, as follows: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Arrowhead represents and warrants to</w:t>
      </w:r>
    </w:p>
    <w:p>
      <w:pPr>
        <w:spacing w:after="0" w:line="445" w:lineRule="exact"/>
        <w:rPr>
          <w:sz w:val="20"/>
          <w:szCs w:val="20"/>
          <w:color w:val="auto"/>
        </w:rPr>
      </w:pPr>
    </w:p>
    <w:p>
      <w:pPr>
        <w:sectPr>
          <w:pgSz w:w="11900" w:h="16838" w:orient="portrait"/>
          <w:cols w:equalWidth="0" w:num="2">
            <w:col w:w="7640" w:space="220"/>
            <w:col w:w="3560"/>
          </w:cols>
          <w:pgMar w:left="240" w:top="531" w:right="239" w:bottom="1440" w:gutter="0" w:footer="0" w:header="0"/>
          <w:type w:val="continuous"/>
        </w:sect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Arrowhead has (i) the right under the Arrowhead Licensed Technology to grant the</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licenses to Amgen as purported to be granted pursuant to this Agreement, (ii) sufficient legal or beneficial title in the Arrowhead Licensed Technology to grant the licenses to Amgen as purported to be granted pursuant to this Agreement, and (iii) not granted any right or license to any Third Party under the Arrowhead Licensed Technology that would conflict or interfere with any of the rights and licenses granted to Amgen hereunder;</w:t>
      </w:r>
    </w:p>
    <w:p>
      <w:pPr>
        <w:spacing w:after="0" w:line="175"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Arrowhead owns all right, title, and interest in the Arrowhead Patents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those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except for the Arrowhead Patents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which Patent rights Arrowhead has licensed from Third Parties pursuant to the corresponding agreements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and such licensed rights are sufficient to grant the rights purported to be granted to Amgen under this Agreement;</w:t>
      </w:r>
    </w:p>
    <w:p>
      <w:pPr>
        <w:sectPr>
          <w:pgSz w:w="11900" w:h="16838" w:orient="portrait"/>
          <w:cols w:equalWidth="0" w:num="1">
            <w:col w:w="11420"/>
          </w:cols>
          <w:pgMar w:left="240" w:top="531" w:right="239" w:bottom="1440" w:gutter="0" w:footer="0" w:header="0"/>
          <w:type w:val="continuous"/>
        </w:sectPr>
      </w:pPr>
    </w:p>
    <w:p>
      <w:pPr>
        <w:spacing w:after="0" w:line="172"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(c)</w:t>
      </w:r>
      <w:r>
        <w:rPr>
          <w:sz w:val="20"/>
          <w:szCs w:val="20"/>
          <w:color w:val="auto"/>
        </w:rPr>
        <w:tab/>
      </w:r>
      <w:r>
        <w:rPr>
          <w:rFonts w:ascii="Times New Roman" w:cs="Times New Roman" w:eastAsia="Times New Roman" w:hAnsi="Times New Roman"/>
          <w:sz w:val="22"/>
          <w:szCs w:val="22"/>
          <w:color w:val="auto"/>
        </w:rPr>
        <w:t>no  lien,  encumbrance,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interest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(including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connection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w:t>
      </w:r>
    </w:p>
    <w:p>
      <w:pPr>
        <w:spacing w:after="0" w:line="20" w:lineRule="exact"/>
        <w:rPr>
          <w:sz w:val="20"/>
          <w:szCs w:val="20"/>
          <w:color w:val="auto"/>
        </w:rPr>
      </w:pPr>
    </w:p>
    <w:p>
      <w:pPr>
        <w:sectPr>
          <w:pgSz w:w="11900" w:h="16838" w:orient="portrait"/>
          <w:cols w:equalWidth="0" w:num="9">
            <w:col w:w="6040" w:space="140"/>
            <w:col w:w="180" w:space="160"/>
            <w:col w:w="680" w:space="140"/>
            <w:col w:w="640" w:space="160"/>
            <w:col w:w="880" w:space="140"/>
            <w:col w:w="180" w:space="140"/>
            <w:col w:w="940" w:space="160"/>
            <w:col w:w="380" w:space="140"/>
            <w:col w:w="320"/>
          </w:cols>
          <w:pgMar w:left="240" w:top="53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indebtedness) exists in the Arrowhead Patents in favor of any creditor;</w:t>
      </w:r>
    </w:p>
    <w:p>
      <w:pPr>
        <w:spacing w:after="0" w:line="173"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2"/>
          <w:szCs w:val="22"/>
          <w:color w:val="auto"/>
        </w:rPr>
        <w:t>(i) all existing agreements between Arrowhead and any Third Party under which</w:t>
      </w:r>
    </w:p>
    <w:p>
      <w:pPr>
        <w:sectPr>
          <w:pgSz w:w="11900" w:h="16838" w:orient="portrait"/>
          <w:cols w:equalWidth="0" w:num="1">
            <w:col w:w="11420"/>
          </w:cols>
          <w:pgMar w:left="240" w:top="531" w:right="239" w:bottom="1440" w:gutter="0" w:footer="0" w:header="0"/>
          <w:type w:val="continuous"/>
        </w:sectPr>
      </w:pPr>
    </w:p>
    <w:p>
      <w:pPr>
        <w:spacing w:after="0" w:line="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Arrowhead receives a license under any intellectual property rights relating to the Arrowhead Licensed Technology are listed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(ii) such agreements were made available to Amgen by Arrowhead, and were true, accurate and complete copies of such agreements, and have not been modified, supplemented or amended since the date they were made available to Amgen; (iii) each of such agreements is in full force and effect; and (iv) Arrowhead is not in material breach of any such agreements, and, to its Knowledge, no other party to any such agreements is in material breach thereof, in each respect in, any manner that would give such other party the right to terminate such agreements;</w:t>
      </w:r>
    </w:p>
    <w:p>
      <w:pPr>
        <w:spacing w:after="0" w:line="177"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no written communications have been received by Arrowhead from any Third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allege, and there is no pending or threatened litigation as of the Effective Date that alleges, either (x) that any Arrowhead Patent in existence as of the Effective Date is, or for any patent application included in the Arrowhead Patents in existence as of the Effective Date, if issued, would be, invalid or unenforceable or (y) the use of Arrowhead Licensed Technology or the manufacture, use, sale, offer for sale or importation of the Licensed Compounds, Licensed Products or products made using Arrowhead Licensed Technology infringes or misappropriates or would infringe or misappropriate any right of any Third Party, and, to the Knowledge of Arrowhead, no Third Party (i) is infringing any Arrowhead Patents in existence as of the Effective Date or has misappropriated any Arrowhead Know-How in the Arrowhead Licensed Technology or (ii) has challenged the ownership, scope, duration, validity, enforceability, priority or right to use any Arrowhead Patents in existence as of the Effective Date (including, by way of example, through the institution of or written threat of institution of interference, reexamination, protest, opposition, derivation, nullity or similar invalidity proceeding before the U.S. Patent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ind w:left="720" w:hanging="712"/>
        <w:spacing w:after="0"/>
        <w:tabs>
          <w:tab w:leader="none" w:pos="720"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Trademark Office or any analogous foreign entity) or any Arrowhead Know-How in existence as of the Effective Date;</w:t>
      </w:r>
    </w:p>
    <w:p>
      <w:pPr>
        <w:spacing w:after="0" w:line="202"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(f) </w:t>
      </w:r>
      <w:r>
        <w:rPr>
          <w:rFonts w:ascii="Times New Roman" w:cs="Times New Roman" w:eastAsia="Times New Roman" w:hAnsi="Times New Roman"/>
          <w:sz w:val="22"/>
          <w:szCs w:val="22"/>
          <w:color w:val="auto"/>
        </w:rPr>
        <w:t>each of the issued Patents, and any currently pending Patent application or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from which any such Patent has issued, in each case within the Arrowhead Patents in existence as of the Effective Date,</w:t>
      </w:r>
    </w:p>
    <w:p>
      <w:pPr>
        <w:spacing w:after="0" w:line="2" w:lineRule="exact"/>
        <w:rPr>
          <w:sz w:val="20"/>
          <w:szCs w:val="20"/>
          <w:color w:val="auto"/>
        </w:rPr>
      </w:pPr>
    </w:p>
    <w:p>
      <w:pPr>
        <w:ind w:firstLine="8"/>
        <w:spacing w:after="0" w:line="237" w:lineRule="auto"/>
        <w:tabs>
          <w:tab w:leader="none" w:pos="2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prosecuted in compliance with all applicable rules, policies, and procedures of the U.S. Patent and Trademark Office in all material respects, and (ii) is subsisting;</w:t>
      </w:r>
    </w:p>
    <w:p>
      <w:pPr>
        <w:spacing w:after="0" w:line="175"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 </w:t>
      </w:r>
      <w:r>
        <w:rPr>
          <w:rFonts w:ascii="Times New Roman" w:cs="Times New Roman" w:eastAsia="Times New Roman" w:hAnsi="Times New Roman"/>
          <w:sz w:val="22"/>
          <w:szCs w:val="22"/>
          <w:color w:val="auto"/>
        </w:rPr>
        <w:t>Arrowhead has disclosed to Amgen all Third Party issued Patents identified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by counsel to Arrowhead in any freedom to operate or patentability searches or opinions relating to the Arrowhead Licensed Technology in existence as of the Effective Date in the Territory;</w:t>
      </w:r>
    </w:p>
    <w:p>
      <w:pPr>
        <w:spacing w:after="0" w:line="16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 </w:t>
      </w:r>
      <w:r>
        <w:rPr>
          <w:rFonts w:ascii="Times New Roman" w:cs="Times New Roman" w:eastAsia="Times New Roman" w:hAnsi="Times New Roman"/>
          <w:sz w:val="22"/>
          <w:szCs w:val="22"/>
          <w:color w:val="auto"/>
        </w:rPr>
        <w:t>all of Arrowhead’s and its Affiliates’ employees and officers involved in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Licensed Technology have been obligated to assign to Arrowhead or such Affiliate, as the case may be, all inventions claimed in the Patents in such Arrowhead Licensed Technology and to maintain as confidential the Confidential Information of Arrowhead or such Affiliate, as the case may be;</w:t>
      </w:r>
    </w:p>
    <w:p>
      <w:pPr>
        <w:spacing w:after="0" w:line="172" w:lineRule="exact"/>
        <w:rPr>
          <w:sz w:val="20"/>
          <w:szCs w:val="20"/>
          <w:color w:val="auto"/>
        </w:rPr>
      </w:pPr>
    </w:p>
    <w:p>
      <w:pPr>
        <w:jc w:val="both"/>
        <w:ind w:right="20"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all inventors of any inventions included within the Arrowhead Patents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have assigned their entire right, title, and interest in and to such inventions and the corresponding Patents to Arrowhead and have been listed in such Patents as inventors;</w:t>
      </w:r>
    </w:p>
    <w:p>
      <w:pPr>
        <w:spacing w:after="0" w:line="16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(j) </w:t>
      </w:r>
      <w:r>
        <w:rPr>
          <w:rFonts w:ascii="Times New Roman" w:cs="Times New Roman" w:eastAsia="Times New Roman" w:hAnsi="Times New Roman"/>
          <w:sz w:val="22"/>
          <w:szCs w:val="22"/>
          <w:color w:val="auto"/>
        </w:rPr>
        <w:t>neither the execution and delivery of this Agreement nor the performance hereof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requires Arrowhead to obtain any permits, authorizations or consents from any Governmental Authority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Arrowhead is a party or to which it may be subject that relates to the Arrowhead Licensed Technology;</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(k) </w:t>
      </w:r>
      <w:r>
        <w:rPr>
          <w:rFonts w:ascii="Times New Roman" w:cs="Times New Roman" w:eastAsia="Times New Roman" w:hAnsi="Times New Roman"/>
          <w:sz w:val="22"/>
          <w:szCs w:val="22"/>
          <w:color w:val="auto"/>
        </w:rPr>
        <w:t>there are no pending actions, claims, investigations, suits or proceedings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Arrowhead or its Affiliates, at law or in equity, or before or by any Governmental Authority, and neither Arrowhead nor any Affiliate has received any written notice regarding any pending or threatened actions, claims, investigations, suits or proceedings against Arrowhead or such Affiliate, at law or in equity, or before or by any Governmental Authority, in either case with respect to the Arrowhead Licensed Technology;</w:t>
      </w:r>
    </w:p>
    <w:p>
      <w:pPr>
        <w:spacing w:after="0" w:line="17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(l) </w:t>
      </w:r>
      <w:r>
        <w:rPr>
          <w:rFonts w:ascii="Times New Roman" w:cs="Times New Roman" w:eastAsia="Times New Roman" w:hAnsi="Times New Roman"/>
          <w:sz w:val="22"/>
          <w:szCs w:val="22"/>
          <w:color w:val="auto"/>
        </w:rPr>
        <w:t>Arrowhead Licensed Technology has not been created or developed using government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funding that grants rights to step-in, seize, restrict or otherwise compromise the ability of Arrowhead to use such technology or to grant to Amgen the rights purported to be granted hereunder; and</w:t>
      </w:r>
    </w:p>
    <w:p>
      <w:pPr>
        <w:spacing w:after="0" w:line="167"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 </w:t>
      </w:r>
      <w:r>
        <w:rPr>
          <w:rFonts w:ascii="Times New Roman" w:cs="Times New Roman" w:eastAsia="Times New Roman" w:hAnsi="Times New Roman"/>
          <w:sz w:val="22"/>
          <w:szCs w:val="22"/>
          <w:color w:val="auto"/>
        </w:rPr>
        <w:t>Arrowhead has provided to Amgen all material preclinical data related to ARC-2713,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ARC-3460, and Arrowhead’s program against the Collaboration Target.</w:t>
      </w:r>
    </w:p>
    <w:p>
      <w:pPr>
        <w:spacing w:after="0" w:line="150"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Mutual Covenants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ind w:left="720" w:hanging="712"/>
        <w:spacing w:after="0"/>
        <w:tabs>
          <w:tab w:leader="none" w:pos="720" w:val="left"/>
        </w:tabs>
        <w:numPr>
          <w:ilvl w:val="0"/>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76" w:name="page177"/>
    <w:bookmarkEnd w:id="176"/>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(a) No Debarment</w:t>
      </w:r>
      <w:r>
        <w:rPr>
          <w:rFonts w:ascii="Times New Roman" w:cs="Times New Roman" w:eastAsia="Times New Roman" w:hAnsi="Times New Roman"/>
          <w:sz w:val="22"/>
          <w:szCs w:val="22"/>
          <w:color w:val="auto"/>
        </w:rPr>
        <w:t>. In the course of the Development of Licensed Compounds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Products, each Party shall not knowingly use any employee or consultant who has ever been debarred or is the subject of debarment or convicted of a crime for which an entity or person could be debarred (including by the FDA under 21 U.S.C. § 335a (or subject to a similar sanction of any other Governmental Authority)). Each Party shall notify the other Party promptly upon becoming aware that any of its employees or consultants has been debarred or is the subject of debarment proceedings by any Regulatory Authority.</w:t>
      </w:r>
    </w:p>
    <w:p>
      <w:pPr>
        <w:spacing w:after="0" w:line="176"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(b) Compliance</w:t>
      </w:r>
      <w:r>
        <w:rPr>
          <w:rFonts w:ascii="Times New Roman" w:cs="Times New Roman" w:eastAsia="Times New Roman" w:hAnsi="Times New Roman"/>
          <w:sz w:val="22"/>
          <w:szCs w:val="22"/>
          <w:color w:val="auto"/>
        </w:rPr>
        <w:t>. Each Party and its Affiliates shall comply in all material respects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applicable Laws in the Development, Manufacture, and Commercialization of Licensed Compounds and Licensed Products performed under this Agreement, including the statutes, regulations and written directives of the FDA,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8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3"/>
              </w:rPr>
              <w:t>10.4</w:t>
            </w:r>
          </w:p>
        </w:tc>
        <w:tc>
          <w:tcPr>
            <w:tcW w:w="990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Additional Covenants</w:t>
            </w:r>
            <w:r>
              <w:rPr>
                <w:rFonts w:ascii="Times New Roman" w:cs="Times New Roman" w:eastAsia="Times New Roman" w:hAnsi="Times New Roman"/>
                <w:sz w:val="22"/>
                <w:szCs w:val="22"/>
                <w:color w:val="auto"/>
              </w:rPr>
              <w:t>.</w:t>
            </w:r>
          </w:p>
        </w:tc>
      </w:tr>
      <w:tr>
        <w:trPr>
          <w:trHeight w:val="444"/>
        </w:trPr>
        <w:tc>
          <w:tcPr>
            <w:tcW w:w="640" w:type="dxa"/>
            <w:vAlign w:val="bottom"/>
          </w:tcPr>
          <w:p>
            <w:pPr>
              <w:spacing w:after="0"/>
              <w:rPr>
                <w:sz w:val="24"/>
                <w:szCs w:val="24"/>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w:t>
            </w:r>
          </w:p>
        </w:tc>
        <w:tc>
          <w:tcPr>
            <w:tcW w:w="844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Arrowhead represents and warrants to and covenants with Amgen that all of</w:t>
            </w:r>
          </w:p>
        </w:tc>
      </w:tr>
    </w:tbl>
    <w:p>
      <w:pPr>
        <w:jc w:val="both"/>
        <w:spacing w:after="0" w:line="234" w:lineRule="auto"/>
        <w:rPr>
          <w:sz w:val="20"/>
          <w:szCs w:val="20"/>
          <w:color w:val="auto"/>
        </w:rPr>
      </w:pPr>
      <w:r>
        <w:rPr>
          <w:rFonts w:ascii="Times New Roman" w:cs="Times New Roman" w:eastAsia="Times New Roman" w:hAnsi="Times New Roman"/>
          <w:sz w:val="22"/>
          <w:szCs w:val="22"/>
          <w:color w:val="auto"/>
        </w:rPr>
        <w:t>Arrowhead’s employees and officers involved in research and development of the Arrowhead Licensed Technology, Licensed Compounds, or Licensed Products shall be obligated to assign to Arrowhead all inventions relating to such Arrowhead Licensed Technology, Licensed Compounds, or Licensed Products and to maintain as confidential the Confidential Information of Arrowhead;</w:t>
      </w:r>
    </w:p>
    <w:p>
      <w:pPr>
        <w:spacing w:after="0" w:line="174"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Amgen represents and warrants to and covenants with Arrowhead that all of Amgen’s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and officers involved in Development of the Licensed Compounds or the Licensed Product shall be obligated to assign to Amgen all inventions relating to such Licensed Compounds or the Licensed Product and to maintain as confidential the Confidential Information of Amgen;</w:t>
      </w:r>
    </w:p>
    <w:p>
      <w:pPr>
        <w:spacing w:after="0" w:line="172"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Arrowhead represents and warrants to and covenants with Amgen that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sell, assign, or otherwise transfer to any person (other than any Affiliate of Arrowhead) any Arrowhead Patents (or agree to do any of the foregoing) in any manner that would be inconsistent with the rights and licenses granted to Amgen under this Agreement, except to the extent permitted by, and in compliance with, Section 15.6; and</w:t>
      </w:r>
    </w:p>
    <w:p>
      <w:pPr>
        <w:spacing w:after="0" w:line="172"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Arrowhead represents and warrants to and covenants with Amgen that Arrowhead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grant to any Third Party any right or license under the Arrowhead Licensed Technology that is within the scope of licenses granted to Amgen under Section 3.1.</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10.5 Disclaimer</w:t>
      </w:r>
      <w:r>
        <w:rPr>
          <w:rFonts w:ascii="Times New Roman" w:cs="Times New Roman" w:eastAsia="Times New Roman" w:hAnsi="Times New Roman"/>
          <w:sz w:val="22"/>
          <w:szCs w:val="22"/>
          <w:color w:val="auto"/>
        </w:rPr>
        <w:t>. Amgen understands that the Licensed Compounds and Licensed Products will be the subject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and development and that Arrowhead cannot assure the safety or usefulness of any Licensed Compound or Licensed Product. In addition, Arrowhead makes no warranties except as set forth in this Article 11 concerning the Arrowhead Licensed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ind w:left="720" w:hanging="712"/>
        <w:spacing w:after="0"/>
        <w:tabs>
          <w:tab w:leader="none" w:pos="720"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77" w:name="page178"/>
    <w:bookmarkEnd w:id="177"/>
    <w:p>
      <w:pPr>
        <w:jc w:val="both"/>
        <w:spacing w:after="0" w:line="234" w:lineRule="auto"/>
        <w:rPr>
          <w:sz w:val="20"/>
          <w:szCs w:val="20"/>
          <w:color w:val="auto"/>
        </w:rPr>
      </w:pPr>
      <w:r>
        <w:rPr>
          <w:rFonts w:ascii="Times New Roman" w:cs="Times New Roman" w:eastAsia="Times New Roman" w:hAnsi="Times New Roman"/>
          <w:sz w:val="22"/>
          <w:szCs w:val="22"/>
          <w:color w:val="auto"/>
        </w:rPr>
        <w:t>Technology. 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 Without limiting the generality of the foregoing, (i) neither Party represents or warrants as to the success of any study or test conducted by such Party pursuant to this Agreement or the safety or usefulness for any purpose of the technology, right or materials it provides hereunder, or that either Party will be successful in obtaining any patents rights, or that any patents will issue based on a pending application; and (ii) each Party specifically disclaims any guarantee that the Licensed Compounds or Licensed Products will be successful, in whole or in part</w:t>
      </w:r>
    </w:p>
    <w:p>
      <w:pPr>
        <w:spacing w:after="0" w:line="17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10.6 Knowledge Standard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as applied to a Party in this Article 10, the actual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of a Party’s executive officers or personnel with primary responsibility for the applicable subject matter exercising reasonably diligent inquiry.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8" w:lineRule="exact"/>
        <w:rPr>
          <w:sz w:val="20"/>
          <w:szCs w:val="20"/>
          <w:color w:val="auto"/>
        </w:rPr>
      </w:pPr>
    </w:p>
    <w:p>
      <w:pPr>
        <w:jc w:val="both"/>
        <w:ind w:firstLine="87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11.1 Indemnification by Arrowhead. </w:t>
      </w:r>
      <w:r>
        <w:rPr>
          <w:rFonts w:ascii="Times New Roman" w:cs="Times New Roman" w:eastAsia="Times New Roman" w:hAnsi="Times New Roman"/>
          <w:sz w:val="21"/>
          <w:szCs w:val="21"/>
          <w:color w:val="auto"/>
        </w:rPr>
        <w:t>Arrowhead shall defend, indemnify, and hold Amgen and its Affiliates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officers, directors, employees, and agents (the “</w:t>
      </w:r>
      <w:r>
        <w:rPr>
          <w:rFonts w:ascii="Times New Roman" w:cs="Times New Roman" w:eastAsia="Times New Roman" w:hAnsi="Times New Roman"/>
          <w:sz w:val="21"/>
          <w:szCs w:val="21"/>
          <w:b w:val="1"/>
          <w:bCs w:val="1"/>
          <w:color w:val="auto"/>
        </w:rPr>
        <w:t>Amgen Indemnitees</w:t>
      </w:r>
      <w:r>
        <w:rPr>
          <w:rFonts w:ascii="Times New Roman" w:cs="Times New Roman" w:eastAsia="Times New Roman" w:hAnsi="Times New Roman"/>
          <w:sz w:val="21"/>
          <w:szCs w:val="21"/>
          <w:color w:val="auto"/>
        </w:rPr>
        <w:t>”) harmless from and against any and all Third Party claims, suits, proceedings, damages, expenses (including court costs and reasonable attorneys’ fees and expenses) and recoveries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to the extent that such Claims arise out of, are based on, or result from (a) the breach of any of Arrowhead’s obligations under this Agreement, including Arrowhead’s representations, warranties, and covenants set forth herein,</w:t>
      </w:r>
    </w:p>
    <w:p>
      <w:pPr>
        <w:spacing w:after="0" w:line="1" w:lineRule="exact"/>
        <w:rPr>
          <w:sz w:val="20"/>
          <w:szCs w:val="20"/>
          <w:color w:val="auto"/>
        </w:rPr>
      </w:pPr>
    </w:p>
    <w:p>
      <w:pPr>
        <w:jc w:val="both"/>
        <w:ind w:firstLine="8"/>
        <w:spacing w:after="0" w:line="232" w:lineRule="auto"/>
        <w:tabs>
          <w:tab w:leader="none" w:pos="3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by or on behalf of Arrowhead or its Affiliates or licensees of Arrowhead’s obligations under this Agreement or the development, manufacture, or commercialization by Arrowhead, its Affiliates or licensees (other than Amgen, its Affiliates or Sublicensees) of products containing RNAi Molecules solely to the extent such Claim is based on the use of the Arrowhead Licensed Technology (excluding in all cases Claims covered by the scope of 11.2) by Arrowhead, its Affiliates or licensees (other than Amgen, its Affiliates or Sublicensees) in connection with such development, manufacture or commercialization by such parties of such products, or (c) the willful misconduct or negligent acts of Arrowhead or its Affiliates in performing under this Agreement. The foregoing indemnity obligation shall not apply to the extent that (i) the Amgen Indemnitees fail to comply with the indemnification procedures set forth in Section 11.3 and Arrowhead’s defense of the relevant Claims is actually prejudiced by such failure, or (ii) any Claim arises from, is based on, or results from any activity set forth in Section 11.2(b) or 11.2(c) for which Amgen is obligated to indemnify the Arrowhead Indemnitees under Section 11.2.</w:t>
      </w:r>
    </w:p>
    <w:p>
      <w:pPr>
        <w:spacing w:after="0" w:line="17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11.2 Indemnification by Amgen. </w:t>
      </w:r>
      <w:r>
        <w:rPr>
          <w:rFonts w:ascii="Times New Roman" w:cs="Times New Roman" w:eastAsia="Times New Roman" w:hAnsi="Times New Roman"/>
          <w:sz w:val="22"/>
          <w:szCs w:val="22"/>
          <w:color w:val="auto"/>
        </w:rPr>
        <w:t>Amgen shall defend, indemnify, and hold Arrowhead and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officers, directors, employees, and agents (the “</w:t>
      </w:r>
      <w:r>
        <w:rPr>
          <w:rFonts w:ascii="Times New Roman" w:cs="Times New Roman" w:eastAsia="Times New Roman" w:hAnsi="Times New Roman"/>
          <w:sz w:val="22"/>
          <w:szCs w:val="22"/>
          <w:b w:val="1"/>
          <w:bCs w:val="1"/>
          <w:color w:val="auto"/>
        </w:rPr>
        <w:t>Arrowhead Indemnitees</w:t>
      </w:r>
      <w:r>
        <w:rPr>
          <w:rFonts w:ascii="Times New Roman" w:cs="Times New Roman" w:eastAsia="Times New Roman" w:hAnsi="Times New Roman"/>
          <w:sz w:val="22"/>
          <w:szCs w:val="22"/>
          <w:color w:val="auto"/>
        </w:rPr>
        <w:t>”) harmless from and against any and all Claims to the extent that such Claims arise out of, are based on, or result from (a) the Development, Manufacture or Commercialization of Licensed Compounds or Licensed Products by or on behalf of Amgen or its Affiliates 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ind w:left="720" w:hanging="712"/>
        <w:spacing w:after="0"/>
        <w:tabs>
          <w:tab w:leader="none" w:pos="72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78" w:name="page179"/>
    <w:bookmarkEnd w:id="178"/>
    <w:p>
      <w:pPr>
        <w:jc w:val="both"/>
        <w:spacing w:after="0" w:line="235" w:lineRule="auto"/>
        <w:rPr>
          <w:sz w:val="20"/>
          <w:szCs w:val="20"/>
          <w:color w:val="auto"/>
        </w:rPr>
      </w:pPr>
      <w:r>
        <w:rPr>
          <w:rFonts w:ascii="Times New Roman" w:cs="Times New Roman" w:eastAsia="Times New Roman" w:hAnsi="Times New Roman"/>
          <w:sz w:val="22"/>
          <w:szCs w:val="22"/>
          <w:color w:val="auto"/>
        </w:rPr>
        <w:t>Sublicensees, including Claims based upon product liability and patent infringement, (b) the breach of any of Amgen’s obligations under this Agreement, including Amgen’s representations, warranties, and covenants set forth herein, or (c) the willful misconduct or negligent acts of Amgen or its Affiliates in performing under this Agreement. The foregoing indemnity obligation shall not apply to the extent that (i) the Arrowhead Indemnitees fail to comply with the indemnification procedures set forth in Section 11.3 and Amgen’s defense of the relevant Claims is actually prejudiced by such failure, or (ii) any Claim arises from, is based on, or results from any activity set forth in Section 11.1(b) or 11.1(c) for which Arrowhead is obligated to indemnify the Amgen Indemnitees under Section 11.1.</w:t>
      </w:r>
    </w:p>
    <w:p>
      <w:pPr>
        <w:spacing w:after="0" w:line="180"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11.3 Indemnification Procedures. </w:t>
      </w:r>
      <w:r>
        <w:rPr>
          <w:rFonts w:ascii="Times New Roman" w:cs="Times New Roman" w:eastAsia="Times New Roman" w:hAnsi="Times New Roman"/>
          <w:sz w:val="22"/>
          <w:szCs w:val="22"/>
          <w:color w:val="auto"/>
        </w:rPr>
        <w:t>The Party claiming indemnity under this Article 11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give written notice to the Party from whom indemnity is being sought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promptly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learning of such Claim. The Indemnified Party shall provide the Indemnifying Party with reasonable assistance, at the Indemnifying Party’s expense, in connection with the defense of the Claim for which indemnity is being sought and, if the Indemnifying Party has failed to assume defense of such Claim and the Indemnified Party has assumed and is conducting the defense of the Claim, the Indemnifying Party shall provide the Indemnified Party with reasonable assistance, at the Indemnifying Party’s expense, in connection with the defense of the Claim for which the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conditioned or delayed. For clarity, the Indemnified Party may freely withhold its consent to a settlement of a claim with respect to Claims if (i) such settlement does not include a complete release from liability of the Indemnified Party or if such settlement would involve undertaking an obligation (including the payment of money by an Indemnified Party), (ii) would bind or impair the Indemnified Party or (iii) includes any admission of wrongdoing or that any intellectual property or proprietary right of the Indemnified Party or this Agreement is invalid, narrowed in scope or unenforceable. So long as the Indemnifying Party is actively defending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12.</w:t>
      </w:r>
    </w:p>
    <w:p>
      <w:pPr>
        <w:spacing w:after="0" w:line="18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11.4 Limitation of Liability. </w:t>
      </w:r>
      <w:r>
        <w:rPr>
          <w:rFonts w:ascii="Times New Roman" w:cs="Times New Roman" w:eastAsia="Times New Roman" w:hAnsi="Times New Roman"/>
          <w:sz w:val="22"/>
          <w:szCs w:val="22"/>
          <w:color w:val="auto"/>
        </w:rPr>
        <w:t>NEITHER PARTY SHALL BE LIABLE TO THE OTHER FOR ANY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CONSEQUENTIAL, INCIDENTAL, PUNITIVE, OR INDIRECT DAMAGES ARISING FROM OR RELATING TO ANY BREACH OF THIS AGREEMENT, REGARDLESS OF ANY NOTICE OF THE POSSIBILITY OF SUCH DAMAGES. NOTWITHSTANDING THE FOREGOING, NOTHING IN THIS SECTION 11.4 IS INTENDED TO OR SHALL LIMIT OR RESTRICT THE INDEMNIFICATION RIGHTS OR OBLIGATIONS OF ANY PARTY UNDER SECTION 11.1 OR 11.2 WITH RESPECT TO THIRD PARTY CLAIMS, OR DAMAGES AVAILABLE FOR A PARTY’S BREACH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ind w:left="720" w:hanging="712"/>
        <w:spacing w:after="0"/>
        <w:tabs>
          <w:tab w:leader="none" w:pos="7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CONFIDENTIALITY OBLIGATIONS IN ARTICLE 12 OR ITS OBLIGATIONS IN SECTION 2.1.</w:t>
      </w:r>
    </w:p>
    <w:p>
      <w:pPr>
        <w:spacing w:after="0" w:line="20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Insurance. </w:t>
      </w:r>
      <w:r>
        <w:rPr>
          <w:rFonts w:ascii="Times New Roman" w:cs="Times New Roman" w:eastAsia="Times New Roman" w:hAnsi="Times New Roman"/>
          <w:sz w:val="22"/>
          <w:szCs w:val="22"/>
          <w:color w:val="auto"/>
        </w:rPr>
        <w:t>Each Party shall procure and maintain insurance (or self-insure sufficiently to provide materially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level and type of protection) adequate to cover its obligations hereunder during the Term and consistent with normal business practices of companies similarly situated. It is understood that such insurance shall not be construed to create a limit of either Party’s liability with respect to its indemnification obligations under this Article 11. Each Party shall provide the other Party with written evidence of such insurance upon request.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12.1 Confidentiality. </w:t>
      </w:r>
      <w:r>
        <w:rPr>
          <w:rFonts w:ascii="Times New Roman" w:cs="Times New Roman" w:eastAsia="Times New Roman" w:hAnsi="Times New Roman"/>
          <w:sz w:val="22"/>
          <w:szCs w:val="22"/>
          <w:color w:val="auto"/>
        </w:rPr>
        <w:t>Each Party agrees that, during the Term and for a period of [***] years thereafter, it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Each Party will use at least the same standard of care as it uses to protect proprietary or confidential information of its own (but no less than reasonable care) to ensure that its employees, agents, consultants, contractors and other representatives do not disclose or make any unauthorized use of the Confidential Information of the other Party. Each Party will promptly notify the other upon discovery of any unauthorized use or disclosure of the Confidential Information of the other Party. The foregoing confidentiality and non-use obligations shall not apply to any portion of the other Party’s Confidential Information that: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(a)</w:t>
            </w:r>
          </w:p>
        </w:tc>
        <w:tc>
          <w:tcPr>
            <w:tcW w:w="7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was already known to the receiving Party or any of its Affiliates, other than by</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previous disclosure of the disclosing Party or any of its Affiliates, at the time of disclosure by the other Party;</w:t>
            </w:r>
          </w:p>
        </w:tc>
      </w:tr>
      <w:tr>
        <w:trPr>
          <w:trHeight w:val="420"/>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was generally available to the public or otherwise part of the public domain at the</w:t>
            </w:r>
          </w:p>
        </w:tc>
      </w:tr>
      <w:tr>
        <w:trPr>
          <w:trHeight w:val="283"/>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time of its disclosure to the receiving Party;</w:t>
            </w:r>
          </w:p>
        </w:tc>
        <w:tc>
          <w:tcPr>
            <w:tcW w:w="7560" w:type="dxa"/>
            <w:vAlign w:val="bottom"/>
          </w:tcPr>
          <w:p>
            <w:pPr>
              <w:spacing w:after="0"/>
              <w:rPr>
                <w:sz w:val="24"/>
                <w:szCs w:val="24"/>
                <w:color w:val="auto"/>
              </w:rPr>
            </w:pPr>
          </w:p>
        </w:tc>
      </w:tr>
      <w:tr>
        <w:trPr>
          <w:trHeight w:val="420"/>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w:t>
            </w:r>
          </w:p>
        </w:tc>
        <w:tc>
          <w:tcPr>
            <w:tcW w:w="75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becomes generally available to the public or otherwise part of the public domain after</w:t>
            </w:r>
          </w:p>
        </w:tc>
      </w:tr>
      <w:tr>
        <w:trPr>
          <w:trHeight w:val="283"/>
        </w:trPr>
        <w:tc>
          <w:tcPr>
            <w:tcW w:w="1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 disclosure and other than through any act or omission of the receiving Party in breach of this Agreement;</w:t>
            </w:r>
          </w:p>
        </w:tc>
      </w:tr>
      <w:tr>
        <w:trPr>
          <w:trHeight w:val="444"/>
        </w:trPr>
        <w:tc>
          <w:tcPr>
            <w:tcW w:w="3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was disclosed to the receiving Party or any of its Affiliates on a non-confidential</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basis by a Third Party who is not known by the Receiving Party after due inquiry to be subject to an obligation of confidentiality to the other Party; or</w:t>
      </w:r>
    </w:p>
    <w:p>
      <w:pPr>
        <w:spacing w:after="0" w:line="175"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was independently discovered or developed by the employees, subcontractors,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or agents of the receiving Party or any of its Affiliates without use of the other Party’s Confidential Information, as evidenced by a contemporaneous writing.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ind w:left="720" w:hanging="712"/>
        <w:spacing w:after="0"/>
        <w:tabs>
          <w:tab w:leader="none" w:pos="720"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80" w:name="page181"/>
    <w:bookmarkEnd w:id="180"/>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12.2 Authorized Disclosure. </w:t>
      </w:r>
      <w:r>
        <w:rPr>
          <w:rFonts w:ascii="Times New Roman" w:cs="Times New Roman" w:eastAsia="Times New Roman" w:hAnsi="Times New Roman"/>
          <w:sz w:val="22"/>
          <w:szCs w:val="22"/>
          <w:color w:val="auto"/>
        </w:rPr>
        <w:t>Notwithstanding the obligations set forth in Section 12.1, a Party may disclose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Party’s Confidential Information and the terms of this Agreement to the extent:</w:t>
      </w:r>
    </w:p>
    <w:p>
      <w:pPr>
        <w:spacing w:after="0" w:line="150"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such disclosure is reasonably necessary (i) to comply with the requirements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Authorities with respect to obtaining and maintaining Regulatory Approval of a Licensed Product; or (ii) for prosecuting or defending litigation as contemplated by this Agreement;</w:t>
      </w:r>
    </w:p>
    <w:p>
      <w:pPr>
        <w:spacing w:after="0" w:line="167" w:lineRule="exact"/>
        <w:rPr>
          <w:sz w:val="20"/>
          <w:szCs w:val="20"/>
          <w:color w:val="auto"/>
        </w:rPr>
      </w:pPr>
    </w:p>
    <w:p>
      <w:pPr>
        <w:jc w:val="both"/>
        <w:ind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such disclosure is reasonably necessary to its employees, agents,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w:t>
      </w:r>
    </w:p>
    <w:p>
      <w:pPr>
        <w:spacing w:after="0" w:line="172"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such disclosure is reasonably necessary to any bona fide potential or actual investor,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acquirer, merger partner, licensee, sublicensee, or other financial or commercial partner for the sole purpose of evaluating an actual or potential investment, acquisition or other business relationship; provided that in connection with such disclosure, such Party shall inform each disclosee of the confidential nature of such Confidential Information and, in each case, the disclosees are bound by written obligations of confidentiality and non-use consistent with those contained in this Agreement; and provided further, that no financial terms shall be disclosed to any such potential investor, acquirer or partner if it has a competing product to any Licensed Compound or Licensed Product; or</w:t>
      </w:r>
    </w:p>
    <w:p>
      <w:pPr>
        <w:spacing w:after="0" w:line="17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such disclosure is reasonably necessary to comply with applicable Laws,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by applicable security exchanges, court order, administrative subpoena or order.</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a Party is required to make a disclosure of the other Party’s Confidential Information pursuant to Section 12.2(a) or 12.2(d), such Party shall promptly notify the other Party of such required disclosure and shall use reasonable efforts to obtain, or to assist the other Party in obtaining, a protective order preventing or limiting the required disclosure. Any information disclosed pursuant to Section 12.2(a) through Section 12.2(d) shall still be deemed Confidential Information and subject to the restrictions set forth in this Agreement, including the foregoing provisions of Article 12.</w:t>
      </w:r>
    </w:p>
    <w:p>
      <w:pPr>
        <w:spacing w:after="0" w:line="173"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12.3 Technical Publication. </w:t>
      </w:r>
      <w:r>
        <w:rPr>
          <w:rFonts w:ascii="Times New Roman" w:cs="Times New Roman" w:eastAsia="Times New Roman" w:hAnsi="Times New Roman"/>
          <w:sz w:val="22"/>
          <w:szCs w:val="22"/>
          <w:color w:val="auto"/>
        </w:rPr>
        <w:t>During the Term, neither Party may publish peer reviewed manuscripts, or give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forms of public disclosure such as abstracts and presentations, of results of studies carried out under this Agreement, without the opportunity for prior review by the other Party, and subject to this Section 12.3, below, except to the extent required by applicable Laws; provided, however, that Amgen will have the sole right (without Arrowhead’s consent) to publish and make scientific presentations with respect to Licensed Compounds or Licensed Products or make other public disclosures regarding any such Licensed Compounds or Licensed Products, and Arrowhead will not do so without Amgen’s prior written consent, except as required by applicable Law. No publication shall include the other Party’s Confidential Information without the prior written consent of such other Party. A Party seeking publication shall provide the other Party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ind w:left="720" w:hanging="712"/>
        <w:spacing w:after="0"/>
        <w:tabs>
          <w:tab w:leader="none" w:pos="720"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81" w:name="page182"/>
    <w:bookmarkEnd w:id="181"/>
    <w:p>
      <w:pPr>
        <w:jc w:val="both"/>
        <w:spacing w:after="0" w:line="234" w:lineRule="auto"/>
        <w:rPr>
          <w:sz w:val="20"/>
          <w:szCs w:val="20"/>
          <w:color w:val="auto"/>
        </w:rPr>
      </w:pPr>
      <w:r>
        <w:rPr>
          <w:rFonts w:ascii="Times New Roman" w:cs="Times New Roman" w:eastAsia="Times New Roman" w:hAnsi="Times New Roman"/>
          <w:sz w:val="22"/>
          <w:szCs w:val="22"/>
          <w:color w:val="auto"/>
        </w:rPr>
        <w:t>opportunity to review and comment on any proposed publication (or where a copy of such publication or presentation is not available at such time, a draft or outline of such publication or description of such presentation) that relates to an RNAi Molecule directed to the Collaboration Target or any Licensed Compound or Licensed Product, at least [***] days prior to its intended submission for publication. The other Party shall provide the Party seeking publication with its comments in writing, if any, as promptly as practicable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 days in the event that the other Party can demonstrate reasonable need for such delay, including the preparation and filing of a patent application (or, in the case that a Party has a compelling business justification, for a longer period reasonably selected by that Party). Each Party agrees to acknowledge the contributions of the other Party and its employees in all publications as scientifically appropriate.</w:t>
      </w:r>
    </w:p>
    <w:p>
      <w:pPr>
        <w:spacing w:after="0" w:line="173"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Publicity; Terms of this Agreement.</w:t>
      </w:r>
    </w:p>
    <w:p>
      <w:pPr>
        <w:spacing w:after="0" w:line="206" w:lineRule="exact"/>
        <w:rPr>
          <w:sz w:val="20"/>
          <w:szCs w:val="20"/>
          <w:color w:val="auto"/>
        </w:rPr>
      </w:pPr>
    </w:p>
    <w:p>
      <w:pPr>
        <w:jc w:val="both"/>
        <w:ind w:right="20" w:firstLine="175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The Parties agree that the terms of this Agreement are the Confidential Information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both Parties, subject to the special authorized disclosure provisions set forth in this Section 13.4.</w:t>
      </w:r>
    </w:p>
    <w:p>
      <w:pPr>
        <w:spacing w:after="0" w:line="150" w:lineRule="exact"/>
        <w:rPr>
          <w:sz w:val="20"/>
          <w:szCs w:val="20"/>
          <w:color w:val="auto"/>
        </w:rPr>
      </w:pPr>
    </w:p>
    <w:p>
      <w:pPr>
        <w:ind w:left="1760"/>
        <w:spacing w:after="0"/>
        <w:tabs>
          <w:tab w:leader="none" w:pos="3960" w:val="left"/>
        </w:tabs>
        <w:rPr>
          <w:sz w:val="20"/>
          <w:szCs w:val="20"/>
          <w:color w:val="auto"/>
        </w:rPr>
      </w:pPr>
      <w:r>
        <w:rPr>
          <w:rFonts w:ascii="Times New Roman" w:cs="Times New Roman" w:eastAsia="Times New Roman" w:hAnsi="Times New Roman"/>
          <w:sz w:val="21"/>
          <w:szCs w:val="21"/>
          <w:b w:val="1"/>
          <w:bCs w:val="1"/>
          <w:color w:val="auto"/>
        </w:rPr>
        <w:t>(b)</w:t>
      </w:r>
      <w:r>
        <w:rPr>
          <w:sz w:val="20"/>
          <w:szCs w:val="20"/>
          <w:color w:val="auto"/>
        </w:rPr>
        <w:tab/>
      </w:r>
      <w:r>
        <w:rPr>
          <w:rFonts w:ascii="Times New Roman" w:cs="Times New Roman" w:eastAsia="Times New Roman" w:hAnsi="Times New Roman"/>
          <w:sz w:val="21"/>
          <w:szCs w:val="21"/>
          <w:color w:val="auto"/>
        </w:rPr>
        <w:t>Public announcement of the execution of this Agreement shall be made substantially</w:t>
      </w:r>
    </w:p>
    <w:p>
      <w:pPr>
        <w:spacing w:after="0" w:line="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the form of the press release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on or promptly after the Effective Date. On or promptly after the Closing Date the Parties shall issue a public announcement limited to announcing information contained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clearance under the HSR Act and the fact that the transactions contemplated by this Agreement have closed.</w:t>
      </w:r>
    </w:p>
    <w:p>
      <w:pPr>
        <w:spacing w:after="0" w:line="174"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After release of such press release, if either Party desires to make a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announcement concerning the terms of this Agreement, such Party shall give reasonable prior advance notice of the proposed text of such announcement to the other Party for its prior review and approval (except as otherwise provided herein). A Party commenting on such a proposed press release shall provide its comments, if any, within [***] after receiving the press release for review. Notwithstanding the foregoing, a Party shall have the right to make a public announcement or press release announcing the achievement of each Regulatory Approval development and regulatory milestone event set forth in Section 8.2 (excluding, for clarity, the Initiation of Phase 3 Clinical Trial milestones) as it is achieved either (i) with the consent of the other Party (not to be unreasonably withheld); (ii) where required by applicable Laws or regulations promulgated by an applicable security exchange; or</w:t>
      </w:r>
    </w:p>
    <w:p>
      <w:pPr>
        <w:spacing w:after="0" w:line="8" w:lineRule="exact"/>
        <w:rPr>
          <w:sz w:val="20"/>
          <w:szCs w:val="20"/>
          <w:color w:val="auto"/>
        </w:rPr>
      </w:pPr>
    </w:p>
    <w:p>
      <w:pPr>
        <w:jc w:val="both"/>
        <w:ind w:firstLine="8"/>
        <w:spacing w:after="0" w:line="233" w:lineRule="auto"/>
        <w:tabs>
          <w:tab w:leader="none" w:pos="39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permitted under Section 12.2. Except as provided in this subsection (c) or permitted under Section 12.2, no press release shall include the other Party’s Confidential Information without the prior written consent of such other Party.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12.4, provided such information remains accurate as of such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ind w:left="720" w:hanging="712"/>
        <w:spacing w:after="0"/>
        <w:tabs>
          <w:tab w:leader="none" w:pos="72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82" w:name="page183"/>
    <w:bookmarkEnd w:id="182"/>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The Parties acknowledge that either or both Parties may be obligated to file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summaries of the terms hereof with the U.S. Securities and Exchange Commission or other Governmental Authority as reasonably required to comply with applicable Laws or the rules of a nationally-recognized securities exchange. Each Party shall be entitled to make such filings, provided that it requests confidential treatment of the commercial terms, sensitive technical terms and other terms of this Agreement that a Party reasonably deems sensitive or competitive to the extent such confidential treatment is reasonably available to such Party; provided that the foregoing obligation to request confidential treatment shall not apply with respect to any disclosure of this Agreement by either Party to the U.S. Internal Revenue Service or similar Governmental Authority outside the U.S. In the event of any such filing, each Party will provide the other Party with a copy of this Agreement and related filings marked to show provisions for which such Party intends to seek confidential treatment and shall reasonably consider and incorporate the other Party’s comments thereon to the extent consistent with the legal requirements and the rules of any nationally recognized securities exchange, with respect to the filing Party, governing disclosure of material agreements and material information to be publicly filed.</w:t>
      </w:r>
    </w:p>
    <w:p>
      <w:pPr>
        <w:spacing w:after="0" w:line="17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 Equitable Relief. </w:t>
      </w:r>
      <w:r>
        <w:rPr>
          <w:rFonts w:ascii="Times New Roman" w:cs="Times New Roman" w:eastAsia="Times New Roman" w:hAnsi="Times New Roman"/>
          <w:sz w:val="22"/>
          <w:szCs w:val="22"/>
          <w:color w:val="auto"/>
        </w:rPr>
        <w:t>Each Party acknowledges that its breach of this Article 12 may cause irreparable harm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Party, which cannot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Article 12 by the other Party.</w:t>
      </w:r>
    </w:p>
    <w:p>
      <w:pPr>
        <w:spacing w:after="0" w:line="17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12.6 Attorney-Client Privilege</w:t>
      </w:r>
      <w:r>
        <w:rPr>
          <w:rFonts w:ascii="Times New Roman" w:cs="Times New Roman" w:eastAsia="Times New Roman" w:hAnsi="Times New Roman"/>
          <w:sz w:val="22"/>
          <w:szCs w:val="22"/>
          <w:color w:val="auto"/>
        </w:rPr>
        <w:t>. Neither Party is waiving, nor will be deemed to have waived or diminished,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13.1 Term</w:t>
      </w:r>
      <w:r>
        <w:rPr>
          <w:rFonts w:ascii="Times New Roman" w:cs="Times New Roman" w:eastAsia="Times New Roman" w:hAnsi="Times New Roman"/>
          <w:sz w:val="22"/>
          <w:szCs w:val="22"/>
          <w:color w:val="auto"/>
        </w:rPr>
        <w:t>. This Agreement shall become effective on the Effective Date and, unless earlier terminated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Article 13, shall remain in effect until last expiration of the Royalty Term for Licensed Products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13.2 Termination by Amgen</w:t>
      </w:r>
      <w:r>
        <w:rPr>
          <w:rFonts w:ascii="Times New Roman" w:cs="Times New Roman" w:eastAsia="Times New Roman" w:hAnsi="Times New Roman"/>
          <w:sz w:val="22"/>
          <w:szCs w:val="22"/>
          <w:color w:val="auto"/>
        </w:rPr>
        <w:t>. Amgen may terminate this Agreement in its entirety at any time and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for no reason upon delivery of (i) at least [***] prior written notice to Arrowhead if no First Commercial Sale has occurred with respect to a Licensed Product and (ii)</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ind w:left="720" w:hanging="712"/>
        <w:spacing w:after="0"/>
        <w:tabs>
          <w:tab w:leader="none" w:pos="72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at least [***] prior written notice to Arrowhead if First Commercial Sale has occurred with respect to a Licensed Product.</w:t>
      </w:r>
    </w:p>
    <w:p>
      <w:pPr>
        <w:spacing w:after="0" w:line="202"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13.3 Termination for Breach. </w:t>
      </w:r>
      <w:r>
        <w:rPr>
          <w:rFonts w:ascii="Times New Roman" w:cs="Times New Roman" w:eastAsia="Times New Roman" w:hAnsi="Times New Roman"/>
          <w:sz w:val="22"/>
          <w:szCs w:val="22"/>
          <w:color w:val="auto"/>
        </w:rPr>
        <w:t>Each Party (the “</w:t>
      </w:r>
      <w:r>
        <w:rPr>
          <w:rFonts w:ascii="Times New Roman" w:cs="Times New Roman" w:eastAsia="Times New Roman" w:hAnsi="Times New Roman"/>
          <w:sz w:val="22"/>
          <w:szCs w:val="22"/>
          <w:b w:val="1"/>
          <w:bCs w:val="1"/>
          <w:color w:val="auto"/>
        </w:rPr>
        <w:t>Non-Breaching Party</w:t>
      </w:r>
      <w:r>
        <w:rPr>
          <w:rFonts w:ascii="Times New Roman" w:cs="Times New Roman" w:eastAsia="Times New Roman" w:hAnsi="Times New Roman"/>
          <w:sz w:val="22"/>
          <w:szCs w:val="22"/>
          <w:color w:val="auto"/>
        </w:rPr>
        <w:t>”) shall have the right, without prejudice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other remedies available to it at law or in equity, to terminate this Agreement in its entirety upon written notice to the other Party if the other Party materially breaches its obligations under this Agreement and, after receiving written notice identifying such material breach in reasonable detail, fails to cure such material breach, or if such material breach is not susceptible to cure within the Cure Period, fails to deliver to the Non-Breaching Party a written plan that is reasonably calculated to resolve such material breach, within ninety (90) days from the date of such notice (or within thirty (30) days from the date of such notice in the event such material breach is solely based on the breaching Party’s failure to pay any undisputed amounts due hereunder) (the “</w:t>
      </w:r>
      <w:r>
        <w:rPr>
          <w:rFonts w:ascii="Times New Roman" w:cs="Times New Roman" w:eastAsia="Times New Roman" w:hAnsi="Times New Roman"/>
          <w:sz w:val="22"/>
          <w:szCs w:val="22"/>
          <w:b w:val="1"/>
          <w:bCs w:val="1"/>
          <w:color w:val="auto"/>
        </w:rPr>
        <w:t>Cure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If the Parties reasonably and in good faith disagree as to whether there has been a material breach, the Party that disputes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there has been a material breach may contest the allegation in accordance with Article 14. It is understood and acknowledged that, during the pendency of such a Dispute, the Cure Period shall be extended by the period of time of such pendency, all of the terms and conditions of this Agreement shall remain in effect, and the Parties shall continue to perform all of their respective obligations under this Agreement; provided that for any Dispute over payment, such tolling of the Cure Period will only apply with respect to payment of the disputed amounts and not with respect to any undisputed amounts. Nothing in this Section 13.3 shall limit a Party’s ability to seek remedies available under this Agreement in law or equity.</w:t>
      </w:r>
    </w:p>
    <w:p>
      <w:pPr>
        <w:spacing w:after="0" w:line="181"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13.4 Termination for Patent Challenge. </w:t>
      </w:r>
      <w:r>
        <w:rPr>
          <w:rFonts w:ascii="Times New Roman" w:cs="Times New Roman" w:eastAsia="Times New Roman" w:hAnsi="Times New Roman"/>
          <w:sz w:val="22"/>
          <w:szCs w:val="22"/>
          <w:color w:val="auto"/>
        </w:rPr>
        <w:t>Arrowhead may terminate this Agreement in its entirety immediately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written notice to Amgen if (i) Amgen or its Affiliates (directly or indirectly) challenges the validity, enforceability or scope of any Arrowhead Patent anywhere in the world or (ii) any Sublicensee (directly or indirectly) challenges the validity, enforceability or scope of any Arrowhead Patent anywhere in the world and (A) Amgen does not cause such Sublicensee to withdraw such action or (B) Amgen does not initiate termination of the sublicense agreement with such Sublicensee, in each case, within ten (10) days of Amgen receiving from Arrowhead written notice of any such action being taken by such Sublicensee. Notwithstanding the foregoing, Arrowhead shall have no such right to terminate this Agreement in the case of (I) Amgen’s or any of its Affiliates’ good faith assertion that (x) any Invention claimed by a Patent filed by or on behalf of Arrowhead as an Arrowhead Patent was an Invention of Amgen or a Joint Invention or (y) any Invention claimed by a Joint Patent filed by or on behalf of Arrowhead as a Joint Patent was an Invention of Amgen; (II) Amgen’s or any of its Affiliates’ good faith assertion, in the context of whether a payment of royalties is due to Arrowhead, that no Valid Claim within the Arrowhead Patents licensed from Third Parties applies with respect to a Licensed Product; (III) any claim made by Amgen or any of its Affiliates or Sublicensees as a defense in any lawsuit or administrative proceeding brought by Arrowhead; or (IV) any lawsuit, reexamination proceeding or opposition brought by Amgen or any of its Affiliates or Sublicensees challenging the validity or enforceability of any claim within an issued Arrowhead Patent that does not claim the Arrowhead Licensed Technology that is licensed to Amgen under 3.1 to exploit Licensed Compounds or Licensed Products.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ind w:left="720" w:hanging="712"/>
        <w:spacing w:after="0"/>
        <w:tabs>
          <w:tab w:leader="none" w:pos="72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84" w:name="page185"/>
    <w:bookmarkEnd w:id="184"/>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13.5 Consequences of Termination</w:t>
      </w:r>
      <w:r>
        <w:rPr>
          <w:rFonts w:ascii="Times New Roman" w:cs="Times New Roman" w:eastAsia="Times New Roman" w:hAnsi="Times New Roman"/>
          <w:sz w:val="22"/>
          <w:szCs w:val="22"/>
          <w:color w:val="auto"/>
        </w:rPr>
        <w:t>. Upon any termination of this Agreement pursuant to Section 13.2, 13.3,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13.4, except as otherwise set forth in Section 13.6 and 8.4(b), all licenses and rights granted by either Party under this Agreement shall terminate.</w:t>
      </w:r>
    </w:p>
    <w:p>
      <w:pPr>
        <w:spacing w:after="0" w:line="16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13.6 Survival. </w:t>
      </w:r>
      <w:r>
        <w:rPr>
          <w:rFonts w:ascii="Times New Roman" w:cs="Times New Roman" w:eastAsia="Times New Roman" w:hAnsi="Times New Roman"/>
          <w:sz w:val="22"/>
          <w:szCs w:val="22"/>
          <w:color w:val="auto"/>
        </w:rPr>
        <w:t>Termination or expiration of this Agreement shall not affect any liabilities of the Parties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that have accrued prior to the date of termination or expiration. Notwithstanding anything to the contrary, the following provisions shall survive any expiration or termination of this Agreement: Article 1, Article 11, Article 12, (for the period set forth in Section 12.1), and Article 15 (except Section 15.6(b) and (c)); and Sections , 8.3, 8.4, 8.5, 8.7, 8.8 (each such listed section in Article 8 to the extent applicable to payments for milestone events or sales of Licensed Products that occurred prior to the effective date of such termination or expiration and payable by Amgen under Article 8), 8.9, 9.1, 9.2, 10.5, 13.5 (as applicable), 13.6, and 13.7.</w:t>
      </w:r>
    </w:p>
    <w:p>
      <w:pPr>
        <w:spacing w:after="0" w:line="17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13.7 No Limitation on Remedies. </w:t>
      </w:r>
      <w:r>
        <w:rPr>
          <w:rFonts w:ascii="Times New Roman" w:cs="Times New Roman" w:eastAsia="Times New Roman" w:hAnsi="Times New Roman"/>
          <w:sz w:val="22"/>
          <w:szCs w:val="22"/>
          <w:color w:val="auto"/>
        </w:rPr>
        <w:t>Notwithstanding anything to the contrary in this Agreement, termination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this Agreement shall not relieve the Parties of any liability or obligation which accrued hereunder prior to the effective date of such termination or expiration nor prejudice either Party’s right to obtain performance of any obligation. Subject to the terms and conditions of this Agreement, each Party shall be free to seek (without restriction as to the number of times it may seek) damages, costs and remedies that may be available at Law or in equity and shall be entitled to offset the amount of any damages and costs obtained in a final, non-appealable judgment (or judgment from which no appeal was taken within the allowable time period) of monetary damages or costs (as permitted by this Agreement) against the other Party against any amounts otherwise due to such other Party under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DISPUTE RESOLUTION</w:t>
      </w:r>
    </w:p>
    <w:p>
      <w:pPr>
        <w:spacing w:after="0" w:line="178"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14.1 Disputes. </w:t>
      </w:r>
      <w:r>
        <w:rPr>
          <w:rFonts w:ascii="Times New Roman" w:cs="Times New Roman" w:eastAsia="Times New Roman" w:hAnsi="Times New Roman"/>
          <w:sz w:val="22"/>
          <w:szCs w:val="22"/>
          <w:color w:val="auto"/>
        </w:rPr>
        <w:t>The Parties recognize that controversies or claims arising out of, relating to or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provision of this Agreement as to certain matters may from time to time arise that relate to either Party’s rights or obligations hereunder (collectively, “</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It is the objective of the Parties to establish procedures to facilitate the resolution of Disputes in an expedient manner by mutual cooperation. Accordingly, with respect to all Disputes, including any alleged breach under this Agreement or any issue relating to the interpretation or application of this Agreement, if the Parties are unable to resolve such Dispute within [***] after such Dispute is first identified by either Party in writing to the other, the Parties shall refer such Dispute to the Executive Officers of the Parties for attempted resolution by good faith negotiations prior to commencing litigation in accordance with Section 15.1.</w:t>
      </w:r>
    </w:p>
    <w:p>
      <w:pPr>
        <w:spacing w:after="0" w:line="179"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14.2 Preliminary Injunctions. </w:t>
      </w:r>
      <w:r>
        <w:rPr>
          <w:rFonts w:ascii="Times New Roman" w:cs="Times New Roman" w:eastAsia="Times New Roman" w:hAnsi="Times New Roman"/>
          <w:sz w:val="22"/>
          <w:szCs w:val="22"/>
          <w:color w:val="auto"/>
        </w:rPr>
        <w:t>Notwithstanding anything in this Agreement to the contrary, a Party may,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seek a temporary restraining order or a preliminary injunction from any court of competent jurisdiction in order to prevent immediate and irreparable injury, loss, or damage on a provisional basis.</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14.3 Patent Disputes. </w:t>
      </w:r>
      <w:r>
        <w:rPr>
          <w:rFonts w:ascii="Times New Roman" w:cs="Times New Roman" w:eastAsia="Times New Roman" w:hAnsi="Times New Roman"/>
          <w:sz w:val="22"/>
          <w:szCs w:val="22"/>
          <w:color w:val="auto"/>
        </w:rPr>
        <w:t>Notwithstanding anything in this Agreement to the contrary, any and all issues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validity and enforceability of any patent in a country within the Territory shall be determined in a court or other tribunal, as the case may be, of competent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ind w:left="720" w:hanging="712"/>
        <w:spacing w:after="0"/>
        <w:tabs>
          <w:tab w:leader="none" w:pos="72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85" w:name="page186"/>
    <w:bookmarkEnd w:id="185"/>
    <w:p>
      <w:pPr>
        <w:jc w:val="both"/>
        <w:spacing w:after="0" w:line="258" w:lineRule="auto"/>
        <w:rPr>
          <w:sz w:val="20"/>
          <w:szCs w:val="20"/>
          <w:color w:val="auto"/>
        </w:rPr>
      </w:pPr>
      <w:r>
        <w:rPr>
          <w:rFonts w:ascii="Times New Roman" w:cs="Times New Roman" w:eastAsia="Times New Roman" w:hAnsi="Times New Roman"/>
          <w:sz w:val="22"/>
          <w:szCs w:val="22"/>
          <w:color w:val="auto"/>
        </w:rPr>
        <w:t>jurisdiction under the applicable patent laws of such country, except as to any issue that depends on the validity, scope or enforceability of any Joint Inventions, which shall be determined in accordance with U.S. federal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15.1 English Language; Governing Law; Jurisdiction</w:t>
      </w:r>
      <w:r>
        <w:rPr>
          <w:rFonts w:ascii="Times New Roman" w:cs="Times New Roman" w:eastAsia="Times New Roman" w:hAnsi="Times New Roman"/>
          <w:sz w:val="22"/>
          <w:szCs w:val="22"/>
          <w:color w:val="auto"/>
        </w:rPr>
        <w:t>. This Agreement was prepared in the English language,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language shall govern the interpretation of, and any dispute regarding, the terms of this Agreement. This Agreement and all disputes arising out of or related to this Agreement or any breach hereof shall be governed by and construed under the laws of the State of New York, U.S., without giving effect to any choice of law principles that would require the application of the laws of a different jurisdiction. Each of the Parties hereby irrevocably and unconditionally consents to submit to the exclusive jurisdiction of the federal and state courts located in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federal and state courts located in the City and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w:t>
      </w:r>
    </w:p>
    <w:p>
      <w:pPr>
        <w:spacing w:after="0" w:line="173"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15.2 Entire Agreement; Amendment</w:t>
      </w:r>
      <w:r>
        <w:rPr>
          <w:rFonts w:ascii="Times New Roman" w:cs="Times New Roman" w:eastAsia="Times New Roman" w:hAnsi="Times New Roman"/>
          <w:sz w:val="22"/>
          <w:szCs w:val="22"/>
          <w:color w:val="auto"/>
        </w:rPr>
        <w:t>. This Agreement, including the Exhibits hereto, and the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set forth the complete, final and 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between the Parties with respect to the subject matter hereof, including the Confidentiality Agreement. No subsequent alteration, amendment, change or addition to this Agreement shall be binding upon the Parties unless reduced to writing and signed by an authorized officer of each Party.</w:t>
      </w:r>
    </w:p>
    <w:p>
      <w:pPr>
        <w:spacing w:after="0" w:line="17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15.3 Force Majeure</w:t>
      </w:r>
      <w:r>
        <w:rPr>
          <w:rFonts w:ascii="Times New Roman" w:cs="Times New Roman" w:eastAsia="Times New Roman" w:hAnsi="Times New Roman"/>
          <w:sz w:val="22"/>
          <w:szCs w:val="22"/>
          <w:color w:val="auto"/>
        </w:rPr>
        <w:t>. Both Parties shall be excused from the performance of their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terrorist act, labor strike or lock-out, epidemic, and fire, earthquake, storm, release of radioactive material into the environment,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ind w:left="720" w:hanging="712"/>
        <w:spacing w:after="0"/>
        <w:tabs>
          <w:tab w:leader="none" w:pos="7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86" w:name="page187"/>
    <w:bookmarkEnd w:id="186"/>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15.4 Notices</w:t>
      </w:r>
      <w:r>
        <w:rPr>
          <w:rFonts w:ascii="Times New Roman" w:cs="Times New Roman" w:eastAsia="Times New Roman" w:hAnsi="Times New Roman"/>
          <w:sz w:val="22"/>
          <w:szCs w:val="22"/>
          <w:color w:val="auto"/>
        </w:rPr>
        <w:t>. Any notice required or permitted to be given under this Agreement shall be in writing,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specifically refer to this Agreement, and shall be addressed to the appropriate Party at the address specified below or such other address as may be specified by such Party in writing in accordance with this Section 15.4,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ectPr>
          <w:pgSz w:w="11900" w:h="16838" w:orient="portrait"/>
          <w:cols w:equalWidth="0" w:num="1">
            <w:col w:w="11420"/>
          </w:cols>
          <w:pgMar w:left="240" w:top="527" w:right="239" w:bottom="1440" w:gutter="0" w:footer="0" w:header="0"/>
        </w:sectPr>
      </w:pP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Arrowhead: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S. Lake Ave Suite 1050</w:t>
      </w:r>
    </w:p>
    <w:p>
      <w:pPr>
        <w:spacing w:after="0" w:line="230" w:lineRule="auto"/>
        <w:rPr>
          <w:sz w:val="20"/>
          <w:szCs w:val="20"/>
          <w:color w:val="auto"/>
        </w:rPr>
      </w:pPr>
      <w:r>
        <w:rPr>
          <w:rFonts w:ascii="Times New Roman" w:cs="Times New Roman" w:eastAsia="Times New Roman" w:hAnsi="Times New Roman"/>
          <w:sz w:val="22"/>
          <w:szCs w:val="22"/>
          <w:color w:val="auto"/>
        </w:rPr>
        <w:t>Pasadena, CA 91101</w:t>
      </w:r>
    </w:p>
    <w:p>
      <w:pPr>
        <w:spacing w:after="0" w:line="231" w:lineRule="auto"/>
        <w:rPr>
          <w:sz w:val="20"/>
          <w:szCs w:val="20"/>
          <w:color w:val="auto"/>
        </w:rPr>
      </w:pPr>
      <w:r>
        <w:rPr>
          <w:rFonts w:ascii="Times New Roman" w:cs="Times New Roman" w:eastAsia="Times New Roman" w:hAnsi="Times New Roman"/>
          <w:sz w:val="22"/>
          <w:szCs w:val="22"/>
          <w:color w:val="auto"/>
        </w:rPr>
        <w:t>Attn: General Counsel</w:t>
      </w:r>
    </w:p>
    <w:p>
      <w:pPr>
        <w:spacing w:after="0"/>
        <w:rPr>
          <w:sz w:val="20"/>
          <w:szCs w:val="20"/>
          <w:color w:val="auto"/>
        </w:rPr>
      </w:pPr>
      <w:r>
        <w:rPr>
          <w:rFonts w:ascii="Times New Roman" w:cs="Times New Roman" w:eastAsia="Times New Roman" w:hAnsi="Times New Roman"/>
          <w:sz w:val="22"/>
          <w:szCs w:val="22"/>
          <w:color w:val="auto"/>
        </w:rPr>
        <w:t>Facsimile: (626) 304-3401</w:t>
      </w:r>
    </w:p>
    <w:p>
      <w:pPr>
        <w:spacing w:after="0" w:line="182" w:lineRule="exact"/>
        <w:rPr>
          <w:sz w:val="20"/>
          <w:szCs w:val="20"/>
          <w:color w:val="auto"/>
        </w:rPr>
      </w:pPr>
    </w:p>
    <w:p>
      <w:pPr>
        <w:sectPr>
          <w:pgSz w:w="11900" w:h="16838" w:orient="portrait"/>
          <w:cols w:equalWidth="0" w:num="2">
            <w:col w:w="3460" w:space="720"/>
            <w:col w:w="7240"/>
          </w:cols>
          <w:pgMar w:left="240" w:top="527" w:right="2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780" w:type="dxa"/>
            <w:vAlign w:val="bottom"/>
          </w:tcPr>
          <w:p>
            <w:pPr>
              <w:spacing w:after="0"/>
              <w:rPr>
                <w:sz w:val="22"/>
                <w:szCs w:val="22"/>
                <w:color w:val="auto"/>
              </w:rPr>
            </w:pPr>
          </w:p>
        </w:tc>
        <w:tc>
          <w:tcPr>
            <w:tcW w:w="34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Gibson, Dunn &amp; Crutcher LLP</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555 Mission Street, Suite 3000</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San Francisco, California 94105</w:t>
            </w:r>
          </w:p>
        </w:tc>
        <w:tc>
          <w:tcPr>
            <w:tcW w:w="0" w:type="dxa"/>
            <w:vAlign w:val="bottom"/>
          </w:tcPr>
          <w:p>
            <w:pPr>
              <w:spacing w:after="0"/>
              <w:rPr>
                <w:sz w:val="1"/>
                <w:szCs w:val="1"/>
                <w:color w:val="auto"/>
              </w:rPr>
            </w:pPr>
          </w:p>
        </w:tc>
      </w:tr>
      <w:tr>
        <w:trPr>
          <w:trHeight w:val="283"/>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Facsimile: (415) 374-8430</w:t>
            </w:r>
          </w:p>
        </w:tc>
        <w:tc>
          <w:tcPr>
            <w:tcW w:w="34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Attn: Ryan A. Murr</w:t>
            </w:r>
          </w:p>
        </w:tc>
        <w:tc>
          <w:tcPr>
            <w:tcW w:w="0" w:type="dxa"/>
            <w:vAlign w:val="bottom"/>
          </w:tcPr>
          <w:p>
            <w:pPr>
              <w:spacing w:after="0"/>
              <w:rPr>
                <w:sz w:val="1"/>
                <w:szCs w:val="1"/>
                <w:color w:val="auto"/>
              </w:rPr>
            </w:pPr>
          </w:p>
        </w:tc>
      </w:tr>
      <w:tr>
        <w:trPr>
          <w:trHeight w:val="243"/>
        </w:trPr>
        <w:tc>
          <w:tcPr>
            <w:tcW w:w="2780" w:type="dxa"/>
            <w:vAlign w:val="bottom"/>
            <w:vMerge w:val="continue"/>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If to Amgen:</w:t>
            </w:r>
          </w:p>
        </w:tc>
        <w:tc>
          <w:tcPr>
            <w:tcW w:w="3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Amgen Inc.</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One Amgen Center Drive</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7"/>
              </w:rPr>
              <w:t>Thousand Oaks, California 91320</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Attention: Corporate Secretary</w:t>
            </w:r>
          </w:p>
        </w:tc>
        <w:tc>
          <w:tcPr>
            <w:tcW w:w="0" w:type="dxa"/>
            <w:vAlign w:val="bottom"/>
          </w:tcPr>
          <w:p>
            <w:pPr>
              <w:spacing w:after="0"/>
              <w:rPr>
                <w:sz w:val="1"/>
                <w:szCs w:val="1"/>
                <w:color w:val="auto"/>
              </w:rPr>
            </w:pPr>
          </w:p>
        </w:tc>
      </w:tr>
      <w:tr>
        <w:trPr>
          <w:trHeight w:val="283"/>
        </w:trPr>
        <w:tc>
          <w:tcPr>
            <w:tcW w:w="2780" w:type="dxa"/>
            <w:vAlign w:val="bottom"/>
          </w:tcPr>
          <w:p>
            <w:pPr>
              <w:spacing w:after="0"/>
              <w:rPr>
                <w:sz w:val="24"/>
                <w:szCs w:val="24"/>
                <w:color w:val="auto"/>
              </w:rPr>
            </w:pPr>
          </w:p>
        </w:tc>
        <w:tc>
          <w:tcPr>
            <w:tcW w:w="34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Facsimile: (805) 499-6751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Amgen Inc.</w:t>
      </w:r>
    </w:p>
    <w:p>
      <w:pPr>
        <w:spacing w:after="0" w:line="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One Amgen Center Drive</w:t>
      </w:r>
    </w:p>
    <w:p>
      <w:pPr>
        <w:ind w:left="4180"/>
        <w:spacing w:after="0" w:line="230" w:lineRule="auto"/>
        <w:rPr>
          <w:sz w:val="20"/>
          <w:szCs w:val="20"/>
          <w:color w:val="auto"/>
        </w:rPr>
      </w:pPr>
      <w:r>
        <w:rPr>
          <w:rFonts w:ascii="Times New Roman" w:cs="Times New Roman" w:eastAsia="Times New Roman" w:hAnsi="Times New Roman"/>
          <w:sz w:val="22"/>
          <w:szCs w:val="22"/>
          <w:color w:val="auto"/>
        </w:rPr>
        <w:t>Thousand Oaks, California 91320</w:t>
      </w:r>
    </w:p>
    <w:p>
      <w:pPr>
        <w:ind w:left="4180"/>
        <w:spacing w:after="0" w:line="231" w:lineRule="auto"/>
        <w:rPr>
          <w:sz w:val="20"/>
          <w:szCs w:val="20"/>
          <w:color w:val="auto"/>
        </w:rPr>
      </w:pPr>
      <w:r>
        <w:rPr>
          <w:rFonts w:ascii="Times New Roman" w:cs="Times New Roman" w:eastAsia="Times New Roman" w:hAnsi="Times New Roman"/>
          <w:sz w:val="22"/>
          <w:szCs w:val="22"/>
          <w:color w:val="auto"/>
        </w:rPr>
        <w:t>Attention: SVP, Business Development</w:t>
      </w:r>
    </w:p>
    <w:p>
      <w:pPr>
        <w:ind w:left="4200"/>
        <w:spacing w:after="0"/>
        <w:rPr>
          <w:sz w:val="20"/>
          <w:szCs w:val="20"/>
          <w:color w:val="auto"/>
        </w:rPr>
      </w:pPr>
      <w:r>
        <w:rPr>
          <w:rFonts w:ascii="Times New Roman" w:cs="Times New Roman" w:eastAsia="Times New Roman" w:hAnsi="Times New Roman"/>
          <w:sz w:val="22"/>
          <w:szCs w:val="22"/>
          <w:color w:val="auto"/>
        </w:rPr>
        <w:t>Facsimile: (805) 499-6751</w:t>
      </w:r>
    </w:p>
    <w:p>
      <w:pPr>
        <w:spacing w:after="0" w:line="205"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15.5 No Strict Construction; Headings</w:t>
      </w:r>
      <w:r>
        <w:rPr>
          <w:rFonts w:ascii="Times New Roman" w:cs="Times New Roman" w:eastAsia="Times New Roman" w:hAnsi="Times New Roman"/>
          <w:sz w:val="22"/>
          <w:szCs w:val="22"/>
          <w:color w:val="auto"/>
        </w:rPr>
        <w:t>. This Agreement has been prepared jointly by the Parties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The use of any gender shall be applicable to all genders. The word “or” is used in the inclusive sense (and/or) unless the context dictates otherwise because the subjects of the conjunction are mutually exclusive. The term “including” means “including without limitation,” without limiting the generality of any description preceding such term. The term “shall” means “will”.</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ind w:left="720" w:hanging="712"/>
        <w:spacing w:after="0"/>
        <w:tabs>
          <w:tab w:leader="none" w:pos="720"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type w:val="continuous"/>
        </w:sectPr>
      </w:pPr>
    </w:p>
    <w:bookmarkStart w:id="187" w:name="page188"/>
    <w:bookmarkEnd w:id="187"/>
    <w:tbl>
      <w:tblPr>
        <w:tblLayout w:type="fixed"/>
        <w:tblInd w:w="880" w:type="dxa"/>
        <w:tblCellMar>
          <w:top w:w="0" w:type="dxa"/>
          <w:left w:w="0" w:type="dxa"/>
          <w:bottom w:w="0" w:type="dxa"/>
          <w:right w:w="0" w:type="dxa"/>
        </w:tblCellMar>
      </w:tblPr>
      <w:tr>
        <w:trPr>
          <w:trHeight w:val="28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3"/>
              </w:rPr>
              <w:t>15.6</w:t>
            </w:r>
          </w:p>
        </w:tc>
        <w:tc>
          <w:tcPr>
            <w:tcW w:w="19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w:t>
            </w:r>
          </w:p>
        </w:tc>
        <w:tc>
          <w:tcPr>
            <w:tcW w:w="7920" w:type="dxa"/>
            <w:vAlign w:val="bottom"/>
          </w:tcPr>
          <w:p>
            <w:pPr>
              <w:spacing w:after="0"/>
              <w:rPr>
                <w:sz w:val="24"/>
                <w:szCs w:val="24"/>
                <w:color w:val="auto"/>
              </w:rPr>
            </w:pPr>
          </w:p>
        </w:tc>
      </w:tr>
      <w:tr>
        <w:trPr>
          <w:trHeight w:val="444"/>
        </w:trPr>
        <w:tc>
          <w:tcPr>
            <w:tcW w:w="640" w:type="dxa"/>
            <w:vAlign w:val="bottom"/>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w:t>
            </w:r>
          </w:p>
        </w:tc>
        <w:tc>
          <w:tcPr>
            <w:tcW w:w="79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Neither Party may assign or transfer this Agreement or any rights or obligations</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hereunder without the prior written consent of the other Party, except that a Party may make such an assignment or transfer without the other Party’s consent (i) to an Affiliate (for so long as such entity remains an Affiliate) or (ii) only of the entire Agreement (not just certain rights or obligations) to a Third Party acquiror or its Affiliate in connection with a Change of Control of such Party (such Third Party, an “</w:t>
      </w:r>
      <w:r>
        <w:rPr>
          <w:rFonts w:ascii="Times New Roman" w:cs="Times New Roman" w:eastAsia="Times New Roman" w:hAnsi="Times New Roman"/>
          <w:sz w:val="22"/>
          <w:szCs w:val="22"/>
          <w:b w:val="1"/>
          <w:bCs w:val="1"/>
          <w:color w:val="auto"/>
        </w:rPr>
        <w:t>Acquiror</w:t>
      </w:r>
      <w:r>
        <w:rPr>
          <w:rFonts w:ascii="Times New Roman" w:cs="Times New Roman" w:eastAsia="Times New Roman" w:hAnsi="Times New Roman"/>
          <w:sz w:val="22"/>
          <w:szCs w:val="22"/>
          <w:color w:val="auto"/>
        </w:rPr>
        <w:t>”). Any successor or assignee of rights or obligations permitted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16.6 shall be null, void and of no legal effect.</w:t>
      </w:r>
    </w:p>
    <w:p>
      <w:pPr>
        <w:spacing w:after="0" w:line="178"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In the event of any such assignment under Section 15.6(a)(ii)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of Arrowhead, all intellectual property rights (including any Information or Patents) owned or otherwise Controlled by the Acquiror or its Affiliates (except for Arrowhead, if remaining as a separate Affiliate or otherwise the successor entity thereto) shall be excluded from the licenses granted to Amgen under this Agreement and the Arrowhead Licensed Technology (including in each case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 Notwithstanding the foregoing, in the case of either of</w:t>
      </w:r>
    </w:p>
    <w:p>
      <w:pPr>
        <w:spacing w:after="0" w:line="3" w:lineRule="exact"/>
        <w:rPr>
          <w:sz w:val="20"/>
          <w:szCs w:val="20"/>
          <w:color w:val="auto"/>
        </w:rPr>
      </w:pPr>
    </w:p>
    <w:p>
      <w:pPr>
        <w:jc w:val="both"/>
        <w:ind w:firstLine="8"/>
        <w:spacing w:after="0" w:line="243" w:lineRule="auto"/>
        <w:tabs>
          <w:tab w:leader="none" w:pos="30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Change of Control of Arrowhead or (y) the acquisition by Arrowhead of all or substantially all of the business of a Third Party (together with any entities that were Affiliates of such Third Party immediately prior to such acquisition, a </w:t>
      </w:r>
      <w:r>
        <w:rPr>
          <w:rFonts w:ascii="Times New Roman" w:cs="Times New Roman" w:eastAsia="Times New Roman" w:hAnsi="Times New Roman"/>
          <w:sz w:val="21"/>
          <w:szCs w:val="21"/>
          <w:b w:val="1"/>
          <w:bCs w:val="1"/>
          <w:color w:val="auto"/>
        </w:rPr>
        <w:t>“Acquiree”</w:t>
      </w:r>
      <w:r>
        <w:rPr>
          <w:rFonts w:ascii="Times New Roman" w:cs="Times New Roman" w:eastAsia="Times New Roman" w:hAnsi="Times New Roman"/>
          <w:sz w:val="21"/>
          <w:szCs w:val="21"/>
          <w:color w:val="auto"/>
        </w:rPr>
        <w:t xml:space="preserve">), whether by merger, consolidation, divesture, restructure, sale of stock, sale of assets or otherwise (an </w:t>
      </w:r>
      <w:r>
        <w:rPr>
          <w:rFonts w:ascii="Times New Roman" w:cs="Times New Roman" w:eastAsia="Times New Roman" w:hAnsi="Times New Roman"/>
          <w:sz w:val="21"/>
          <w:szCs w:val="21"/>
          <w:b w:val="1"/>
          <w:bCs w:val="1"/>
          <w:color w:val="auto"/>
        </w:rPr>
        <w:t>“Acquisition”</w:t>
      </w:r>
      <w:r>
        <w:rPr>
          <w:rFonts w:ascii="Times New Roman" w:cs="Times New Roman" w:eastAsia="Times New Roman" w:hAnsi="Times New Roman"/>
          <w:sz w:val="21"/>
          <w:szCs w:val="21"/>
          <w:color w:val="auto"/>
        </w:rPr>
        <w:t>), to the extent that any Third Party acquirer in such Change of Control or such Acquiree, as applicable, owns any Blocking Patents relative to a Licensed Compound or a Licensed Product, Arrowhead shall and hereby does grant to Amgen a non-exclusive license, for no additional consideration (provided, however, that in the event that Arrowhead would be obligated to make any payments to a Third Party in connection with the grant of the foregoing license to any Blocking Patents, then unless Amgen agrees to assume such payment obligations, such license grant will exclude a license under the applicable Blocking Patents), until the expiration of the last to expire of such Blocking Patents, on a country-by-country basis, or termination of this Agreement relative to such Licensed Compound or Licensed Product, whichever comes first, provided that at the time of such transaction contemplated by (x) or (y), such non-exclusive license rights are available for such grant and have not been exclusively licensed to any Third Party.</w:t>
      </w:r>
    </w:p>
    <w:p>
      <w:pPr>
        <w:spacing w:after="0" w:line="173" w:lineRule="exact"/>
        <w:rPr>
          <w:sz w:val="20"/>
          <w:szCs w:val="20"/>
          <w:color w:val="auto"/>
        </w:rPr>
      </w:pPr>
    </w:p>
    <w:p>
      <w:pPr>
        <w:jc w:val="both"/>
        <w:ind w:firstLine="175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In the event of any such assignment under Section 15.6(a)(ii)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of Amgen, all intellectual property rights (including any Information or Patents) owned or otherwise Controlled by the Acquiror or its Affiliates (except for Amgen, if remaining as a separate Affiliate or otherwise the successor entity thereto) shall be excluded from the licenses granted to Arrowhead under this Agreement (including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ind w:left="720" w:hanging="712"/>
        <w:spacing w:after="0"/>
        <w:tabs>
          <w:tab w:leader="none" w:pos="72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88" w:name="page189"/>
    <w:bookmarkEnd w:id="188"/>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15.7 Further Actions</w:t>
      </w:r>
      <w:r>
        <w:rPr>
          <w:rFonts w:ascii="Times New Roman" w:cs="Times New Roman" w:eastAsia="Times New Roman" w:hAnsi="Times New Roman"/>
          <w:sz w:val="22"/>
          <w:szCs w:val="22"/>
          <w:color w:val="auto"/>
        </w:rPr>
        <w:t>. Each Party agrees to execute, acknowledge and deliver such further instruments, and to do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such other acts, as may be necessary or appropriate in order to carry out the purposes and intent of this Agreement.</w:t>
      </w:r>
    </w:p>
    <w:p>
      <w:pPr>
        <w:spacing w:after="0" w:line="150"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15.8 Rights in Bankruptcy </w:t>
      </w:r>
      <w:r>
        <w:rPr>
          <w:rFonts w:ascii="Times New Roman" w:cs="Times New Roman" w:eastAsia="Times New Roman" w:hAnsi="Times New Roman"/>
          <w:sz w:val="21"/>
          <w:szCs w:val="21"/>
          <w:color w:val="auto"/>
        </w:rPr>
        <w:t>. All rights and licenses granted under or pursuant to this Agreement by Arrowhead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and shall otherwise be deemed to be, for purposes of Section 365(n) of the Bankruptcy Code, licenses of rights to "intellectual property" as defined under Section 101 of the Bankruptcy Code. The Parties agree that Amgen, as licensee of such rights under this Agreement, shall retain and may fully exercise all of its rights and elections under the Bankruptcy Code including without limitation Amgen's right to retain all licenses to Arrowhead Licensed Technology granted herein. Without limiting the generality of the foregoing, the Parties intend and agree that any sale of Arrowhead's assets under Section 363 of the Bankruptcy Code shall be subject to Amgen’s rights under Section 365(n), that Amgen cannot be compelled to accept a money satisfaction of its interests in Arrowhead Licensed Technology, and that any such sale therefore may not be made to a purchaser "free and clear" of Amgen's license rights without the consent of Amgen. The Parties further agree that, in the event of the commencement of a bankruptcy proceeding by or against Arrowhead under the Bankruptcy Code, Amgen shall be entitled to a complete duplicate of (or complete access to, as appropriate) any such intellectual property and all embodiments of such intellectual property, and the same, if not already in its possession, shall be promptly delivered to them (i) upon any such commencement of a bankruptcy proceeding upon its written request therefor, unless Arrowhead elects to continue to perform all of its obligations under this Agreement, or (ii) if not delivered under (i) above, following the rejection of this Agreement by or on behalf of Arrowhead upon written request therefor by Amgen. (The Parties acknowledge and agree that "embodiments" of intellectual property within the meaning of Section 365(n) include without limitation laboratory notebooks, RNAi Molecules, inventory, research studies, data, and regulatory approvals). Additionally, if (a) a case under the Bankruptcy Code is commenced by or against Arrowhead, (b) this Agreement is rejected as provided in the Bankruptcy Code, and (c) Amgen elects to retain its rights hereunder as provided in Section 365(n) of the Bankruptcy Code, Arrowhead (in any capacity, including debtor-in-possession) and its successors and assigns (including a trustee) shall not interfere with Amgen's rights under this Agreement to Arrowhead Licensed Technology (including such embodiments), including any right to obtain such Arrowhead Licensed Technology (or such embodiments) from another entity, to the extent provided in Section 365(n) of the Bankruptcy Code. All rights, powers and remedies of Amgen provided herein are in addition to and not in substitution for any and all other rights, powers and remedies now or hereafter existing at law or in equity (including the Bankruptcy Code) in the event of the commencement of a case under the Bankruptcy Code with respect to Arrowhead. The Parties agree that they intend the following rights to extend to the maximum extent permitted by law, and to be enforceable under Section 365(n) of the Bankruptcy Code: (I) the right of access to any Arrowhead Licensed Technology (including all embodiments thereof) of Arrowhead, or any Third Party with whom Arrowhead contracts to perform an obligation of Arrowhead under this Agreement, and, in the case of the Third Party, which is necessary for the development, manufacture, supply, commercialization, sale, import or export of Licensed Compounds or Licensed Products, in any case solely as provided under this Agreement; and (II) the right to contract directly with any Third Party to complete the same.</w:t>
      </w:r>
    </w:p>
    <w:p>
      <w:pPr>
        <w:spacing w:after="0" w:line="200" w:lineRule="exact"/>
        <w:rPr>
          <w:sz w:val="20"/>
          <w:szCs w:val="20"/>
          <w:color w:val="auto"/>
        </w:rPr>
      </w:pPr>
    </w:p>
    <w:p>
      <w:pPr>
        <w:spacing w:after="0" w:line="218"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15.9 Severability</w:t>
      </w:r>
      <w:r>
        <w:rPr>
          <w:rFonts w:ascii="Times New Roman" w:cs="Times New Roman" w:eastAsia="Times New Roman" w:hAnsi="Times New Roman"/>
          <w:sz w:val="22"/>
          <w:szCs w:val="22"/>
          <w:color w:val="auto"/>
        </w:rPr>
        <w:t>. If any one or more of the provisions of this Agreement is held to be invalid or unenforceable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court of competent jurisdiction from which no appeal can be or 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ind w:left="720" w:hanging="712"/>
        <w:spacing w:after="0"/>
        <w:tabs>
          <w:tab w:leader="none" w:pos="720"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89" w:name="page190"/>
    <w:bookmarkEnd w:id="189"/>
    <w:p>
      <w:pPr>
        <w:jc w:val="both"/>
        <w:spacing w:after="0" w:line="244" w:lineRule="auto"/>
        <w:rPr>
          <w:sz w:val="20"/>
          <w:szCs w:val="20"/>
          <w:color w:val="auto"/>
        </w:rPr>
      </w:pPr>
      <w:r>
        <w:rPr>
          <w:rFonts w:ascii="Times New Roman" w:cs="Times New Roman" w:eastAsia="Times New Roman" w:hAnsi="Times New Roman"/>
          <w:sz w:val="22"/>
          <w:szCs w:val="22"/>
          <w:color w:val="auto"/>
        </w:rPr>
        <w:t>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7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15.10 No Waiver</w:t>
      </w:r>
      <w:r>
        <w:rPr>
          <w:rFonts w:ascii="Times New Roman" w:cs="Times New Roman" w:eastAsia="Times New Roman" w:hAnsi="Times New Roman"/>
          <w:sz w:val="22"/>
          <w:szCs w:val="22"/>
          <w:color w:val="auto"/>
        </w:rPr>
        <w:t>. Any delay in enforcing a Party’s rights under this Agreement or any waiver as to a particular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200" w:lineRule="exact"/>
        <w:rPr>
          <w:sz w:val="20"/>
          <w:szCs w:val="20"/>
          <w:color w:val="auto"/>
        </w:rPr>
      </w:pPr>
    </w:p>
    <w:p>
      <w:pPr>
        <w:spacing w:after="0" w:line="22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15.11 Independent Contractors</w:t>
      </w:r>
      <w:r>
        <w:rPr>
          <w:rFonts w:ascii="Times New Roman" w:cs="Times New Roman" w:eastAsia="Times New Roman" w:hAnsi="Times New Roman"/>
          <w:sz w:val="22"/>
          <w:szCs w:val="22"/>
          <w:color w:val="auto"/>
        </w:rPr>
        <w:t>. Each Party shall act solely as an independent contractor, and nothing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15.12 No Third Party Beneficiaries</w:t>
      </w:r>
      <w:r>
        <w:rPr>
          <w:rFonts w:ascii="Times New Roman" w:cs="Times New Roman" w:eastAsia="Times New Roman" w:hAnsi="Times New Roman"/>
          <w:sz w:val="22"/>
          <w:szCs w:val="22"/>
          <w:color w:val="auto"/>
        </w:rPr>
        <w:t>. This Agreement is neither expressly nor impliedly made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party other than the Parties and their successors and permitted assigns, except for the persons expressly entitled to indemnification as provided in Article 11 and only in accordance with the terms of such Article 11</w:t>
      </w:r>
    </w:p>
    <w:p>
      <w:pPr>
        <w:spacing w:after="0" w:line="16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15.13 Counterparts; Electronic Delivery</w:t>
      </w:r>
      <w:r>
        <w:rPr>
          <w:rFonts w:ascii="Times New Roman" w:cs="Times New Roman" w:eastAsia="Times New Roman" w:hAnsi="Times New Roman"/>
          <w:sz w:val="22"/>
          <w:szCs w:val="22"/>
          <w:color w:val="auto"/>
        </w:rPr>
        <w:t>. This Agreement may be executed in counterparts, by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or PDF signature, each of which shall be deemed an original, but all of which together shall constitute one and the same instrument.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7"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15.14 HSR. </w:t>
      </w:r>
      <w:r>
        <w:rPr>
          <w:rFonts w:ascii="Times New Roman" w:cs="Times New Roman" w:eastAsia="Times New Roman" w:hAnsi="Times New Roman"/>
          <w:sz w:val="22"/>
          <w:szCs w:val="22"/>
          <w:color w:val="auto"/>
        </w:rPr>
        <w:t>As soon as is reasonably practicable following the Effective Date and in any event within thirty (30)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the Effective Date, each of Amgen (or its Affiliate, as appropriate) and Arrowhead (or its Affiliate, as appropriate) shall prepare and submit appropriate filings under the United States Hart-Scott-Rodino Antitrust Improvements Act of 1976, as amended (the “</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and the rules promulgated thereunder, and request early termination of the waiting period under the HSR Act. The Parties shall furnish, or cause their respective Affiliates to furnish, as the case may be, promptly to the United States Federal Trade Commission (the “</w:t>
      </w:r>
      <w:r>
        <w:rPr>
          <w:rFonts w:ascii="Times New Roman" w:cs="Times New Roman" w:eastAsia="Times New Roman" w:hAnsi="Times New Roman"/>
          <w:sz w:val="22"/>
          <w:szCs w:val="22"/>
          <w:b w:val="1"/>
          <w:bCs w:val="1"/>
          <w:color w:val="auto"/>
        </w:rPr>
        <w:t>FTC</w:t>
      </w:r>
      <w:r>
        <w:rPr>
          <w:rFonts w:ascii="Times New Roman" w:cs="Times New Roman" w:eastAsia="Times New Roman" w:hAnsi="Times New Roman"/>
          <w:sz w:val="22"/>
          <w:szCs w:val="22"/>
          <w:color w:val="auto"/>
        </w:rPr>
        <w:t>”) and the Antitrust Division of the United States Department of Justice (the “</w:t>
      </w:r>
      <w:r>
        <w:rPr>
          <w:rFonts w:ascii="Times New Roman" w:cs="Times New Roman" w:eastAsia="Times New Roman" w:hAnsi="Times New Roman"/>
          <w:sz w:val="22"/>
          <w:szCs w:val="22"/>
          <w:b w:val="1"/>
          <w:bCs w:val="1"/>
          <w:color w:val="auto"/>
        </w:rPr>
        <w:t>DOJ</w:t>
      </w:r>
      <w:r>
        <w:rPr>
          <w:rFonts w:ascii="Times New Roman" w:cs="Times New Roman" w:eastAsia="Times New Roman" w:hAnsi="Times New Roman"/>
          <w:sz w:val="22"/>
          <w:szCs w:val="22"/>
          <w:color w:val="auto"/>
        </w:rPr>
        <w:t>”) any additional information requested within their authority under the HSR Act, use reasonable efforts to obtain antitrust clearance for the transactions contemplated hereunder as soon as practicable, and otherwise cooperate with each other in the United States governmental antitrust clearance process. Subject to the applicable Laws relating to the exchange of information, Amgen shall have the right to direct all matters with respect to the FTC and DOJ hereunder, consistent with its obligations hereunder. Amgen shall have the right to review in advance any filing or submission to be made by Arrowhead, and Arrowhead shall consider in good faith the view of Amgen in light of Amgen’s right to direct issues related to reviews by the FTC and DOJ. To the extent practicable, Amgen will consult with Arrowhead on, and consider in good faith the view of Arrowhead in connection with, all of the information relating to Arrowhead that appears in any filing or form (excluding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ind w:left="720" w:hanging="712"/>
        <w:spacing w:after="0"/>
        <w:tabs>
          <w:tab w:leader="none" w:pos="720"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90" w:name="page191"/>
    <w:bookmarkEnd w:id="190"/>
    <w:p>
      <w:pPr>
        <w:jc w:val="both"/>
        <w:spacing w:after="0" w:line="232" w:lineRule="auto"/>
        <w:rPr>
          <w:sz w:val="20"/>
          <w:szCs w:val="20"/>
          <w:color w:val="auto"/>
        </w:rPr>
      </w:pPr>
      <w:r>
        <w:rPr>
          <w:rFonts w:ascii="Times New Roman" w:cs="Times New Roman" w:eastAsia="Times New Roman" w:hAnsi="Times New Roman"/>
          <w:sz w:val="22"/>
          <w:szCs w:val="22"/>
          <w:color w:val="auto"/>
        </w:rPr>
        <w:t>attachments or exhibits thereto) made with or submitted to the FTC or DOJ in connection with this Section 15.14. Amgen shall bear all fees in connection with any filing under this Section 15.14 and each Party shall bear their respective attorneys’ fees in connection therewith. This Agreement shall bind the Parties upon execution and continue in full force and effect unless and until the termination or expiration of the Agreement by its terms, provided, however, that each Party’s grant of license rights hereunder, Amgen’s obligations to make payments hereunder, and Amgen’s rights and obligations hereunder in connection with the Development and Commercialization of the Licensed Products shall not become effective unless and until each of the following conditions are met: (i) the waiting period provided by the HSR Act shall have expired or terminated (and all antitrust clearance has been obtained), (ii) no court or administrative challenges to the transactions are pending, and (iii) no court or administrative orders are outstanding blocking the completion of the transactions, (the date of such,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Nothing in this Agreement shall require or be deemed to require either Party (or their Affiliates) to commit to any divestitures or licenses or agree to hold separate any assets or agree to any similar arrangements or commit to conduct its business in a specified manner, or to submit and respond to a formal discovery procedure initiated by the FTC or DOJ (i.e., a “Request for Additional Information and Documentary Materials” also known as a “second request”, or Civil Investigative Demand if a filing is not required under the HSR Act), in each case as a condition to obtaining antitrust clearance for transactions contemplated hereunder. If antitrust clearance is not received on or before ninety (90) days after the date on which both Parties have submitted to the FTC and DOJ their respective initial filings to request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ind w:left="720" w:hanging="712"/>
        <w:spacing w:after="0"/>
        <w:tabs>
          <w:tab w:leader="none" w:pos="7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91" w:name="page192"/>
    <w:bookmarkEnd w:id="191"/>
    <w:p>
      <w:pPr>
        <w:jc w:val="both"/>
        <w:spacing w:after="0" w:line="244" w:lineRule="auto"/>
        <w:rPr>
          <w:sz w:val="20"/>
          <w:szCs w:val="20"/>
          <w:color w:val="auto"/>
        </w:rPr>
      </w:pPr>
      <w:r>
        <w:rPr>
          <w:rFonts w:ascii="Times New Roman" w:cs="Times New Roman" w:eastAsia="Times New Roman" w:hAnsi="Times New Roman"/>
          <w:sz w:val="22"/>
          <w:szCs w:val="22"/>
          <w:color w:val="auto"/>
        </w:rPr>
        <w:t>antitrust clearance of the transaction hereunder, then either Party shall have the right to terminate this Agreement without liability therefor at any time thereafter, but prior to receipt of antitrust clearance of the transactions contemplated hereunder, by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ind w:left="720" w:hanging="712"/>
        <w:spacing w:after="0"/>
        <w:tabs>
          <w:tab w:leader="none" w:pos="72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92" w:name="page193"/>
    <w:bookmarkEnd w:id="192"/>
    <w:p>
      <w:pPr>
        <w:ind w:left="8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by their duly authorized officers as of the Effective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MGEN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RROWHEAD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By:/S/ David Meline</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By:/S/ Chris Anzalone</w:t>
            </w:r>
          </w:p>
        </w:tc>
      </w:tr>
      <w:tr>
        <w:trPr>
          <w:trHeight w:val="20"/>
        </w:trPr>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0"/>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David Meline</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Name: Chris Anzalone</w:t>
            </w:r>
          </w:p>
        </w:tc>
      </w:tr>
      <w:tr>
        <w:trPr>
          <w:trHeight w:val="567"/>
        </w:trPr>
        <w:tc>
          <w:tcPr>
            <w:tcW w:w="3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EVP &amp; CFO</w:t>
            </w:r>
          </w:p>
        </w:tc>
        <w:tc>
          <w:tcPr>
            <w:tcW w:w="328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b w:val="1"/>
          <w:bCs w:val="1"/>
          <w:color w:val="auto"/>
        </w:rPr>
        <w:t>LIST OF EXHIBITS:</w:t>
      </w:r>
    </w:p>
    <w:p>
      <w:pPr>
        <w:spacing w:after="0" w:line="21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Collaboration Target</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19"/>
          <w:szCs w:val="19"/>
          <w:color w:val="auto"/>
        </w:rPr>
        <w:t>Work Plan</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Certain Arrowhead Owned Patents</w:t>
      </w:r>
    </w:p>
    <w:p>
      <w:pPr>
        <w:spacing w:after="0" w:line="20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Certain Arrowhead Licensed Patents</w:t>
      </w:r>
    </w:p>
    <w:p>
      <w:pPr>
        <w:spacing w:after="0" w:line="20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Third Party License Agreements</w:t>
      </w:r>
    </w:p>
    <w:p>
      <w:pPr>
        <w:spacing w:after="0" w:line="20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Initial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Collaboration Target: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607060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324" w:right="1440" w:bottom="1440" w:gutter="0" w:footer="0" w:header="0"/>
        </w:sect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Work Plan</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607060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96" w:name="page197"/>
    <w:bookmarkEnd w:id="196"/>
    <w:p>
      <w:pPr>
        <w:jc w:val="center"/>
        <w:ind w:right="-1192"/>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10"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21"/>
          <w:szCs w:val="21"/>
          <w:color w:val="auto"/>
        </w:rPr>
        <w:t>Certain Arrowhead Owned Patents</w:t>
      </w:r>
      <w:r>
        <w:rPr>
          <w:rFonts w:ascii="Times New Roman" w:cs="Times New Roman" w:eastAsia="Times New Roman" w:hAnsi="Times New Roman"/>
          <w:sz w:val="17"/>
          <w:szCs w:val="17"/>
          <w:color w:val="auto"/>
        </w:rPr>
        <w:t>1</w:t>
      </w:r>
    </w:p>
    <w:p>
      <w:pPr>
        <w:spacing w:after="0" w:line="218"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 w:hanging="132"/>
        <w:spacing w:after="0"/>
        <w:tabs>
          <w:tab w:leader="none" w:pos="132"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4490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321945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1"/>
          </w:cols>
          <w:pgMar w:left="248" w:top="324" w:right="14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Certain Arrowhead Licensed Patents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589915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198" w:name="page199"/>
    <w:bookmarkEnd w:id="198"/>
    <w:p>
      <w:pPr>
        <w:jc w:val="center"/>
        <w:ind w:right="374"/>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10"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22"/>
          <w:szCs w:val="22"/>
          <w:color w:val="auto"/>
        </w:rPr>
        <w:t>Third Party License Agreements</w:t>
      </w:r>
    </w:p>
    <w:p>
      <w:pPr>
        <w:spacing w:after="0" w:line="206" w:lineRule="exact"/>
        <w:rPr>
          <w:sz w:val="20"/>
          <w:szCs w:val="20"/>
          <w:color w:val="auto"/>
        </w:rPr>
      </w:pPr>
    </w:p>
    <w:p>
      <w:pPr>
        <w:ind w:left="446" w:right="580" w:hanging="446"/>
        <w:spacing w:after="0" w:line="258" w:lineRule="auto"/>
        <w:tabs>
          <w:tab w:leader="none" w:pos="44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Purchase and Exclusive License Agreement by and between Arrowhead Research Corporation and Novartis Institute for BioMedical Research, Inc., dated March 3, 2015.</w:t>
      </w:r>
    </w:p>
    <w:p>
      <w:pPr>
        <w:spacing w:after="0" w:line="158" w:lineRule="exact"/>
        <w:rPr>
          <w:rFonts w:ascii="Times New Roman" w:cs="Times New Roman" w:eastAsia="Times New Roman" w:hAnsi="Times New Roman"/>
          <w:sz w:val="22"/>
          <w:szCs w:val="22"/>
          <w:color w:val="auto"/>
        </w:rPr>
      </w:pPr>
    </w:p>
    <w:p>
      <w:pPr>
        <w:ind w:left="446" w:hanging="446"/>
        <w:spacing w:after="0" w:line="258" w:lineRule="auto"/>
        <w:tabs>
          <w:tab w:leader="none" w:pos="44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 Agreement between City of Hope and F. Hoffmann-La Roche Ltd. and Hoffmann-La Roche Inc., dated September 19, 2011.</w:t>
      </w:r>
    </w:p>
    <w:p>
      <w:pPr>
        <w:spacing w:after="0" w:line="158" w:lineRule="exact"/>
        <w:rPr>
          <w:rFonts w:ascii="Times New Roman" w:cs="Times New Roman" w:eastAsia="Times New Roman" w:hAnsi="Times New Roman"/>
          <w:sz w:val="22"/>
          <w:szCs w:val="22"/>
          <w:color w:val="auto"/>
        </w:rPr>
      </w:pPr>
    </w:p>
    <w:p>
      <w:pPr>
        <w:ind w:left="446" w:right="320" w:hanging="446"/>
        <w:spacing w:after="0" w:line="258" w:lineRule="auto"/>
        <w:tabs>
          <w:tab w:leader="none" w:pos="44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 Agreement between Hoffmann-La Roche Inc. and F. Hoffmann-La Roche Ltd. and MDRNA, Inc., dated 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1014095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6"/>
          </w:cols>
          <w:pgMar w:left="694" w:top="324" w:right="299" w:bottom="1440" w:gutter="0" w:footer="0" w:header="0"/>
        </w:sectPr>
      </w:pPr>
    </w:p>
    <w:bookmarkStart w:id="199" w:name="page200"/>
    <w:bookmarkEnd w:id="19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Initial Press Release</w:t>
      </w:r>
    </w:p>
    <w:p>
      <w:pPr>
        <w:sectPr>
          <w:pgSz w:w="11900" w:h="16838" w:orient="portrait"/>
          <w:cols w:equalWidth="0" w:num="1">
            <w:col w:w="9019"/>
          </w:cols>
          <w:pgMar w:left="1440" w:top="756"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Australia Pty Ltd</w:t>
            </w:r>
          </w:p>
        </w:tc>
        <w:tc>
          <w:tcPr>
            <w:tcW w:w="5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420"/>
          </w:cols>
          <w:pgMar w:left="240" w:top="117" w:right="2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(Nos. 333-202737, 333-193748, 333-191922, 333-188718, 333-178532, 333-178073, 333-178072, 333-176159, 333-164039, 333-161344, 333-148218, 333-144109, 333-137329, 333-132310, 333-124065, 333-113065, 333-213484, 333-214311, and 333-214315) and Forms S-8 (Nos. 333-202741, 333-198920, 333-194596, 333-190970, 333-180692, 333-170252, 333-136225, 333-124066, 333-120072, and 333-210117) of Arrowhead Pharmaceuticals, Inc. of our report dated December 12, 2016, with respect to the consolidated balance sheets of Arrowhead Pharmaceuticals, Inc. and Subsidiaries as of September 30, 2016 and September 30, 2015, and the related consolidated statements of operations and comprehensive loss, stockholders’ equity and cash flows for each of the years in the three-year period ended September 30, 2016, and the effectiveness of internal control over financial reporting as of September 30, 2016, which reports appear in the September 30, 2016 annual report on Form 10-K of 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2016</w:t>
      </w:r>
    </w:p>
    <w:p>
      <w:pPr>
        <w:sectPr>
          <w:pgSz w:w="11900" w:h="16838" w:orient="portrait"/>
          <w:cols w:equalWidth="0" w:num="1">
            <w:col w:w="11420"/>
          </w:cols>
          <w:pgMar w:left="240" w:top="117" w:right="2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501"/>
        <w:spacing w:after="0" w:line="266" w:lineRule="auto"/>
        <w:tabs>
          <w:tab w:leader="none" w:pos="12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501"/>
        <w:spacing w:after="0" w:line="266" w:lineRule="auto"/>
        <w:tabs>
          <w:tab w:leader="none" w:pos="126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501"/>
        <w:spacing w:after="0" w:line="282" w:lineRule="auto"/>
        <w:tabs>
          <w:tab w:leader="none" w:pos="12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501"/>
        <w:spacing w:after="0" w:line="266" w:lineRule="auto"/>
        <w:tabs>
          <w:tab w:leader="none" w:pos="126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501"/>
        <w:spacing w:after="0" w:line="282" w:lineRule="auto"/>
        <w:tabs>
          <w:tab w:leader="none" w:pos="124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501"/>
        <w:spacing w:after="0" w:line="282" w:lineRule="auto"/>
        <w:tabs>
          <w:tab w:leader="none" w:pos="12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2016</w:t>
      </w:r>
    </w:p>
    <w:p>
      <w:pPr>
        <w:spacing w:after="0" w:line="23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18"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501"/>
        <w:spacing w:after="0" w:line="266" w:lineRule="auto"/>
        <w:tabs>
          <w:tab w:leader="none" w:pos="125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501"/>
        <w:spacing w:after="0" w:line="266" w:lineRule="auto"/>
        <w:tabs>
          <w:tab w:leader="none" w:pos="126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501"/>
        <w:spacing w:after="0" w:line="282" w:lineRule="auto"/>
        <w:tabs>
          <w:tab w:leader="none" w:pos="125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501"/>
        <w:spacing w:after="0" w:line="266" w:lineRule="auto"/>
        <w:tabs>
          <w:tab w:leader="none" w:pos="126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501"/>
        <w:spacing w:after="0" w:line="282" w:lineRule="auto"/>
        <w:tabs>
          <w:tab w:leader="none" w:pos="124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501"/>
        <w:spacing w:after="0" w:line="282" w:lineRule="auto"/>
        <w:tabs>
          <w:tab w:leader="none" w:pos="125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2016</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117" w:right="2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2016,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2016</w:t>
      </w:r>
    </w:p>
    <w:p>
      <w:pPr>
        <w:spacing w:after="0" w:line="2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2016,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2016</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lvl w:ilvl="1">
      <w:lvlJc w:val="left"/>
      <w:lvlText w:val="•"/>
      <w:numFmt w:val="bullet"/>
      <w:start w:val="1"/>
    </w:lvl>
  </w:abstractNum>
  <w:abstractNum w:abstractNumId="3">
    <w:nsid w:val="A0382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8F2B1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1)"/>
      <w:numFmt w:val="lowerLetter"/>
      <w:start w:val="1"/>
    </w:lvl>
  </w:abstractNum>
  <w:abstractNum w:abstractNumId="25">
    <w:nsid w:val="3222E7CD"/>
    <w:multiLevelType w:val="hybridMultilevel"/>
    <w:lvl w:ilvl="0">
      <w:lvlJc w:val="left"/>
      <w:lvlText w:val="(%1)"/>
      <w:numFmt w:val="lowerLetter"/>
      <w:start w:val="1"/>
    </w:lvl>
  </w:abstractNum>
  <w:abstractNum w:abstractNumId="26">
    <w:nsid w:val="74DE0EE3"/>
    <w:multiLevelType w:val="hybridMultilevel"/>
    <w:lvl w:ilvl="0">
      <w:lvlJc w:val="left"/>
      <w:lvlText w:val="(%1)"/>
      <w:numFmt w:val="decimal"/>
      <w:start w:val="1"/>
    </w:lvl>
  </w:abstractNum>
  <w:abstractNum w:abstractNumId="27">
    <w:nsid w:val="68EBC550"/>
    <w:multiLevelType w:val="hybridMultilevel"/>
    <w:lvl w:ilvl="0">
      <w:lvlJc w:val="left"/>
      <w:lvlText w:val="(%1)"/>
      <w:numFmt w:val="decimal"/>
      <w:start w:val="2"/>
    </w:lvl>
  </w:abstractNum>
  <w:abstractNum w:abstractNumId="28">
    <w:nsid w:val="2DF6D648"/>
    <w:multiLevelType w:val="hybridMultilevel"/>
    <w:lvl w:ilvl="0">
      <w:lvlJc w:val="left"/>
      <w:lvlText w:val="(%1)"/>
      <w:numFmt w:val="decimal"/>
      <w:start w:val="3"/>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1)"/>
      <w:numFmt w:val="lowerRoman"/>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1)"/>
      <w:numFmt w:val="lowerRoman"/>
      <w:start w:val="3"/>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1)"/>
      <w:numFmt w:val="lowerRoman"/>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1)"/>
      <w:numFmt w:val="lowerRoman"/>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1)"/>
      <w:numFmt w:val="lowerRoman"/>
      <w:start w:val="5"/>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1)"/>
      <w:numFmt w:val="upperLetter"/>
      <w:start w:val="2"/>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1)"/>
      <w:numFmt w:val="lowerRoman"/>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lowerRoman"/>
      <w:start w:val="2"/>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1"/>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1)"/>
      <w:numFmt w:val="lowerRoman"/>
      <w:start w:val="2"/>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1)"/>
      <w:numFmt w:val="lowerRoman"/>
      <w:start w:val="1"/>
    </w:lvl>
  </w:abstractNum>
  <w:abstractNum w:abstractNumId="101">
    <w:nsid w:val="17A1B582"/>
    <w:multiLevelType w:val="hybridMultilevel"/>
    <w:lvl w:ilvl="0">
      <w:lvlJc w:val="left"/>
      <w:lvlText w:val="(%1)"/>
      <w:numFmt w:val="lowerRoman"/>
      <w:start w:val="3"/>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
      <w:numFmt w:val="bullet"/>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1)"/>
      <w:numFmt w:val="lowerRoman"/>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1)"/>
      <w:numFmt w:val="lowerLetter"/>
      <w:start w:val="2"/>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1)"/>
      <w:numFmt w:val="lowerRoman"/>
      <w:start w:val="3"/>
    </w:lvl>
  </w:abstractNum>
  <w:abstractNum w:abstractNumId="136">
    <w:nsid w:val="61E74EA3"/>
    <w:multiLevelType w:val="hybridMultilevel"/>
    <w:lvl w:ilvl="0">
      <w:lvlJc w:val="left"/>
      <w:lvlText w:val="."/>
      <w:numFmt w:val="bullet"/>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
      <w:numFmt w:val="bullet"/>
      <w:start w:val="1"/>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1)"/>
      <w:numFmt w:val="lowerRoman"/>
      <w:start w:val="10"/>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1"/>
      <w:numFmt w:val="bullet"/>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1."/>
      <w:numFmt w:val="decimal"/>
      <w:start w:val="1"/>
    </w:lvl>
    <w:lvl w:ilvl="1">
      <w:lvlJc w:val="left"/>
      <w:lvlText w:val="(%2)"/>
      <w:numFmt w:val="lowerLetter"/>
      <w:start w:val="1"/>
    </w:lvl>
  </w:abstractNum>
  <w:abstractNum w:abstractNumId="151">
    <w:nsid w:val="6FDE8AF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2019-12-29T08:09:04Z</dcterms:created>
  <dcterms:modified xsi:type="dcterms:W3CDTF">2019-12-29T08:09:04Z</dcterms:modified>
</cp:coreProperties>
</file>