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79"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820" w:type="dxa"/>
            <w:vAlign w:val="bottom"/>
          </w:tcPr>
          <w:p>
            <w:pPr>
              <w:spacing w:after="0"/>
              <w:rPr>
                <w:sz w:val="23"/>
                <w:szCs w:val="23"/>
                <w:color w:val="auto"/>
              </w:rPr>
            </w:pPr>
          </w:p>
        </w:tc>
      </w:tr>
      <w:tr>
        <w:trPr>
          <w:trHeight w:val="426"/>
        </w:trPr>
        <w:tc>
          <w:tcPr>
            <w:tcW w:w="156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Delaware</w:t>
            </w:r>
          </w:p>
        </w:tc>
        <w:tc>
          <w:tcPr>
            <w:tcW w:w="598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46-0408024</w:t>
            </w:r>
          </w:p>
        </w:tc>
      </w:tr>
      <w:tr>
        <w:trPr>
          <w:trHeight w:val="174"/>
        </w:trPr>
        <w:tc>
          <w:tcPr>
            <w:tcW w:w="156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(State of incorporation)</w:t>
            </w:r>
          </w:p>
        </w:tc>
        <w:tc>
          <w:tcPr>
            <w:tcW w:w="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201 S. Lake Avenue, Suite 703</w:t>
            </w:r>
          </w:p>
        </w:tc>
      </w:tr>
      <w:tr>
        <w:trPr>
          <w:trHeight w:val="216"/>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Pasadena, California 91101</w:t>
            </w:r>
          </w:p>
        </w:tc>
      </w:tr>
      <w:tr>
        <w:trPr>
          <w:trHeight w:val="218"/>
        </w:trPr>
        <w:tc>
          <w:tcPr>
            <w:tcW w:w="1560" w:type="dxa"/>
            <w:vAlign w:val="bottom"/>
          </w:tcPr>
          <w:p>
            <w:pPr>
              <w:spacing w:after="0"/>
              <w:rPr>
                <w:sz w:val="18"/>
                <w:szCs w:val="18"/>
                <w:color w:val="auto"/>
              </w:rPr>
            </w:pPr>
          </w:p>
        </w:tc>
        <w:tc>
          <w:tcPr>
            <w:tcW w:w="316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(626) 304-3400</w:t>
            </w:r>
          </w:p>
        </w:tc>
        <w:tc>
          <w:tcPr>
            <w:tcW w:w="2820" w:type="dxa"/>
            <w:vAlign w:val="bottom"/>
          </w:tcPr>
          <w:p>
            <w:pPr>
              <w:spacing w:after="0"/>
              <w:rPr>
                <w:sz w:val="18"/>
                <w:szCs w:val="18"/>
                <w:color w:val="auto"/>
              </w:rPr>
            </w:pPr>
          </w:p>
        </w:tc>
      </w:t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52"/>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Exchange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84"/>
              </w:rPr>
              <w:t>Title of each class</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4"/>
          </w:tcPr>
          <w:p>
            <w:pPr>
              <w:jc w:val="center"/>
              <w:ind w:right="85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520" w:type="dxa"/>
            <w:vAlign w:val="bottom"/>
          </w:tcPr>
          <w:p>
            <w:pPr>
              <w:jc w:val="center"/>
              <w:ind w:left="1116"/>
              <w:spacing w:after="0"/>
              <w:rPr>
                <w:sz w:val="20"/>
                <w:szCs w:val="20"/>
                <w:color w:val="auto"/>
              </w:rPr>
            </w:pPr>
            <w:r>
              <w:rPr>
                <w:rFonts w:ascii="Arial" w:cs="Arial" w:eastAsia="Arial" w:hAnsi="Arial"/>
                <w:sz w:val="18"/>
                <w:szCs w:val="18"/>
                <w:b w:val="1"/>
                <w:bCs w:val="1"/>
                <w:color w:val="auto"/>
                <w:w w:val="88"/>
              </w:rPr>
              <w:t>Common Stock, $0.001 par value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93"/>
              </w:rPr>
              <w:t>The NASDAQ Capital Market</w:t>
            </w:r>
          </w:p>
        </w:tc>
        <w:tc>
          <w:tcPr>
            <w:tcW w:w="0" w:type="dxa"/>
            <w:vAlign w:val="bottom"/>
          </w:tcPr>
          <w:p>
            <w:pPr>
              <w:spacing w:after="0"/>
              <w:rPr>
                <w:sz w:val="1"/>
                <w:szCs w:val="1"/>
                <w:color w:val="auto"/>
              </w:rPr>
            </w:pPr>
          </w:p>
        </w:tc>
      </w:tr>
      <w:tr>
        <w:trPr>
          <w:trHeight w:val="364"/>
        </w:trPr>
        <w:tc>
          <w:tcPr>
            <w:tcW w:w="8880" w:type="dxa"/>
            <w:vAlign w:val="bottom"/>
            <w:gridSpan w:val="5"/>
          </w:tcPr>
          <w:p>
            <w:pPr>
              <w:jc w:val="center"/>
              <w:ind w:left="2456"/>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4360" w:type="dxa"/>
            <w:vAlign w:val="bottom"/>
            <w:gridSpan w:val="4"/>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188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18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60"/>
          </w:cols>
          <w:pgMar w:left="240" w:top="131"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0"/>
          <w:szCs w:val="20"/>
          <w:color w:val="auto"/>
        </w:rPr>
      </w:pPr>
    </w:p>
    <w:p>
      <w:pPr>
        <w:sectPr>
          <w:pgSz w:w="11900" w:h="16838" w:orient="portrait"/>
          <w:cols w:equalWidth="0" w:num="8">
            <w:col w:w="1580" w:space="180"/>
            <w:col w:w="460" w:space="720"/>
            <w:col w:w="1180" w:space="160"/>
            <w:col w:w="280" w:space="720"/>
            <w:col w:w="1480" w:space="180"/>
            <w:col w:w="320" w:space="720"/>
            <w:col w:w="2020" w:space="180"/>
            <w:col w:w="1180"/>
          </w:cols>
          <w:pgMar w:left="240" w:top="131" w:right="299" w:bottom="1440" w:gutter="0" w:footer="0" w:header="0"/>
          <w:type w:val="continuous"/>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5">
            <w:col w:w="7700" w:space="160"/>
            <w:col w:w="260" w:space="80"/>
            <w:col w:w="160" w:space="180"/>
            <w:col w:w="220" w:space="80"/>
            <w:col w:w="2520"/>
          </w:cols>
          <w:pgMar w:left="240" w:top="131" w:right="299" w:bottom="1440" w:gutter="0" w:footer="0" w:header="0"/>
          <w:type w:val="continuous"/>
        </w:sectPr>
      </w:pPr>
    </w:p>
    <w:p>
      <w:pPr>
        <w:ind w:right="44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$72 million based upon the bid price of issuer’s Common Stock on March 31,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22, 2010, 71,806,694 shares of the issuer’s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60" w:type="dxa"/>
            <w:vAlign w:val="bottom"/>
            <w:gridSpan w:val="9"/>
          </w:tcPr>
          <w:p>
            <w:pPr>
              <w:jc w:val="center"/>
              <w:ind w:right="3820"/>
              <w:spacing w:after="0"/>
              <w:rPr>
                <w:sz w:val="20"/>
                <w:szCs w:val="20"/>
                <w:color w:val="auto"/>
              </w:rPr>
            </w:pPr>
            <w:r>
              <w:rPr>
                <w:rFonts w:ascii="Arial" w:cs="Arial" w:eastAsia="Arial" w:hAnsi="Arial"/>
                <w:sz w:val="18"/>
                <w:szCs w:val="18"/>
                <w:b w:val="1"/>
                <w:bCs w:val="1"/>
                <w:color w:val="auto"/>
                <w:w w:val="96"/>
              </w:rPr>
              <w:t>TABLE OF CONTENTS</w:t>
            </w:r>
          </w:p>
        </w:tc>
        <w:tc>
          <w:tcPr>
            <w:tcW w:w="76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4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7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B</w:t>
              </w:r>
              <w:r>
                <w:rPr>
                  <w:rFonts w:ascii="Arial" w:cs="Arial" w:eastAsia="Arial" w:hAnsi="Arial"/>
                  <w:sz w:val="14"/>
                  <w:szCs w:val="14"/>
                  <w:color w:val="0000EE"/>
                  <w:w w:val="95"/>
                </w:rPr>
                <w:t>USINESS</w:t>
              </w:r>
            </w:hyperlink>
          </w:p>
        </w:tc>
        <w:tc>
          <w:tcPr>
            <w:tcW w:w="8840" w:type="dxa"/>
            <w:vAlign w:val="bottom"/>
            <w:gridSpan w:val="2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R</w:t>
              </w:r>
              <w:r>
                <w:rPr>
                  <w:rFonts w:ascii="Arial" w:cs="Arial" w:eastAsia="Arial" w:hAnsi="Arial"/>
                  <w:sz w:val="14"/>
                  <w:szCs w:val="14"/>
                  <w:color w:val="0000EE"/>
                  <w:w w:val="96"/>
                </w:rPr>
                <w:t>ISK</w:t>
              </w:r>
              <w:r>
                <w:rPr>
                  <w:rFonts w:ascii="Arial" w:cs="Arial" w:eastAsia="Arial" w:hAnsi="Arial"/>
                  <w:sz w:val="18"/>
                  <w:szCs w:val="18"/>
                  <w:color w:val="0000EE"/>
                  <w:w w:val="96"/>
                </w:rPr>
                <w:t xml:space="preserve"> F</w:t>
              </w:r>
              <w:r>
                <w:rPr>
                  <w:rFonts w:ascii="Arial" w:cs="Arial" w:eastAsia="Arial" w:hAnsi="Arial"/>
                  <w:sz w:val="14"/>
                  <w:szCs w:val="14"/>
                  <w:color w:val="0000EE"/>
                  <w:w w:val="96"/>
                </w:rPr>
                <w:t>ACTORS</w:t>
              </w:r>
            </w:hyperlink>
          </w:p>
        </w:tc>
        <w:tc>
          <w:tcPr>
            <w:tcW w:w="8480" w:type="dxa"/>
            <w:vAlign w:val="bottom"/>
            <w:gridSpan w:val="1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95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P</w:t>
              </w:r>
              <w:r>
                <w:rPr>
                  <w:rFonts w:ascii="Arial" w:cs="Arial" w:eastAsia="Arial" w:hAnsi="Arial"/>
                  <w:sz w:val="14"/>
                  <w:szCs w:val="14"/>
                  <w:color w:val="0000EE"/>
                  <w:w w:val="92"/>
                </w:rPr>
                <w:t>ROPERTIES</w:t>
              </w:r>
            </w:hyperlink>
          </w:p>
        </w:tc>
        <w:tc>
          <w:tcPr>
            <w:tcW w:w="1480" w:type="dxa"/>
            <w:vAlign w:val="bottom"/>
            <w:tcBorders>
              <w:top w:val="single" w:sz="8" w:color="0000EE"/>
            </w:tcBorders>
            <w:gridSpan w:val="7"/>
          </w:tcPr>
          <w:p>
            <w:pPr>
              <w:spacing w:after="0"/>
              <w:rPr>
                <w:sz w:val="17"/>
                <w:szCs w:val="17"/>
                <w:color w:val="auto"/>
              </w:rPr>
            </w:pPr>
          </w:p>
        </w:tc>
        <w:tc>
          <w:tcPr>
            <w:tcW w:w="720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L</w:t>
              </w:r>
              <w:r>
                <w:rPr>
                  <w:rFonts w:ascii="Arial" w:cs="Arial" w:eastAsia="Arial" w:hAnsi="Arial"/>
                  <w:sz w:val="14"/>
                  <w:szCs w:val="14"/>
                  <w:color w:val="0000EE"/>
                  <w:w w:val="98"/>
                </w:rPr>
                <w:t>EGAL</w:t>
              </w:r>
              <w:r>
                <w:rPr>
                  <w:rFonts w:ascii="Arial" w:cs="Arial" w:eastAsia="Arial" w:hAnsi="Arial"/>
                  <w:sz w:val="18"/>
                  <w:szCs w:val="18"/>
                  <w:color w:val="0000EE"/>
                  <w:w w:val="98"/>
                </w:rPr>
                <w:t xml:space="preserve"> P</w:t>
              </w:r>
              <w:r>
                <w:rPr>
                  <w:rFonts w:ascii="Arial" w:cs="Arial" w:eastAsia="Arial" w:hAnsi="Arial"/>
                  <w:sz w:val="14"/>
                  <w:szCs w:val="14"/>
                  <w:color w:val="0000EE"/>
                  <w:w w:val="98"/>
                </w:rPr>
                <w:t>ROCEEDINGS</w:t>
              </w:r>
            </w:hyperlink>
          </w:p>
        </w:tc>
        <w:tc>
          <w:tcPr>
            <w:tcW w:w="798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95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w:t>
              </w:r>
              <w:r>
                <w:rPr>
                  <w:rFonts w:ascii="Arial" w:cs="Arial" w:eastAsia="Arial" w:hAnsi="Arial"/>
                  <w:sz w:val="14"/>
                  <w:szCs w:val="14"/>
                  <w:color w:val="0000EE"/>
                </w:rPr>
                <w:t>EMOVED AND</w:t>
              </w:r>
              <w:r>
                <w:rPr>
                  <w:rFonts w:ascii="Arial" w:cs="Arial" w:eastAsia="Arial" w:hAnsi="Arial"/>
                  <w:sz w:val="18"/>
                  <w:szCs w:val="18"/>
                  <w:color w:val="0000EE"/>
                </w:rPr>
                <w:t xml:space="preserve"> R</w:t>
              </w:r>
              <w:r>
                <w:rPr>
                  <w:rFonts w:ascii="Arial" w:cs="Arial" w:eastAsia="Arial" w:hAnsi="Arial"/>
                  <w:sz w:val="14"/>
                  <w:szCs w:val="14"/>
                  <w:color w:val="0000EE"/>
                </w:rPr>
                <w:t>ESERVED</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04"/>
        </w:trPr>
        <w:tc>
          <w:tcPr>
            <w:tcW w:w="1000" w:type="dxa"/>
            <w:vAlign w:val="bottom"/>
            <w:gridSpan w:val="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360" w:type="dxa"/>
            <w:vAlign w:val="bottom"/>
            <w:gridSpan w:val="3"/>
          </w:tcPr>
          <w:p>
            <w:pPr>
              <w:spacing w:after="0"/>
              <w:rPr>
                <w:sz w:val="24"/>
                <w:szCs w:val="24"/>
                <w:color w:val="auto"/>
              </w:rPr>
            </w:pPr>
          </w:p>
        </w:tc>
        <w:tc>
          <w:tcPr>
            <w:tcW w:w="90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w:t>
              </w:r>
              <w:r>
                <w:rPr>
                  <w:rFonts w:ascii="Arial" w:cs="Arial" w:eastAsia="Arial" w:hAnsi="Arial"/>
                  <w:sz w:val="14"/>
                  <w:szCs w:val="14"/>
                  <w:color w:val="0000EE"/>
                  <w:w w:val="99"/>
                </w:rPr>
                <w:t>ARKET FOR THE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EGISTRANT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C</w:t>
              </w:r>
              <w:r>
                <w:rPr>
                  <w:rFonts w:ascii="Arial" w:cs="Arial" w:eastAsia="Arial" w:hAnsi="Arial"/>
                  <w:sz w:val="14"/>
                  <w:szCs w:val="14"/>
                  <w:color w:val="0000EE"/>
                  <w:w w:val="99"/>
                </w:rPr>
                <w:t>OMMON</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 AND</w:t>
              </w:r>
              <w:r>
                <w:rPr>
                  <w:rFonts w:ascii="Arial" w:cs="Arial" w:eastAsia="Arial" w:hAnsi="Arial"/>
                  <w:sz w:val="18"/>
                  <w:szCs w:val="18"/>
                  <w:color w:val="0000EE"/>
                  <w:w w:val="99"/>
                </w:rPr>
                <w:t xml:space="preserve"> I</w:t>
              </w:r>
              <w:r>
                <w:rPr>
                  <w:rFonts w:ascii="Arial" w:cs="Arial" w:eastAsia="Arial" w:hAnsi="Arial"/>
                  <w:sz w:val="14"/>
                  <w:szCs w:val="14"/>
                  <w:color w:val="0000EE"/>
                  <w:w w:val="99"/>
                </w:rPr>
                <w:t>SSUER</w:t>
              </w:r>
              <w:r>
                <w:rPr>
                  <w:rFonts w:ascii="Arial" w:cs="Arial" w:eastAsia="Arial" w:hAnsi="Arial"/>
                  <w:sz w:val="18"/>
                  <w:szCs w:val="18"/>
                  <w:color w:val="0000EE"/>
                  <w:w w:val="99"/>
                </w:rPr>
                <w:t xml:space="preserve"> P</w:t>
              </w:r>
              <w:r>
                <w:rPr>
                  <w:rFonts w:ascii="Arial" w:cs="Arial" w:eastAsia="Arial" w:hAnsi="Arial"/>
                  <w:sz w:val="14"/>
                  <w:szCs w:val="14"/>
                  <w:color w:val="0000EE"/>
                  <w:w w:val="99"/>
                </w:rPr>
                <w:t>URCHASES OF</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hyperlink>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S</w:t>
              </w:r>
              <w:r>
                <w:rPr>
                  <w:rFonts w:ascii="Arial" w:cs="Arial" w:eastAsia="Arial" w:hAnsi="Arial"/>
                  <w:sz w:val="14"/>
                  <w:szCs w:val="14"/>
                  <w:color w:val="0000EE"/>
                  <w:w w:val="96"/>
                </w:rPr>
                <w:t>ECURITIES</w:t>
              </w:r>
            </w:hyperlink>
          </w:p>
        </w:tc>
        <w:tc>
          <w:tcPr>
            <w:tcW w:w="870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7500" w:type="dxa"/>
            <w:vAlign w:val="bottom"/>
            <w:gridSpan w:val="1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95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10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5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440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956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75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19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40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III</w:t>
              </w:r>
            </w:hyperlink>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956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w:t>
              </w:r>
              <w:r>
                <w:rPr>
                  <w:rFonts w:ascii="Arial" w:cs="Arial" w:eastAsia="Arial" w:hAnsi="Arial"/>
                  <w:sz w:val="14"/>
                  <w:szCs w:val="14"/>
                  <w:color w:val="0000EE"/>
                </w:rPr>
                <w:t>IRECTORS</w:t>
              </w:r>
              <w:r>
                <w:rPr>
                  <w:rFonts w:ascii="Arial" w:cs="Arial" w:eastAsia="Arial" w:hAnsi="Arial"/>
                  <w:sz w:val="18"/>
                  <w:szCs w:val="18"/>
                  <w:color w:val="0000EE"/>
                </w:rPr>
                <w:t>, E</w:t>
              </w:r>
              <w:r>
                <w:rPr>
                  <w:rFonts w:ascii="Arial" w:cs="Arial" w:eastAsia="Arial" w:hAnsi="Arial"/>
                  <w:sz w:val="14"/>
                  <w:szCs w:val="14"/>
                  <w:color w:val="0000EE"/>
                </w:rPr>
                <w:t>XECUTIVE</w:t>
              </w:r>
              <w:r>
                <w:rPr>
                  <w:rFonts w:ascii="Arial" w:cs="Arial" w:eastAsia="Arial" w:hAnsi="Arial"/>
                  <w:sz w:val="18"/>
                  <w:szCs w:val="18"/>
                  <w:color w:val="0000EE"/>
                </w:rPr>
                <w:t xml:space="preserve"> O</w:t>
              </w:r>
              <w:r>
                <w:rPr>
                  <w:rFonts w:ascii="Arial" w:cs="Arial" w:eastAsia="Arial" w:hAnsi="Arial"/>
                  <w:sz w:val="14"/>
                  <w:szCs w:val="14"/>
                  <w:color w:val="0000EE"/>
                </w:rPr>
                <w:t>FFICERS</w:t>
              </w:r>
              <w:r>
                <w:rPr>
                  <w:rFonts w:ascii="Arial" w:cs="Arial" w:eastAsia="Arial" w:hAnsi="Arial"/>
                  <w:sz w:val="18"/>
                  <w:szCs w:val="18"/>
                  <w:color w:val="0000EE"/>
                </w:rPr>
                <w:t xml:space="preserve">, </w:t>
              </w:r>
              <w:r>
                <w:rPr>
                  <w:rFonts w:ascii="Arial" w:cs="Arial" w:eastAsia="Arial" w:hAnsi="Arial"/>
                  <w:sz w:val="14"/>
                  <w:szCs w:val="14"/>
                  <w:color w:val="0000EE"/>
                </w:rPr>
                <w:t>AND</w:t>
              </w:r>
              <w:r>
                <w:rPr>
                  <w:rFonts w:ascii="Arial" w:cs="Arial" w:eastAsia="Arial" w:hAnsi="Arial"/>
                  <w:sz w:val="18"/>
                  <w:szCs w:val="18"/>
                  <w:color w:val="0000EE"/>
                </w:rPr>
                <w:t xml:space="preserve"> C</w:t>
              </w:r>
              <w:r>
                <w:rPr>
                  <w:rFonts w:ascii="Arial" w:cs="Arial" w:eastAsia="Arial" w:hAnsi="Arial"/>
                  <w:sz w:val="14"/>
                  <w:szCs w:val="14"/>
                  <w:color w:val="0000EE"/>
                </w:rPr>
                <w:t>ORPORATE</w:t>
              </w:r>
              <w:r>
                <w:rPr>
                  <w:rFonts w:ascii="Arial" w:cs="Arial" w:eastAsia="Arial" w:hAnsi="Arial"/>
                  <w:sz w:val="18"/>
                  <w:szCs w:val="18"/>
                  <w:color w:val="0000EE"/>
                </w:rPr>
                <w:t xml:space="preserve"> G</w:t>
              </w:r>
              <w:r>
                <w:rPr>
                  <w:rFonts w:ascii="Arial" w:cs="Arial" w:eastAsia="Arial" w:hAnsi="Arial"/>
                  <w:sz w:val="14"/>
                  <w:szCs w:val="14"/>
                  <w:color w:val="0000EE"/>
                </w:rPr>
                <w:t>OVERNANCE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2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E</w:t>
              </w:r>
              <w:r>
                <w:rPr>
                  <w:rFonts w:ascii="Arial" w:cs="Arial" w:eastAsia="Arial" w:hAnsi="Arial"/>
                  <w:sz w:val="14"/>
                  <w:szCs w:val="14"/>
                  <w:color w:val="0000EE"/>
                  <w:w w:val="99"/>
                </w:rPr>
                <w:t>XECUTIVE</w:t>
              </w:r>
              <w:r>
                <w:rPr>
                  <w:rFonts w:ascii="Arial" w:cs="Arial" w:eastAsia="Arial" w:hAnsi="Arial"/>
                  <w:sz w:val="18"/>
                  <w:szCs w:val="18"/>
                  <w:color w:val="0000EE"/>
                  <w:w w:val="99"/>
                </w:rPr>
                <w:t xml:space="preserve"> C</w:t>
              </w:r>
              <w:r>
                <w:rPr>
                  <w:rFonts w:ascii="Arial" w:cs="Arial" w:eastAsia="Arial" w:hAnsi="Arial"/>
                  <w:sz w:val="14"/>
                  <w:szCs w:val="14"/>
                  <w:color w:val="0000EE"/>
                  <w:w w:val="99"/>
                </w:rPr>
                <w:t>OMPENSATION</w:t>
              </w:r>
            </w:hyperlink>
          </w:p>
        </w:tc>
        <w:tc>
          <w:tcPr>
            <w:tcW w:w="2860" w:type="dxa"/>
            <w:vAlign w:val="bottom"/>
            <w:tcBorders>
              <w:top w:val="single" w:sz="8" w:color="0000EE"/>
            </w:tcBorders>
            <w:gridSpan w:val="8"/>
          </w:tcPr>
          <w:p>
            <w:pPr>
              <w:spacing w:after="0"/>
              <w:rPr>
                <w:sz w:val="17"/>
                <w:szCs w:val="17"/>
                <w:color w:val="auto"/>
              </w:rPr>
            </w:pPr>
          </w:p>
        </w:tc>
        <w:tc>
          <w:tcPr>
            <w:tcW w:w="466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956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w:t>
              </w:r>
              <w:r>
                <w:rPr>
                  <w:rFonts w:ascii="Arial" w:cs="Arial" w:eastAsia="Arial" w:hAnsi="Arial"/>
                  <w:sz w:val="14"/>
                  <w:szCs w:val="14"/>
                  <w:color w:val="0000EE"/>
                </w:rPr>
                <w:t>ECURITY</w:t>
              </w:r>
              <w:r>
                <w:rPr>
                  <w:rFonts w:ascii="Arial" w:cs="Arial" w:eastAsia="Arial" w:hAnsi="Arial"/>
                  <w:sz w:val="18"/>
                  <w:szCs w:val="18"/>
                  <w:color w:val="0000EE"/>
                </w:rPr>
                <w:t xml:space="preserve"> O</w:t>
              </w:r>
              <w:r>
                <w:rPr>
                  <w:rFonts w:ascii="Arial" w:cs="Arial" w:eastAsia="Arial" w:hAnsi="Arial"/>
                  <w:sz w:val="14"/>
                  <w:szCs w:val="14"/>
                  <w:color w:val="0000EE"/>
                </w:rPr>
                <w:t>WNERSHIP OF</w:t>
              </w:r>
              <w:r>
                <w:rPr>
                  <w:rFonts w:ascii="Arial" w:cs="Arial" w:eastAsia="Arial" w:hAnsi="Arial"/>
                  <w:sz w:val="18"/>
                  <w:szCs w:val="18"/>
                  <w:color w:val="0000EE"/>
                </w:rPr>
                <w:t xml:space="preserve"> C</w:t>
              </w:r>
              <w:r>
                <w:rPr>
                  <w:rFonts w:ascii="Arial" w:cs="Arial" w:eastAsia="Arial" w:hAnsi="Arial"/>
                  <w:sz w:val="14"/>
                  <w:szCs w:val="14"/>
                  <w:color w:val="0000EE"/>
                </w:rPr>
                <w:t>ERTAIN</w:t>
              </w:r>
              <w:r>
                <w:rPr>
                  <w:rFonts w:ascii="Arial" w:cs="Arial" w:eastAsia="Arial" w:hAnsi="Arial"/>
                  <w:sz w:val="18"/>
                  <w:szCs w:val="18"/>
                  <w:color w:val="0000EE"/>
                </w:rPr>
                <w:t xml:space="preserve"> B</w:t>
              </w:r>
              <w:r>
                <w:rPr>
                  <w:rFonts w:ascii="Arial" w:cs="Arial" w:eastAsia="Arial" w:hAnsi="Arial"/>
                  <w:sz w:val="14"/>
                  <w:szCs w:val="14"/>
                  <w:color w:val="0000EE"/>
                </w:rPr>
                <w:t>ENEFICIAL</w:t>
              </w:r>
              <w:r>
                <w:rPr>
                  <w:rFonts w:ascii="Arial" w:cs="Arial" w:eastAsia="Arial" w:hAnsi="Arial"/>
                  <w:sz w:val="18"/>
                  <w:szCs w:val="18"/>
                  <w:color w:val="0000EE"/>
                </w:rPr>
                <w:t xml:space="preserve"> O</w:t>
              </w:r>
              <w:r>
                <w:rPr>
                  <w:rFonts w:ascii="Arial" w:cs="Arial" w:eastAsia="Arial" w:hAnsi="Arial"/>
                  <w:sz w:val="14"/>
                  <w:szCs w:val="14"/>
                  <w:color w:val="0000EE"/>
                </w:rPr>
                <w:t>WNERS AND</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S</w:t>
              </w:r>
              <w:r>
                <w:rPr>
                  <w:rFonts w:ascii="Arial" w:cs="Arial" w:eastAsia="Arial" w:hAnsi="Arial"/>
                  <w:sz w:val="14"/>
                  <w:szCs w:val="14"/>
                  <w:color w:val="0000EE"/>
                </w:rPr>
                <w:t>TOCKHOLDER</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8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w:t>
              </w:r>
              <w:r>
                <w:rPr>
                  <w:rFonts w:ascii="Arial" w:cs="Arial" w:eastAsia="Arial" w:hAnsi="Arial"/>
                  <w:sz w:val="14"/>
                  <w:szCs w:val="14"/>
                  <w:color w:val="0000EE"/>
                </w:rPr>
                <w:t>ERTAIN</w:t>
              </w:r>
              <w:r>
                <w:rPr>
                  <w:rFonts w:ascii="Arial" w:cs="Arial" w:eastAsia="Arial" w:hAnsi="Arial"/>
                  <w:sz w:val="18"/>
                  <w:szCs w:val="18"/>
                  <w:color w:val="0000EE"/>
                </w:rPr>
                <w:t xml:space="preserve"> R</w:t>
              </w:r>
              <w:r>
                <w:rPr>
                  <w:rFonts w:ascii="Arial" w:cs="Arial" w:eastAsia="Arial" w:hAnsi="Arial"/>
                  <w:sz w:val="14"/>
                  <w:szCs w:val="14"/>
                  <w:color w:val="0000EE"/>
                </w:rPr>
                <w:t>ELATIONSHIPS</w:t>
              </w:r>
              <w:r>
                <w:rPr>
                  <w:rFonts w:ascii="Arial" w:cs="Arial" w:eastAsia="Arial" w:hAnsi="Arial"/>
                  <w:sz w:val="18"/>
                  <w:szCs w:val="18"/>
                  <w:color w:val="0000EE"/>
                </w:rPr>
                <w:t>, R</w:t>
              </w:r>
              <w:r>
                <w:rPr>
                  <w:rFonts w:ascii="Arial" w:cs="Arial" w:eastAsia="Arial" w:hAnsi="Arial"/>
                  <w:sz w:val="14"/>
                  <w:szCs w:val="14"/>
                  <w:color w:val="0000EE"/>
                </w:rPr>
                <w:t>ELATED</w:t>
              </w:r>
              <w:r>
                <w:rPr>
                  <w:rFonts w:ascii="Arial" w:cs="Arial" w:eastAsia="Arial" w:hAnsi="Arial"/>
                  <w:sz w:val="18"/>
                  <w:szCs w:val="18"/>
                  <w:color w:val="0000EE"/>
                </w:rPr>
                <w:t xml:space="preserve"> T</w:t>
              </w:r>
              <w:r>
                <w:rPr>
                  <w:rFonts w:ascii="Arial" w:cs="Arial" w:eastAsia="Arial" w:hAnsi="Arial"/>
                  <w:sz w:val="14"/>
                  <w:szCs w:val="14"/>
                  <w:color w:val="0000EE"/>
                </w:rPr>
                <w:t>RANSACTIONS AND</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xml:space="preserve"> I</w:t>
              </w:r>
              <w:r>
                <w:rPr>
                  <w:rFonts w:ascii="Arial" w:cs="Arial" w:eastAsia="Arial" w:hAnsi="Arial"/>
                  <w:sz w:val="14"/>
                  <w:szCs w:val="14"/>
                  <w:color w:val="0000EE"/>
                </w:rPr>
                <w:t>NDEPENDENCE</w:t>
              </w:r>
            </w:hyperlink>
          </w:p>
        </w:tc>
        <w:tc>
          <w:tcPr>
            <w:tcW w:w="98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6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342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04"/>
        </w:trPr>
        <w:tc>
          <w:tcPr>
            <w:tcW w:w="1000" w:type="dxa"/>
            <w:vAlign w:val="bottom"/>
            <w:gridSpan w:val="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IV</w:t>
              </w:r>
            </w:hyperlink>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300" w:type="dxa"/>
            <w:vAlign w:val="bottom"/>
            <w:gridSpan w:val="2"/>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w:t>
              </w:r>
              <w:r>
                <w:rPr>
                  <w:rFonts w:ascii="Arial" w:cs="Arial" w:eastAsia="Arial" w:hAnsi="Arial"/>
                  <w:sz w:val="14"/>
                  <w:szCs w:val="14"/>
                  <w:color w:val="0000EE"/>
                </w:rPr>
                <w:t>XHIBITS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w:t>
              </w:r>
              <w:r>
                <w:rPr>
                  <w:rFonts w:ascii="Arial" w:cs="Arial" w:eastAsia="Arial" w:hAnsi="Arial"/>
                  <w:sz w:val="18"/>
                  <w:szCs w:val="18"/>
                  <w:color w:val="0000EE"/>
                </w:rPr>
                <w:t xml:space="preserve"> S</w:t>
              </w:r>
              <w:r>
                <w:rPr>
                  <w:rFonts w:ascii="Arial" w:cs="Arial" w:eastAsia="Arial" w:hAnsi="Arial"/>
                  <w:sz w:val="14"/>
                  <w:szCs w:val="14"/>
                  <w:color w:val="0000EE"/>
                </w:rPr>
                <w:t>CHEDULES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00" w:type="dxa"/>
            <w:vAlign w:val="bottom"/>
            <w:gridSpan w:val="5"/>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80" w:type="dxa"/>
            <w:vAlign w:val="bottom"/>
            <w:gridSpan w:val="1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60" w:type="dxa"/>
            <w:vAlign w:val="bottom"/>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80" w:type="dxa"/>
            <w:vAlign w:val="bottom"/>
            <w:gridSpan w:val="6"/>
            <w:shd w:val="clear" w:color="auto" w:fill="0000EE"/>
          </w:tcPr>
          <w:p>
            <w:pPr>
              <w:spacing w:after="0" w:line="20" w:lineRule="exact"/>
              <w:rPr>
                <w:sz w:val="1"/>
                <w:szCs w:val="1"/>
                <w:color w:val="auto"/>
              </w:rPr>
            </w:pPr>
          </w:p>
        </w:tc>
        <w:tc>
          <w:tcPr>
            <w:tcW w:w="3380" w:type="dxa"/>
            <w:vAlign w:val="bottom"/>
            <w:gridSpan w:val="12"/>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60" w:type="dxa"/>
            <w:vAlign w:val="bottom"/>
            <w:gridSpan w:val="2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INDEX TO FINANCIAL STATEMENTS AND SCHEDULES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80" w:type="dxa"/>
            <w:vAlign w:val="bottom"/>
            <w:gridSpan w:val="8"/>
          </w:tcPr>
          <w:p>
            <w:pPr>
              <w:jc w:val="center"/>
              <w:ind w:right="4020"/>
              <w:spacing w:after="0"/>
              <w:rPr>
                <w:sz w:val="20"/>
                <w:szCs w:val="20"/>
                <w:color w:val="auto"/>
              </w:rPr>
            </w:pPr>
            <w:r>
              <w:rPr>
                <w:rFonts w:ascii="Arial" w:cs="Arial" w:eastAsia="Arial" w:hAnsi="Arial"/>
                <w:sz w:val="18"/>
                <w:szCs w:val="18"/>
                <w:color w:val="auto"/>
              </w:rPr>
              <w:t>i</w:t>
            </w:r>
          </w:p>
        </w:tc>
        <w:tc>
          <w:tcPr>
            <w:tcW w:w="7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undertake no obligation to revise the forward-looking statements contained herein to reflect events or circumstances after the date hereof or to reflect the occurrence of unanticipated events.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“Subsidiaries” refers collectively to Calando Pharmaceuticals, Inc. (“Calando”), Unidym, Inc. (“Unidym”), Agonn Systems, Inc. (“Agonn”,) and Tego Biosciences Corporation (“Tego”),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Arrowhead Research Corporation is a development stage nanotechnology holding company that forms, acquires, and operates subsidiaries commercializing innovative nanotechnologies. By working closely with leading scientists and universities, Arrowhead identifies advances in nanotechnology and matches them with product development opportunities in high-growth markets. The Company is focusing on developing and advancing a portfolio of subsidiaries in the field of nanomedicine.</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Providing strategic management, financing, and operational services to its subsidiaries and minority investments, Arrowhead takes an active role in their development, keeping the business and development teams at the subsidiary companies focused on operations, technical development and near term revenue opportunities.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Arrowhead’s ultimate goal is to realize the value of its investments through:</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public offering of Subsidiary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sale of Subsidiary to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License of Subsidiary technology;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Generating positive cash flows through operations.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Arrowhead owns two majority-owned operating subsidiaries, Calando Pharmaceuticals and Unidym, Inc. and has minority investments in two early-stage nanotechnology companies, Nanotope, Inc. and Leonardo Biosystems, Inc. Arrowhead also owns two nonoperating subsidiaries, Agonn Systems, Inc. and Tego Biosciences Corporation. Arrowhead plans to add to this portfolio through selective acquisition and formation of new nanomedicine companies, as capital resources allow.</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Arrowhead was originally incorporated in South Dakota in 1989, and was reincorporated in Delaware in 2000. The Company’s principal executive offices are located at 201 South Lake Avenue, Suite 703, Pasadena, California 91101, and its telephone number is (626) 304-3400. As of September 30, 2010, Arrowhead had 11 full-time employees at the corporate office and seven full-time employees at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 and Minority Investments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two majority-owned Subsidiaries, and two minority investments are focused on developing, commercializing and licensing a variety of nanotechnology products and applications, including anti-cancer RNAi therapeutics, regenerative therapeutics, advanced drug delivery technology, and carbon nanotube (CNT)-based transparent conductive films (TCFs). Arrowhead anticipates expanding its portfolio through selective acquisition and the formation of new companies, as capital resources allow.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Arrowhead held a majority of the outstanding voting stock of the following two operating Subsidiaries.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49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Ownership*</w:t>
            </w:r>
          </w:p>
        </w:tc>
        <w:tc>
          <w:tcPr>
            <w:tcW w:w="4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Calando Pharmaceuticals, Inc.</w:t>
            </w:r>
          </w:p>
        </w:tc>
        <w:tc>
          <w:tcPr>
            <w:tcW w:w="12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70.0%</w:t>
            </w: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Clinical stage nano-engineered delivery of RNAi therapeutics for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treatment of cancer</w:t>
            </w:r>
          </w:p>
        </w:tc>
        <w:tc>
          <w:tcPr>
            <w:tcW w:w="0" w:type="dxa"/>
            <w:vAlign w:val="bottom"/>
          </w:tcPr>
          <w:p>
            <w:pPr>
              <w:spacing w:after="0"/>
              <w:rPr>
                <w:sz w:val="1"/>
                <w:szCs w:val="1"/>
                <w:color w:val="auto"/>
              </w:rPr>
            </w:pPr>
          </w:p>
        </w:tc>
      </w:tr>
      <w:tr>
        <w:trPr>
          <w:trHeight w:val="316"/>
        </w:trPr>
        <w:tc>
          <w:tcPr>
            <w:tcW w:w="5220" w:type="dxa"/>
            <w:vAlign w:val="bottom"/>
            <w:gridSpan w:val="3"/>
          </w:tcPr>
          <w:p>
            <w:pPr>
              <w:spacing w:after="0"/>
              <w:rPr>
                <w:sz w:val="20"/>
                <w:szCs w:val="20"/>
                <w:color w:val="auto"/>
              </w:rPr>
            </w:pPr>
            <w:r>
              <w:rPr>
                <w:rFonts w:ascii="Arial" w:cs="Arial" w:eastAsia="Arial" w:hAnsi="Arial"/>
                <w:sz w:val="18"/>
                <w:szCs w:val="18"/>
                <w:color w:val="auto"/>
              </w:rPr>
              <w:t>Unidym, Inc.</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79.0%</w:t>
            </w:r>
          </w:p>
        </w:tc>
        <w:tc>
          <w:tcPr>
            <w:tcW w:w="4960" w:type="dxa"/>
            <w:vAlign w:val="bottom"/>
          </w:tcPr>
          <w:p>
            <w:pPr>
              <w:spacing w:after="0"/>
              <w:rPr>
                <w:sz w:val="20"/>
                <w:szCs w:val="20"/>
                <w:color w:val="auto"/>
              </w:rPr>
            </w:pPr>
            <w:r>
              <w:rPr>
                <w:rFonts w:ascii="Arial" w:cs="Arial" w:eastAsia="Arial" w:hAnsi="Arial"/>
                <w:sz w:val="18"/>
                <w:szCs w:val="18"/>
                <w:color w:val="auto"/>
              </w:rPr>
              <w:t>Commercialization of carbon nanotube-based products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electronics industry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20" w:hanging="452"/>
        <w:spacing w:after="0" w:line="516"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September 30, 2010, on a fully diluted basis, Arrowhead owned approximately 63.6% of Calando and 64.3% of Unidym. Arrowhead has a minority ownership position in each of the following early-stage nanomedicine companies: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640" w:type="dxa"/>
            <w:vAlign w:val="bottom"/>
          </w:tcPr>
          <w:p>
            <w:pPr>
              <w:jc w:val="right"/>
              <w:ind w:right="162"/>
              <w:spacing w:after="0" w:line="150"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498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Minority Investment</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Ownership</w:t>
            </w:r>
          </w:p>
        </w:tc>
        <w:tc>
          <w:tcPr>
            <w:tcW w:w="4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Nanotope, Inc.</w:t>
            </w:r>
          </w:p>
        </w:tc>
        <w:tc>
          <w:tcPr>
            <w:tcW w:w="4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23.0%</w:t>
            </w: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Developing nano-engineered, self-assembling, bioactive scaffolding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 the regeneration of spinal cord and other tissues</w:t>
            </w:r>
          </w:p>
        </w:tc>
        <w:tc>
          <w:tcPr>
            <w:tcW w:w="0" w:type="dxa"/>
            <w:vAlign w:val="bottom"/>
          </w:tcPr>
          <w:p>
            <w:pPr>
              <w:spacing w:after="0"/>
              <w:rPr>
                <w:sz w:val="1"/>
                <w:szCs w:val="1"/>
                <w:color w:val="auto"/>
              </w:rPr>
            </w:pPr>
          </w:p>
        </w:tc>
      </w:tr>
      <w:tr>
        <w:trPr>
          <w:trHeight w:val="322"/>
        </w:trPr>
        <w:tc>
          <w:tcPr>
            <w:tcW w:w="5260" w:type="dxa"/>
            <w:vAlign w:val="bottom"/>
            <w:gridSpan w:val="3"/>
          </w:tcPr>
          <w:p>
            <w:pPr>
              <w:spacing w:after="0"/>
              <w:rPr>
                <w:sz w:val="20"/>
                <w:szCs w:val="20"/>
                <w:color w:val="auto"/>
              </w:rPr>
            </w:pPr>
            <w:r>
              <w:rPr>
                <w:rFonts w:ascii="Arial" w:cs="Arial" w:eastAsia="Arial" w:hAnsi="Arial"/>
                <w:sz w:val="18"/>
                <w:szCs w:val="18"/>
                <w:color w:val="auto"/>
              </w:rPr>
              <w:t>Leonardo Biosystems, Inc.</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4980" w:type="dxa"/>
            <w:vAlign w:val="bottom"/>
          </w:tcPr>
          <w:p>
            <w:pPr>
              <w:spacing w:after="0"/>
              <w:rPr>
                <w:sz w:val="20"/>
                <w:szCs w:val="20"/>
                <w:color w:val="auto"/>
              </w:rPr>
            </w:pPr>
            <w:r>
              <w:rPr>
                <w:rFonts w:ascii="Arial" w:cs="Arial" w:eastAsia="Arial" w:hAnsi="Arial"/>
                <w:sz w:val="18"/>
                <w:szCs w:val="18"/>
                <w:color w:val="auto"/>
                <w:w w:val="92"/>
              </w:rPr>
              <w:t>Developing a multi-stage system to deliver anti-cancer therapeutics</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Majority Owned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Calando is a clinical stage nano-biotechnology company at the forefront of RNAi therapeutics. Calando has developed a nanoparticle-based drug delivery system for siRNA. Calando’s platform technology is currently being tested in an open-label Phase I dose escalating clinical trial to systemically deliver—for what is believed to be for the first time—a siRNA drug candidate targeting cancer. The trial is progressing toward determining the primary endpoints of tolerability and maximum tolerated dose, while demonstrating preliminary proof-of-concept RNAi activity in some patients.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Calando is based on pioneering technology invented in the Chemical Engineering department of the California Institute of Technology. Developed to reduce the debilitating effects of cancer treatment, Calando’s proprietary molecules are designed to improve the safety and efficacy of cancer therapeutics. Currently focused on siRNA and oncology applications, Calando’s platform technology has the potential to be applied to a wide range of diseases beyond cancer as well as to therapeutic classes beyond siRNA therapeutics.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Calando is focused on the clinical development of RONDEL</w:t>
      </w:r>
      <w:r>
        <w:rPr>
          <w:rFonts w:ascii="Arial" w:cs="Arial" w:eastAsia="Arial" w:hAnsi="Arial"/>
          <w:sz w:val="11"/>
          <w:szCs w:val="11"/>
          <w:color w:val="auto"/>
        </w:rPr>
        <w:t>TM</w:t>
      </w:r>
      <w:r>
        <w:rPr>
          <w:rFonts w:ascii="Arial" w:cs="Arial" w:eastAsia="Arial" w:hAnsi="Arial"/>
          <w:sz w:val="18"/>
          <w:szCs w:val="18"/>
          <w:color w:val="auto"/>
        </w:rPr>
        <w:t>, its siRNA delivery technology, and CALAA-01, the associated drug candidate. Interim clinical results show that CALAA-01 is well tolerated and has demonstrated preliminary proof of RNAi activity in patients treated with the highest doses. These results represent several notable “firsts” in the field of RNAi, including first to demonstrate definitive RNAi delivery after systemic administration and first to show dose dependent accumulation in target cells. In addition, CALAA-01 has been shown to mediate specific gene inhibition in humans as evidenced by mRNA knockdown and protein knockdown in tumor biopsies.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in December 2008, Calando concluded a Phase I trial with IT-101 using a drug candidate consisting of its delivery system and a small molecule anti cancer agent. Patients from this clinical trial reported fewer and less serious side effects with several cases of stable disease over many months of treatment. One patient with pancreatic cancer had stabilized disease for 17 months. The further development of the small molecule delivery platform and IT-101, the associated drug candidate, was licensed to Cerulean Pharma, Inc., (“Cerulean”) a private biotech company in Boston, Massachusetts in June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Based on a novel polymeric sugar (linear cyclodextrin) molecule, Calando’s drug delivery system has been applied thus far to the delivery of two classes of therapeutics: siRNA and other oligonucleotides and small molecule drugs. The polymer is combined with the drug molecule to form a drug containing nanoparticles sized larger than 10 nanometers and smaller than 100 nanometers. The Company believes that this particle size is important; drug molecules are typically sized below 10 nanometers and are quickly cleared from the body in the urine. Nanoparticles sized larger than 10 nanometers circulate longer and thus can allow administration of lower doses to patients. Nanoparticles sized smaller than 100 nanometers can escape the circulatory system through the abnormally leaky blood vessels that feed tumors and are retained in the tumor tissue due to a lack of effective tumor lymphatic drainage. Preferential accumulation in tumor tissue, where the drug can take effect, leaves other tissues relatively unaffected. The drug delivery system has the added benefits of increasing solubility, allowing targeting of the nanoparticles, and being non-immunogenic.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Calando’s RONDEL</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Technology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RNA interference or “RNAi” is a naturally occurring mechanism for the regulation of gene expression that selectively inhibits the activity of, or “silences,” target genes. Discovered by scientists in 2002 who were subsequently awarded the Nobel Prize in Physiology or Medicine in 2006, RNAi has been hailed as having potential to be a tremendous breakthrough in treating diseases. Because many diseases are caused by the inappropriate activity of genes, RNAi has potential application to many serious or fatal diseases including cancer, AIDS, hepatitis C, Huntington’s disease and others. The mechanism is mediated by “small interfering RNA” known as siRNA.</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key challenges to using RNAi therapy has been the inability to systemically deliver siRNA in humans. “Naked” siRNA is degraded and destroyed by nucleases in the bloodstream and is not taken up by cells. Calando’s RONDEL</w:t>
      </w:r>
      <w:r>
        <w:rPr>
          <w:rFonts w:ascii="Arial" w:cs="Arial" w:eastAsia="Arial" w:hAnsi="Arial"/>
          <w:sz w:val="10"/>
          <w:szCs w:val="10"/>
          <w:color w:val="auto"/>
        </w:rPr>
        <w:t>TM</w:t>
      </w:r>
      <w:r>
        <w:rPr>
          <w:rFonts w:ascii="Arial" w:cs="Arial" w:eastAsia="Arial" w:hAnsi="Arial"/>
          <w:sz w:val="16"/>
          <w:szCs w:val="16"/>
          <w:color w:val="auto"/>
        </w:rPr>
        <w:t xml:space="preserve"> system is providing new hope that effective siRNA delivery can be achieved safely and economically. Calando’s polymers form the foundation for its three-part RNAi/Oligonucleotide Nanoparticle Delivery (RONDEL) technology. The first component is the positively charged polymer that, when mixed with siRNA, binds to the negatively charged “backbone” of the siRNA. The polymer and siRNA self-assemble into nanoparticles less than 100 nm diameter that fully protect the siRNA from nuclease degradation in serum. The cyclodextrin in the polymer enables the surface of the particles to be decorated by stabilizing agents and targeting ligands. These surface modifications are formed by proprietary methods involving the cyclodextrins.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80645</wp:posOffset>
            </wp:positionV>
            <wp:extent cx="3044190" cy="3464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4419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surface-modifying agents have terminal adamantane groups that form inclusion complexes with the cyclodextrin and contain poly ethylene glycol (PEG) to endow the particles with properties that prevent aggregation, enhance stability and enable systemic administration. Targeting molecules can be covalently attached to the adamantane-PEG modifier, enabling the siRNA-containing particles to be targeted to tissues of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RONDEL technology offers the following advantages:</w:t>
      </w:r>
    </w:p>
    <w:p>
      <w:pPr>
        <w:spacing w:after="0" w:line="90" w:lineRule="exact"/>
        <w:rPr>
          <w:sz w:val="20"/>
          <w:szCs w:val="20"/>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Generalized delivery system</w:t>
      </w:r>
      <w:r>
        <w:rPr>
          <w:rFonts w:ascii="Arial" w:cs="Arial" w:eastAsia="Arial" w:hAnsi="Arial"/>
          <w:sz w:val="18"/>
          <w:szCs w:val="18"/>
          <w:color w:val="auto"/>
        </w:rPr>
        <w:t xml:space="preserve"> – Binds to and self-assembles with the siRNA to form uniform colloidal-sized particles. Analysis has shown that these particles are spherical and between 10 nm and 100 nm in diameter.</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Ease of Administration</w:t>
      </w:r>
      <w:r>
        <w:rPr>
          <w:rFonts w:ascii="Arial" w:cs="Arial" w:eastAsia="Arial" w:hAnsi="Arial"/>
          <w:sz w:val="18"/>
          <w:szCs w:val="18"/>
          <w:color w:val="auto"/>
        </w:rPr>
        <w:t xml:space="preserve"> – The RONDEL system has been designed for use as part of a two-vial system: one vial contains the delivery components, and the second vial contains the therapeutic siRNA payload. When mixed pursuant to a simple protocol, the particles self-assemble into siRNA containing nanoparticles.</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Any siRNA sequence can be easily substituted</w:t>
      </w:r>
      <w:r>
        <w:rPr>
          <w:rFonts w:ascii="Arial" w:cs="Arial" w:eastAsia="Arial" w:hAnsi="Arial"/>
          <w:sz w:val="18"/>
          <w:szCs w:val="18"/>
          <w:color w:val="auto"/>
        </w:rPr>
        <w:t xml:space="preserve"> – Because RONDEL binds to the siRNA backbone, theoretically, any siRNA therapeutic could be in the second vial.</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Stealthy delivery to the immune system</w:t>
      </w:r>
      <w:r>
        <w:rPr>
          <w:rFonts w:ascii="Arial" w:cs="Arial" w:eastAsia="Arial" w:hAnsi="Arial"/>
          <w:sz w:val="16"/>
          <w:szCs w:val="16"/>
          <w:color w:val="auto"/>
        </w:rPr>
        <w:t xml:space="preserve"> – The sugar-based delivery vehicle allows for repeat dosing with reduced risk of immune reactions. Unlike lipid delivery vehicles, the cyclodextrin-based RONDEL™ delivery system has a low immune-stimulatory potential.</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 The RONDEL technology has been shown to be non-toxic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with human cell cultures, and the fully formulated polymer/siRNA particles exhibit a significant therapeutic window of safety in animals, even when repeated doses (up to eight doses over a four week period) are used. RONDEL has been well tolerated by patients in Calando’s clinical trials.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Stable under physiological conditions</w:t>
      </w:r>
      <w:r>
        <w:rPr>
          <w:rFonts w:ascii="Arial" w:cs="Arial" w:eastAsia="Arial" w:hAnsi="Arial"/>
          <w:sz w:val="18"/>
          <w:szCs w:val="18"/>
          <w:color w:val="auto"/>
        </w:rPr>
        <w:t xml:space="preserve"> – Particles have been shown to be stable under physiological conditions.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Effective targeted delivery</w:t>
      </w:r>
      <w:r>
        <w:rPr>
          <w:rFonts w:ascii="Arial" w:cs="Arial" w:eastAsia="Arial" w:hAnsi="Arial"/>
          <w:sz w:val="18"/>
          <w:szCs w:val="18"/>
          <w:color w:val="auto"/>
        </w:rPr>
        <w:t xml:space="preserve"> – Calando and its partners have demonstrated successful delivery of functional siRNA therapeutics to tumor cells and to hepatocytes by systemic administration and confirmed sequence-specific gene inhibition in humans.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CALAA-01</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CALAA-01 is a combination of RONDEL and a patented siRNA targeting the M2 subunit of ribonucleotide reductase, a clinically-validated cancer target. Ribonucleotide reductase catalyzes the conversion of ribonucleosides to deoxyribonucleosides and is necessary for DNA synthesis and replication, and thus tumor growth. The siRNA, developed at Calando, demonstrates potent anti-proliferative activity across multiple types of cancer cells. We believe the use of CALAA-01 in Calando’s Phase I trial, initiated in June 2008, was the first siRNA therapeutic candidate to target cancer in a human clinical study and also the first systemic delivery of an siRNA therapeutic candidate. The trial is utilizing a dose escalation protocol which appears to be nearing the highest dose in the protocol and yielding promising preliminary results. Through September 30, 2010, 18 patients were enrolled in the Phase I clinical trial out of a planned protocol of up to 36 patients.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Interim clinical results were recently presented at the 2010 American Society of Clinical Oncology meeting (ASCO). Data from a total of 15 patients accrued to 5 dose levels (3, 9, 18, 24, 30 mg/m</w:t>
      </w:r>
      <w:r>
        <w:rPr>
          <w:rFonts w:ascii="Arial" w:cs="Arial" w:eastAsia="Arial" w:hAnsi="Arial"/>
          <w:sz w:val="11"/>
          <w:szCs w:val="11"/>
          <w:color w:val="auto"/>
        </w:rPr>
        <w:t>2</w:t>
      </w:r>
      <w:r>
        <w:rPr>
          <w:rFonts w:ascii="Arial" w:cs="Arial" w:eastAsia="Arial" w:hAnsi="Arial"/>
          <w:sz w:val="18"/>
          <w:szCs w:val="18"/>
          <w:color w:val="auto"/>
        </w:rPr>
        <w:t>) showed that CALAA-01 was well tolerated. Treatment-related adverse events were mostly mild to moderate with fatigue, fever/chills, allergic, or gastrointestinal-related adverse events most frequently observed. Importantly, no changes in coagulation, liver function tests, or kidney function were observed.</w:t>
      </w:r>
    </w:p>
    <w:p>
      <w:pPr>
        <w:spacing w:after="0" w:line="14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Analysis of tumor biopsies from three melanoma patients showed the presence of intracellular nanoparticles in amounts that correlated with dose. Additionally, a reduction was found in both the RRM2 messenger RNA and protein levels when compared to pre-dosing tissue. Furthermore, the presence of siRNA-mediated mRNA cleavage products was confirmed by 5’-RACE, demonstrating that siRNA-mediated mRNA cleavage occurs specifically at the site predicted for an RNAi mechanism. These preliminary results were published in March 2010 in the scientific journal </w:t>
      </w:r>
      <w:r>
        <w:rPr>
          <w:rFonts w:ascii="Arial" w:cs="Arial" w:eastAsia="Arial" w:hAnsi="Arial"/>
          <w:sz w:val="16"/>
          <w:szCs w:val="16"/>
          <w:i w:val="1"/>
          <w:iCs w:val="1"/>
          <w:color w:val="auto"/>
        </w:rPr>
        <w:t>Nature</w:t>
      </w:r>
      <w:r>
        <w:rPr>
          <w:rFonts w:ascii="Arial" w:cs="Arial" w:eastAsia="Arial" w:hAnsi="Arial"/>
          <w:sz w:val="16"/>
          <w:szCs w:val="16"/>
          <w:color w:val="auto"/>
        </w:rPr>
        <w:t>, citing these interim data from our Phase I trial as the first evidence of systemic delivery of siRNA, and the successful “silencing” of a widely recognized cancer gene via RNA interference in humans. Patient accrual is ongoing at the University of California, Los Angeles, California and the START clinic, San Antonio, Texas and additional safety and pharmacodynamic data will be forthcoming.</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Calando plans to further develop CALAA-01 in the clinic as capital resources may allow. This may include a Phase Ib / Phase II clinical trial in combination with traditional chemotherapeutics in cancer indications with high unmet medical need. Combination therapy is especially promising for CALAA-01, because overexpression of its cellular target, RRM2, has been associated with resistance to certain types of chemotherapeutics. In pre-clinical studies, CALAA-01 has shown significant synergistic activity in these cases.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Calando’s Cyclosert</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Technology &amp; IT-101</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other polymeric drug delivery technology, Cyclosert, was designed by Calando’s scientists for the delivery of small molecule drugs. Cyclosert provides many of the same benefits as the RONDEL system. In December 2008, Calando completed a Phase I trial with IT-101, comprised of Calando’s polymer and Camptothecin, a potent anti-cancer drug, with a positive safety profile and indications of efficacy. On June 23, 2009, Calando entered into agreements to license Cyclosert and IT-101 to Cerulean. Under the terms of the agreements, Calando granted Cerulean an exclusive royalty-bearing worldwide license to certain patent rights and know-how and transferred to Cerulean certain intellectual property related to the linear-cyclodextrin drug delivery platform and IT-101 in exchange for an initial payment of $2.4 million. Under the agreements, Calando retained the rights to use the linear-cyclodextrin drug delivery platform to deliver any kind of nucleic acid including siRNA. As such, Calando retains the rights to its RONDEL platform, as well as the CALAA-01 and CALAA-02 lead drugs.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Outsourced Clinical Trial Management, R&amp;D, Manufacturing and Supply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Calando used contract manufacturers to manufacture each of its product candidates and has on hand sufficient material to complete the CALAA-01 Phase I study. These materials were manufactured in accordance with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 Currently, Calando has no laboratory facilities and is reliant on contract R&amp;D facilities to support its clinical trial. Along with its internal resources, Calando uses consultants to manage and monitor its clinical trial. Calando plans to continue to rely on third parties to meet these needs.</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development of CALAA-01, IT-101 and other pipeline candidates are preliminary, and there is no assurance that they will be successful. There are numerous technical, regulatory and marketing challenges that must be overcome to successfully commercialize Calando’s products, including, but not limited to the following:</w:t>
      </w:r>
    </w:p>
    <w:p>
      <w:pPr>
        <w:spacing w:after="0" w:line="59" w:lineRule="exact"/>
        <w:rPr>
          <w:sz w:val="20"/>
          <w:szCs w:val="20"/>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pipeline candidates requires extensive preclinical testing and approval by the U.S. Food and Drug Administration (“FDA”) before clinical testing can commence.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therapeutic candidates through preclinical and clinical testing is expensive, resource intensive and time consuming.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Complications may arise that would cause the clinical testing to be interrupted or stopped. FDA approval is required before products can be sold.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FDA approval is eventually obtained, there is no assurance that it will be accepted by the medical community.</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It is not possible at this time to accurately determine the final cost of the development projects, the completion dates or when or if revenue will be generated. For additional information relating to the risks of developing new therapies, please see Item 1A –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Calando controls an intellectual property portfolio of patents covering certain linear cyclodextrin polymers and related technology (the “linear cyclodextrin system”). The portfolio covers both RONDEL and Cyclosert. In June 2009, Calando sold and assigned to Cerulean certain Calando owned-patents for linear cyclodextrin polymers conjugated to drugs. Additionally, Calando granted Cerulean an exclusive license under its rights to the linear cyclodextrin system to develop certain drug products. Calando retained rights to use the linear cyclodextrin system to develop drugs in which the therapeutic agent is a nucleic acid (e.g., siRNA), a second generation epothilone, tubulysin or cytolysin.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Calando also owns an issued patent covering the siRNA active ingredient in CALAA-01 and has filed a patent application to cover the siRNA active ingredient of CALAA-02. Calando has licensed patents from Alnylam relevant to siRNA therapeutics for CALAA-01 and CALAA-02. Calando has in-licensed from R&amp;D Biopharmaceuticals exclusive rights to second generation synthetic epothilones. Calando has out licensed to R&amp;D Biopharmaceuticals the use of the linear cyclodextrin system for delivering tubulysin and cytolysin drugs. The RNAi and nanoparticle drug delivery patent landscape is complex and rapidly evolving. As such, Calando may need to obtain additional patent licenses prior to commercialization of its lead drug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Drug Delivery and Oncology Markets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Despite advances in drug discovery, pharmaceutical firms remain challenged by getting the right compound to the right place in the human body, where it can maximize its effect. Additionally, over the next decade, multiple “blockbuster” pharmaceuticals will go off patent, resulting in a significant loss to the pharmaceutical industry as generic versions of these drugs enter the market. Patent expiration coupled with a challenging drug discovery environment, and continued problems with late stage trial failures has left pharmaceutical pipelines thin. In response, the industry has pursued reformulation of existing or previously failed compounds using new drug delivery technology to expand pipelines and prolong patent life. According to the American Cancer Society, cancer is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second leading cause of death in the United States and accounts for approximately one in every four deaths. The National Institutes of Health has estimated the direct medical cost of cancer to be in excess of $74 billion per year. Dose limiting toxicity, poor tissue specificity, and large effective distribution are major restrictive factors in effective cancer chemotherapy. Consequently, complete tumor response is not often achieved in patients receiving chemotherapy alone. We believe that this offers a potentially significant opportunity for firms developing technologies to more effectively deliver anti-cancer agents to malignant cells.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Calando is engaged in the rapidly changing business of developing treatments for human disease through the regulation of gene expression and delivery of proprietary novel cancer therapies. Competition in these fields is intense as other companies are developing therapies similar to our nanoparticle drug delivery systems, and targeting patient populations that are similar to the patient populations that are targeted by Calando. A number of companies are pursuing research and development programs relating to the emerging area of cancer therapies using nanoparticle conjugates and RNA interference. A number of these companies have filed patent applications in these areas.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 New competitors may arise and we may not be aware of all competitors in this space. A number of Calando’s competitors are more established and have greater resources than Calando. Furthermore, even if Calando is successful in developing commercial products, it is possible that competitors will achieve greater market acceptance.</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Systemic delivery of siRNA and other oligonucleotide therapeutics has proven critical for the success of all nucleic acid therapeutics. Naturally, multiple firms have recognized the problem of systemic siRNA delivery as a significant opportunity and other firms are developing products in this space. Companies developing siRNA delivery products include but are not limited to Alnylam, Merck, Novartis, Tekmira, RXi Pharmaceuticals, Benitec, Quark Pharmaceuticals, Marina Biotech, Isis Pharmaceuticals and Silence Therapeutics. Additionally, many academic groups are developing and may seek to commercialize siRNA delivery technologies.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Christopher Anzalone, Ph.D., is the CEO of Calando. Dr. Anzalone is also the CEO of Arrowhead, Nanotope and Leonardo. Thomas Schluep, Sc.D., is the Chief Scientific Officer (CSO) of Calando.</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Calando’s Board of Directors consists of R. Bruce Stewart, Executive Chairman of Arrowhead, Christopher Anzalone, CEO and director of Arrowhead, Nanotope and Leonardo, and Edward W. Frykman, a member of the Arrowhead Board. Dr. Bruce Given and Dr. Mostafa Analoui are independent Board members.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September 30, 2010, there were no full time employees at Calando. Two former employees of Calando have been hired by Arrowhead and focus on managing Calando’s ongoing clinical trial.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Unidym,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Unidym is a leader in carbon nanotube-based transparent, conductive films (TCFs) for the electronics industry. TCFs are a critical component in devices such as touch panels, displays, and thin-film solar cells. For example, both touch panels and LCDs typically employ two TCF layers per device. Unidym’s TCFs offer substantial advantages over the incumbent technology, indium-based metal oxides, including: improved durability, lower processing costs, and lower overall cost structure.</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Unidym’s products are based on electronics-grade carbon nanotubes (CNTs), a class of molecules with multiple unique properties. For instance, some varieties conduct electricity better than copper, are stronger than steel, and may be synthesized in bulk quantities. In 2005, the CNT field was highly fragmented, and Arrowhead sought to consolidate the intellectual property for the technology in an effort to create a dominant position in high value CNTs. As a result of licensing from universities and acquisitions of three CNT-related companies, Unidym owns or has exclusive license to a large portfolio of over 100 key CNT-related patents and patent applications. The Company believes Unidym holds foundational intellectual property surrounding high value electronics-grade CNT manufacturing and processing. With this strong patent portfolio and significant experience applying this technology to electronics markets, Unidym is beginning to make modest sales of its TCF film to device manufacturers and believes that it is well-positioned to increase sales in 2011. Unidym’s management team is focused on customer interaction to optimize its products to meet customer specifications with a goal of generating product sales for touch screens in the near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Partnerships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Unidym has several ongoing programs with various partners to incorporate its transparent conductive films into touch panels and displays. In 2010, a leading Japanese touch panel maker demonstrated three dimensional touch panels, based on Unidym’s films, at the premier displays conference in North America, the Society of Informational Display. Unidym also announced new joint development agreements with Tokyo Electron to develop and commercialize manufacturing equipment for printable CNT-based displays and solar cells as well as Guardian Industries to develop and commercialize CNT coated glass products. Unidym also continued to collaborate with Samsung Electronics in CNT-based displays and Nippon Kayaku in CNT-based solar cells.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to these efforts in Unidym’s core focus of electronics, Unidym is seeking to leverage its broad intellectual property portfolio in other areas through its licensing and other collaborative programs. To date, Unidym has out-licensed its intellectual property to a number of different companies, including Samsung, Ensysce Biosciences, Nexeon Medsystems, DuPont, Nano-C, Nano-Lab, Torrey Pines, Continental Carbon, and several other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of Carbon Nanotube-Based Transparent Conductive Films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Unidym’s film production model involves in-house pilot production and outsourced supply of larger volumes of a proprietary grade of CNTs, formulation of those CNTs into a coating ink, and then shipment of that ink to an outsourced coating partner or customer for deposition. To conserve cash and pursue a strategy designed to yield revenues in the short term, Unidym is exploring partnerships or outsourcing within this supply chain.</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Unidym has in-house deposition or coating equipment which is used for the deposition of CNTs onto plastic or glass substrates in sample quantities. Unidym has also tested production samples from several coating subcontractors. The use of outsourced coating partners for its touch panel films would take advantage of the substantial excess capacity left in the coating industry by the decrease in demand for photographic film. Unidym expects that, given the abundance of these subcontractors and the availability of cost effective subcontract capacity, there will be no need to bring production capacity in-house in the near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of Carbon Nanotubes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Unidym has historically produced carbon nanotubes in-house. In line with its strategy to reduce costs and work with manufacturing partners, in May 2009, Unidym transferred a portion of its assets for CNT production to CCNI, a manufacturer of CNTs and carbon black, has been working with CCNI and other vendors for the production of Unidym’s CNT supply needs. Unidym anticipates retaining some limited in-house CNT production capability for product improvements and as a second source of supply. Unidym plans to manufacture CNT inks and is negotiating with potential partners to manufacture and sell films to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Unidym generated revenue from sales of thin films, sales of CNTs and sales of CNT-based ink in fiscal 2010. Future revenue is expected to be generated through direct product sales and license deals into relatively consolidated industries. In addition, Unidym has taken advantage of its extensive metrology equipment and excess space to create a small incubator for start-ups to defray a portion of the costs for its Sunnyvale facility. In the near term, Unidym does not expect to generate enough revenue to self-fund its operations. Unidym expects to continue to generate revenues through direct sales of its HIPCO-grade CNTs.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Unidym faces competition from a number of start-ups and established companies in its target markets. In the electronics industry, there are a number of start-up or private companies that are focused on the application or production of nanotubes including Automate, C-Nano, Eikos, Nantero and Southwest Nanotechnologies. More established companies with announced CNT programs include Brewer Sciences, DuPont, Honeywell, Samsung, Sumitomo and Toray. There are also potential competitors who are pursuing alternative nanotech-based approaches to the markets served by Unidym, including the start-up Cambrios and large Japanese companies such as Fujitsu.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Unidym controls an intellectual property portfolio containing over 100 foreign and domestic patents and patent applications. The portfolio contains patent claims directed to fundamental carbon nanotube compositions of matter, as well as carbon nanotube synthesis, purification, dispersion and functionalization. Furthermore, the portfolio contains claims to the use of carbon nanotubes in many different application areas including fibers, electronics, composite materials, energy storage/generation, medical devices and drug delivery. Some patents and patent applications are owned by Unidym (or co-owned with partners such as Continental Carbon and Tokyo Electron), but most are exclusively licensed from institutions such as Rice University, Georgia Tech, Clemson, SUNY, and California Institute of Technology (Caltech). Under its agreement with Clemson, Unidym has an exclusive license to U.S. Patents 7,265,174 and 7,750,071, which we believe have the earliest priority date of any patent claiming transparent, conductive films comprised of carbon nanotubes. Under its agreement with Caltech, Unidym has the right to sublicense U.S. Patent 5,424,054, which is the basic patent claiming small diameter nanotube composition of matter. Unidym also has the right to license an IP portfolio related to modified fullerene for non-therapeutic fields of use. A material portion of Unidym’s intellectual property portfolio is exclusively licensed from Rice University. If the sum of Unidym’s debts, liabilities and other obligations is greater than all of Unidym’s assets at fair valuation or if Unidym is generally not paying its debts, liabilities and other obligations as they come due; the Rice license will terminate and Unidym may lose rights to critical intellectual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Mark Tilley, Ph.D is the CEO of Unidym. Dr. Tilley joined the Company after a nine-year tenure at DSM N.V., a $12 billion Netherlands-based specialty performance materials and life sciences company. During his tenure, he worked in DSM’s venturing arm, led marketing and technical teams, and built a nano-enabled flat panel displays materials business that was acquired by Japan Synthetic Rubber in 2005. Dr. Tilley also co-founded Kriya Materials BV, a venture capital backed nano-materials and coatings company based in the Netherlands. Dr. Tilley has held marketing and R&amp;D positions at SDC Coatings, a joint venture founded by Dow Corning and Pilkington Glass, Valspar and GE Plastics where he started his career at their Corporate R&amp;D center as a Senior Scientist. He holds a BS degree in Chemistry from the University of Manchester Institute of Science and Technology in Manchester, UK, a Ph.D. from North Dakota State University in Fargo, and a M.B.A from Pepperdine University.</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Unidym’s Board of Directors is comprised of Mark Tilley, Christopher Anzalone, CEO and director of each Arrowhead, Calando, Nanotope and Leonardo, Edward W. Frykman and Charles McKenney, both Arrowhead directors. Independent directors are Dr. Bob Gower, former CEO of CNI, Ray McLaughlin, former CFO of CNI, and Malcolm Gillis, former President of Rice University.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2010, Unidym had 9 full-time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Minority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Nanotope is a regenerative medicine company developing a suite of nanotechnology-based products customized to regenerate specific tissues: including neuronal, cartilaginous and vascular soft tissues. Its lead clinical candidates are focused on regenerating neurons and inhibiting scar tissue formation following traumatic spinal cord injury (SCI); restoring cartilage in joints damaged due to injury or osteoarthritis; and accelerating wound healing in poorly vascularized, ischemic tissue associated with diabetes and peripheral artery disease (PAD). Nanotope and its partners have demonstrated the efficacy of these lead compounds in multiple animal models. Importantly, the company’s therapeutic platform consists of synthetic, fully degradable, customizable gel scaffolds that do not involve the use of embryonic stem cells. Instead, the products work with surviving cells in the patient’s body to spur tissue regeneration. In October 2010, Nanotope entered into an agreement with Smith &amp; Nephew, plc group to further develop its cartilage regeneration product for human healthcare markets. Smith &amp; Nephew is a global medical technology company with leadership positions in Orthopedics; including Reconstruction, Trauma and Clinical therapies; Endoscopy; including Sports Medicine; and Advanced Wound Management. This represents Nanotope’s first commercial transaction and demonstrates the company’s commitment to bring technological innovations in regenerative medicine to the clinical market.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Nanotope was co-founded by Arrowhead’s CEO, Dr. Christopher Anzalone, through the Benet Group, now dissolved, a private investment entity solely owned and managed by Dr. Anzalone. Dr. Anzalone owns approximately 14.2% of Nanotope’s outstanding voting securities. Dr. Anzalone does not hold options, warrants or any other rights to acquire securities of Nanotope. Dr. Anzalone has the right to appoint a representative to the Board of Directors of Nanotope.</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Dr. Anzalone currently serves on the Nanotope Board in a seat reserved for Nanotope’s CEO and another individual holds the seat designated by Dr. Anzalone.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Leonardo is a drug delivery company that employs a novel multi-stage drug delivery mechanism aimed at dramatically increasing targeting efficiency of pharmaceuticals. Arrowhead has an approximately 5% ownership interest in Leonardo. Leonardo’s silicon microparticulate technology 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Animal testing suggests that Leonardo’s platform enables significantly increased targeting and also provides sustained release. During 2010, Leonardo received an initial tranche of $1.25 million of an overall $2.5 million award from the State of Texas Emerging Technology Fund. Leonardo is currently focused on scaling up a commercializable manufacturing process and broadening the demonstrated areas where the technology delivers value. Arrowhead is interested in increasing its stake in Leonardo if the opportunity arises, Arrowhead has the capital resources and Leonardo’s technology development continues to move forward.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Like Nanotope, Leonardo was co-founded by the Company’s Chief Executive Officer, Dr. Christopher Anzalone. Dr. Anzalone owns approximately 16% of the outstanding stock of Leonardo. Dr. Anzalone does not hold options, warrants or any other rights to acquire securities of Leonardo. Dr. Anzalone has the right to appoint a representative to the Board of Directors of Leonardo and Dr. Anzalone currently serves on the Leonardo Board. Dr. Anzalone has served as President and Chief Executive Officer of Leonardo since its formation until February 2010 when a new CEO was hired. Dr. Anzalone has not received any compensation for his work on behalf of Leonardo since joining the Company on December 1, 2007. Dr. Anzalone has also waived his right to any unpaid compensation accrued for work done on behalf of Leonardo before he joined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Academic Partnerships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Since inception, Arrowhead has worked with some of the most outstanding academic institutions in the country, including the Caltech, Stanford University, Duke University and the University of Florida, in critical areas such as stem cell research, carbon electronics and molecular diagnostics. This has provided the Company with a deep network in the academic community, insight into cutting edge technologies and a world class scientific advisory board. Through these partnerships, Arrowhead has gained access to exclusive rights that have formed the basis for the Company’s subsidiaries and minority investments and has leveraged university resources to further develop and test technology in a highly cost effective way. The collaborations with academic scientists have included technology licenses and options to license technology, sponsored research, donations to the labs of individual scientists and use of university facilities that are made available to development stage companies. In prior years, Arrowhead devoted significant capital resources to sponsored research. As the Subsidiaries have matured, the Company has decreased its reliance on sponsored research for technology development and sponsored research expense has decreased. As of September 30, 2010, Arrowhead had one active sponsored research agreement at Duke University through Unidym. Depending on capital resources, Arrowhead is likely to continue to invest in nanoscience research and development through sponsored research agreements at universities.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are a development stage company and we have limited historical operations. We urge you to consider our likelihood of success and prospects in light of the risks, expenses and difficulties frequently encountered by entities at similar stages of development.</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risks we face. They are not the only risks we face. Additional risks of which we are not presently aware or that we currently believe are immaterial may also harm our business and results of operations. The trading price of our common stock could decline due to the occurrence of any of these risks, and investors could lose all or part of their investment. In assessing these risks, investors should also refer to the other information contained or incorporated by reference in our other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cash resources.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plan of operations is to provide substantial amounts of development funding and financial support to our subsidiaries over an extended period of time. The Company adopted a cash conservation strategy that reduced corporate expenses and scaled back our financial support for our two major subsidiaries, Unidym and Calando. This has influenced Unidym’s decision to engage partners for its capital-intensive bulk CNT manufacturing and concentrate its resources on the development of CNT inks and CNT-based film products, and Calando’s decision to curtail internal R&amp;D efforts for its drug delivery platforms and clinical candidates and seek partners for future development of its drug candidates. Management continues operate under a plan to conserve cash resources while selectively investing in near-term opportunities. The Company’s management anticipates that the Company will be able to satisfy the cash requirements of its operations through at least the next twelve months with current cash resources.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However, we may need to obtain additional capital to further our development efforts, and we intend to seek additional capital by out-licensing technology, selling one or more of our subsidiaries, securing funded partnerships, conducting one or more private placements of equity securities of the Company or our subsidiaries, selling additional securities in a registered public offering, or through a combination of one or more of such financing alternatives. However, there can be no assurance that we will be successful in any of these endeavors or, if we are successful, that such transactions will be accomplished on favorable terms. If we are unable to obtain additional capital, we will implement additional cash saving measures, which could materially harm our business and our ability to achieve cash flow in the future, including delaying or reducing implementation of certain aspects of our plan of operations. Even if we are successful in obtaining additional capital, because we and each subsidiary are separate entities, it could be difficult or impossible to allocate funds in a way that meets the needs of all entities.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Neither the Company nor our subsidiaries generate substantial revenue, and our operations and research and development activities have been primarily funded through the sale of Company securities and securities of our subsidiaries. Current market conditions may impair our ability to raise the capital we need. If we are unable to secure additional cash resources from the sale of securities or other sources, it could become necessary to further slow, interrupt or close down development efforts. In addition, we may have to make additional reductions in expenses at the Company, which could impair our ability to manage our business and our subsidiaries. Even if investment capital is available to us, the terms may be onerous. If investment capital is needed and available to Unidym and/or Calando and the Company does not have the funds to make a pro rata investment, our ownership interest could be diluted. The sale of additional Company stock to fund operations could result in significant dilution to stockholders.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strategy for eventual monetization of our subsidiaries will likely depend on our ability to exit our ownership position in each subsidiary in an orderly manner. Exit opportunities could include an initial public offering (“IPO”) for the subsidiary or acquisition of the subsidiary by another company. During the recent economic recession, companies have been adopting conservative acquisition strategies and, even if there is interest, they may not be able to acquire our subsidiaries on terms that are attractive to us. These factors could reduce the realizable return on our investment if we are able to sell a subsidiary. Additionally, the market for IPOs continues to be very limited, which limits public exit opportunities for our subsidiaries.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listing on the NASDAQ Capital Market.</w:t>
      </w:r>
    </w:p>
    <w:p>
      <w:pPr>
        <w:spacing w:after="0" w:line="171"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Our Common Stock trades on the NASDAQ Capital Market, which has certain compliance requirements for continued listing of common stock. In the past, we have been subject to delisting procedures due to a drop in the price of our Common Stock. If our minimum closing bid price per share falls below $1.00 for a period of 30 consecutive trading days in the future, we may again be subject to delisting procedures. We must also meet additional continued listing requirements contained in NASDAQ Marketplace Rule 5550(b), which requires that we have (1) a minimum of $2,500,000 in stockholders’ equity,</w:t>
      </w:r>
    </w:p>
    <w:p>
      <w:pPr>
        <w:spacing w:after="0" w:line="3" w:lineRule="exact"/>
        <w:rPr>
          <w:sz w:val="20"/>
          <w:szCs w:val="20"/>
          <w:color w:val="auto"/>
        </w:rPr>
      </w:pPr>
    </w:p>
    <w:p>
      <w:pPr>
        <w:jc w:val="both"/>
        <w:ind w:right="60" w:firstLine="8"/>
        <w:spacing w:after="0" w:line="255"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$35,000,000 market value of listed securities held by non-affiliates or (3) $500,000 of net income from continuing operations for the most recently completed fiscal year (or two of the three most recently completed fiscal years). As of December 20, 2010, based on our closing price as of that day, the market value of our securities held by non-affiliates was approximately $65,000,000.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the close of business on December 8, 2010, our Common Stock had a closing bid price of $0.90 per share, and has had a bid price of less than $1.00 for 30 consecutive days. Accordingly, on December 8, 2010, we received a deficiency letter from the NASDAQ Stock Market indicating that, based on the Company’s closing bid price for the last 30 consecutive business days, the Company does not comply with the minimum bid price of $1.00 per as set forth in NASDAQ Marketplace Rule 5550(a)(2).</w:t>
      </w:r>
    </w:p>
    <w:p>
      <w:pPr>
        <w:spacing w:after="0" w:line="14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accordance with NASDAQ Marketplace Rule 5810(c)(3)(A), the Company has a grace period of 180 calendar days, or until June 6, 2011 to regain compliance with the minimum closing bid price requirement for continued listing. In order to regain compliance, the minimum closing price per share of the Company’s common stock must be at least $1.00 for a minimum of ten consecutive business days. In the event the Company does not regain compliance by June 6, 2011, the Company may be afforded an additional 180 day compliance period, provided it demonstrates that it meets all other applicable standards for initial listing on the NASDAQ Capital Market (except the bid price requirement). If the Company fails to regain compliance after the second grace period, the Company’s stock will be subject to delisting by NASDAQ.</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Delisting could reduce the ability of our shareholders to purchase or sell shares as quickly and as easily as they have done historically. For instance, failure to obtain listing on another market or exchange may make it more difficult for traders to sell our securities. Broker-dealers may be less willing or able to sell or make a market in our Common Stock. Not maintaining our NASDAQ Capital Market listing may (among other effects):</w:t>
      </w:r>
    </w:p>
    <w:p>
      <w:pPr>
        <w:spacing w:after="0" w:line="2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 in a decrease in the trading price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lessen interest by institutions and individuals in investing in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to obtain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raise capital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on our consolidated balance sheet, which could have consequences if we were unable to repay the principal or interest due</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Calando has a $500,000 unsecured convertible promissory note outstanding. The note bears 10% interest accrued annually, matured in November 2010 and is payable upon demand. The note is payable at two times face value in certain events, including, among other things, the license of Calando’s siRNA delivery system. An amendment to extend the note is currently being negotiated, however if the note is not extended, the Company has the ability and intent to repay this note. However, if Calando is unable to meet its obligations to the bearer of the note, Arrowhead may also not be in a position to lend Calando sufficient cash to pay such demand note. Unless other sources of financing become available, this could result in Calando’s insolvency.</w:t>
      </w:r>
    </w:p>
    <w:p>
      <w:pPr>
        <w:spacing w:after="0" w:line="1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subsidiaries have entered into technology license agreements with third parties that require us to satisfy obligations to keep them effective and, if these agreements are terminated, our technology and our business would be seriously and adversely affected.</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Through our subsidiaries, we have entered into exclusive, long-term license agreements with Rice University, California Institute of Technology, Alnylam Pharmaceuticals, Inc. and other entities to incorporate their proprietary technologies into our proposed products. These license agreements require us to pay royalties and satisfy other conditions, including conditions related to the commercialization of the licensed technology. We cannot give any assurance that we will successfully incorporate these technologies into marketable products or, if we do, whether sales will be sufficient to recover the amounts that we are obligated to pay to the licensors. Failure by us to satisfy our obligations under these agreements, including the solvency requirements set forth in our license agreement with Rice university,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development stage company and our success is subject to the substantial risks inherent in the establishment of new business ventures.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implementation of our business strategy is still in the development stage. We currently own majority interests in two subsidiary companies, investments in two early-stage biotech companies and, through Unidym, one university research project at Duke University. Our business and operations should be considered to be in the development stage and subject to all of the risks inherent in the establishment of a new business venture. Accordingly, our intended business and operations may not prove to be successful in the near future, if at all. Any future success that we might enjoy will depend upon many factors, several of which may be beyond our control, or which cannot be predicted at this time, and which could have a material adverse effect upon our financial condition, business prospects and operations, and the value of an investment in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may be unable to find additional partners to license its technologies.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part of our cash conservation strategy that scales back our financial support for Calando at this time, Calando has closed its laboratory facilities, eliminated its technical employees and has shifted its focus to licensing its technologies to partners. Currently, Calando has one licensing partner, but there can be no assurance that Calando will be able to find additional partners to license its technologies upon terms favorable to Calando.</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Calando licenses its technologies, it will lose a considerable amount of control over its intellectual property and may not receive adequate licensing revenues in exchange.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business model of our subsidiaries has historically been to develop new nanotechnologies and to exploit the intellectual property created through the research and development process to develop commercially successful products. Calando has licensed a portion of its technology to Cerulean Pharma, Inc. and intends to pursue further licensing arrangements with other companies. A significant portion of the potential value from these licenses is tied to the achievement of the development and sales milestones, which we cannot control. As Calando licenses its technology to other companies, it will lose control over certain of the technologies it licenses and will be unable to control the development and commercialization of its technologies, which could result in the failure to achieve performance milestones that would represent a significant portion of the total value of any license transaction. In addition, Calando’s licensees may not be successful in the further commercialization of Calando’s technologies and anticipated revenues from such license agreements may be less than expected or may not be paid at all.</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technological applications, and, as a result, we may not be able to successfully develop nanotechnology for commercial use.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finances research and development of nanotechnology, which is a new and unproven field. Our scientists and engineers are working on developing technology in various stages. However, such technology’s commercial feasibility and acceptance is unknown. Scientific research and development requires significant amounts of capital and takes a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we are unable to successfully develop nanotechnology applications for commercial use, we will be unable to generate revenue or build a sustainable or profitable business.</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Because we have not generated significant revenues to cover our operating expenses, we are dependent on raising additional capital from investors or lenders.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date, we have only generated a small amount of revenue as a result of our current plan of operations. Given our strategy of financing new and unproven technology research, there is no assurance we would ever generate significant revenues. Our revenue-producing opportunities depend on liquidity events within our subsidiaries, such as a sale of the subsidiary, licensing transaction or initial public offering. We cannot be certain that we will be able to create a liquidity event for any of our subsidiaries and, even if we are able to, we cannot be certain of the timing or the potential proceeds to Arrowhead as a stockholder. Accordingly, our revenue prospects are uncertain and we must plan to finance our operations through the sales of equity securities or debt financing. If we are unable to continue raising operating capital from these sources, we may be forced to curtail or cease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Even if our research and development yields technologically feasible applications, we may not successfully develop commercial products, and even if we do, we may not do so on a timely basis. Even if our research efforts are technologically successful, it could take several years before this technology will be commercially viable. During this period, superior competitive technologies may be introduced or customer needs may change, which could diminish or extinguish the commercial uses for our applications. Because nanotechnology is an emerging field, the degree to which potential consumers will adopt nanotechnology-enabled products is uncertain. We cannot predict when significant commercial market acceptance for nanotechnology-enabled products will develop, if at all, and we cannot reliably estimate the projected size of any such potential market. If markets fail to accept nanotechnology-enabled products, we may not be able to generate revenues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acceptance of our technology among original equipment manufacturers and customers, or if the associated products do not achieve wide market acceptance, our business will be materially and adversely affected.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do not possess all of the resources necessary to develop and commercialize products that may result from our technologies on a mass scale. Unless we expand our product development capacity and enhance our internal marketing,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technical, business and legal risks, including:</w:t>
      </w:r>
    </w:p>
    <w:p>
      <w:pPr>
        <w:spacing w:after="0" w:line="39" w:lineRule="exact"/>
        <w:rPr>
          <w:sz w:val="20"/>
          <w:szCs w:val="20"/>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above risks could impair our ability to generate revenues and harm our business and financial condition.</w:t>
      </w:r>
    </w:p>
    <w:p>
      <w:pPr>
        <w:spacing w:after="0" w:line="17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need to retain a controlling interest, by ownership, contract or otherwise, in Unidym and Calando in order to avoid potentially being deemed an investment company under the Investment Company Act of 1940.</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Companies that have more than 100 U.S. stockholders or are publicly traded in the U.S. or are, or hold themselves out as being, engaged primarily in the business of investing, reinvesting or trading in securities are subject to regulation under the Investment Company Act of 1940. Unless a substantial part of our assets consists of, and a substantial part of our income is derived from, interests in majority-owned subsidiaries and companies that we primarily control, whether by contract or otherwise, we may be required to register and become subject to regulation under the Investment Company Act. Because Investment Company Act regulation is, for the most part, inconsistent with our strategy of actively managing and operating our portfolio companies, a requirement to operate our business as a registered investment company would restrict our operations and require additional resources for compliance.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deemed to be, and are required to register as, an investment company, we will be forced to comply with substantive requirements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including:</w:t>
      </w:r>
    </w:p>
    <w:p>
      <w:pPr>
        <w:spacing w:after="0" w:line="8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acquisitions of interests in associated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prohibitions on transactions with our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specific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reporting, record keeping, voting, proxy disclosure and other rules and regulations.</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order to avoid regulation under the Investment Company Act, we may choose to make additional pro rata investments in Unidym and Calando to maintain a controlling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Nanotechnology-enabled products are new and may be viewed as being harmful to human health or the environment.</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There is public concern regarding the human health, environmental and ethical implications of nanotechnology that could impede market acceptance of products developed through these means. Nanotechnology-enabled products could be composed of materials such as carbon, silicon, silicon carbide, germanium, gallium arsenide, gallium nitride, cadmium selenide or indium phosphide, which may prove to be unsafe or harmful to human health or to the environment because of the size, shape or composition of the nanostructures. For this reason, these nanostructures may prove to present risks to human health or the environment that are different from and greater than the better understood risks that may be presented by the constituent materials in non-nanoscale forms. Because of the potential, but at this point unknown, risks associated with certain nanomaterials, government authorities in the U.S. or individual states, and foreign government authorities could, for social or other purposes, prohibit or regulate the use of some or all nanotechnologies. The U.S. Environmental Protection Agency has in that regard recently taken steps towards regulation of the manufacture and use of certain nanotechnology-enabled materials, including those containing carbon nanotubes or nanosilver. Further, the U.S. National Academy of Sciences/National Research Council concluded that the U.S. government needs to develop a more robust and coordinated plan for addressing the potential environmental, health, and safety risks of nanomaterials. The regulation and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limitation of the kinds of materials used in or used to develop nanotechnology-enabled products, or the regulation of the products themselves, could halt or delay the commercialization of nanotechnology-enabled products or substantially increase the cost, which will impair our ability to achieve revenue from the license of nanotechnology applications.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research and development projects when competing against other ventures.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business plan requires that we identify and successfully acquire promising technologies. However, we compete with a substantial number of other companies that fund early-stage, scientific research at universities to secure rights to promising technologies. In addition, many venture capital firms and other institutional investors invest in companies seeking to commercialize various types of emerging technologies. Many of these companies have greater financial, scientific and commercial resources than us. Therefore, we may not be able to secure the opportunity to finance first-tier research and commercialization projects. Furthermore, should any commercial undertaking by us prove to be successful, there can be no assurance competitors with greater financial resources will not offer competitive products and/or technologies.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rely on third parties for various components and processes for our products.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In addition, due to the continued tightening of global credit markets, there may be a disruption or delay in the performance of our third-party contractors, suppliers or collaborators.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model to integrate and oversee the strategic direction of various subsidiaries and research and development projects presents many risks, including:</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94"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will depend to a significant extent on the continued services of our key employees, including Dr. Anzalone, our CEO. In addition, we rely on several key executives to manage each of our subsidiaries. We do not maintain key man life insurance for any of our executives. Our ability to execute our strategy also will depend on our ability to continue to attract and retain qualified scientists, sales, marketing and additional managerial personnel. If we are unable to find, hire and retain qualified individuals, we could have difficulty implementing our business plan in a timely manner, or at all. We may need to terminate additional employees, including senior management and technical employees, or such employees may seek other employment which may result in the loss of valuable know-how and that development efforts could be negatively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9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w:t>
      </w:r>
    </w:p>
    <w:p>
      <w:pPr>
        <w:ind w:right="220"/>
        <w:spacing w:after="0" w:line="261" w:lineRule="auto"/>
        <w:rPr>
          <w:sz w:val="20"/>
          <w:szCs w:val="20"/>
          <w:color w:val="auto"/>
        </w:rPr>
      </w:pPr>
      <w:r>
        <w:rPr>
          <w:rFonts w:ascii="Arial" w:cs="Arial" w:eastAsia="Arial" w:hAnsi="Arial"/>
          <w:sz w:val="18"/>
          <w:szCs w:val="18"/>
          <w:color w:val="auto"/>
        </w:rPr>
        <w:t>Dr. Anzalone, our CEO and President, is the founder, CEO and a board member of each of Nanotope, a regenerative medicine company in which the Company owns a 23% interest, and Leonardo, a drug delivery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which the Company owns a 4.9% interest. Dr. Anzalone owns a noncontrolling interest in the stock of each of Nanotope and Leonardo. To the extent that any of our directors choose to recuse themselves from particular Board actions to avoid a conflict of interest, the other members of our Board of Directors will have a greater influence on such decisions.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pertaining to the pharmaceutical industry are subject to additional risks.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subsidiary, Calando, as well as minority investments Nanotope and Leonardo, are focused on technology related to new and improved pharmaceutical candidates. Drug development is time 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necessary regulatory bodies, such as the U.S. Food and Drug Administration, may not approve our potential product for the intended use;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Additionally, clinical trials can take years to complete site selection and the enrollment of patients. If the subsidiaries’ technology is not cost effective or if the associated drug products do not achieve wide market acceptance, the value of a subsidiary would be materially and adversely affected.</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drugs developed by our subsidiaries may become subject to unfavorable pricing regulations, third-party reimbursement practices or healthcare reform initiatives, thereby harming our business.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Increasing expenditures for healthcare have been the subject of considerable public attention in the U.S. Both private and government entities are seeking ways to reduce or contain healthcare costs. Numerous proposals that would affect changes in the U.S. healthcare system have been introduced or proposed in Congress and in some state legislatures, including reductions in the cost of prescription products and changes in the levels at which consumers and healthcare providers are reimbursed for purchases of pharmaceutical products.</w:t>
      </w:r>
    </w:p>
    <w:p>
      <w:pPr>
        <w:spacing w:after="0" w:line="1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ability of Calando and our minority investments, Nanotope and Leonardo, to market products successfully (either on their own or in partnership with other companies) will depend in part on the extent to which third-party payers are willing to reimburse patients for the costs of their products and related treatments. These third-party payers include government authorities, private health insurers and other organizations, such as health maintenance organizations. Third party payers are increasingly challenging the prices charged for medical products and services. In addition, the trend toward managed healthcare and government insurance programs could result in lower prices and reduced demand for the products of these companies. Cost containment measures instituted by healthcare providers and any general healthcare reform could affect their ability to sell products and may have a material adverse effect on them, thereby diminishing the value of the Company’s interest in these subsidiaries or any anticipated milestone or royalty payments. We cannot predict the effect of future legislation or regulation concerning the healthcare industry and third party coverage and reimbursement on our business.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There may be a difference in the investment valuations that we used when making initial and subsequent investments in our subsidiaries and minority investments and actual market values.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investments in our subsidiaries and noncontrolling interests were the result of negotiation with subsidiary management and equity holders, and the investment valuations may not have been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there exist few comparable public companies to provide meaningful valuation comparisons. Accordingly, we have not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different than previously determined by us, which could materially and adversely impair the value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Unidym is unable to raise additional cash or pay its debts, Unidym may lose rights to critical intellectual property.</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Unidym is required to meet certain financial covenants pursuant its Rice University license agreement. The Rice license includes financial covenants tested quarterly for compliance. If Unidym fails to meet the financial covenants, the Rice license may terminate. If this should happen, the value of Unidym’s intellectual property portfolio would be significantly and adversely affected and Unidym would likely lose patent protection for its products and licensing opportunities for the majority of its CNT intellectual portfolio.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9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subsidiaries have licensed rights to pending patents and have filed and will continue to file patent applications. The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may decline.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ability to develop and commercialize products will depend on our ability to enforce our intellectual property rights and operate without infringing the proprietary rights of third parties.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and the ability of our subsidiaries to develop and commercialize products based on their respective patent portfolios, will depend, in part, on our ability and the ability of our subsidiaries to enforce those patents and operate without infringing the proprietary rights of third parties. There can be no assurance that any patents that may issue from patent applications owned or licensed by us or any of our subsidiaries will provide sufficient protection to conduct our respective businesses as presently conducted or as proposed to be conducted, or that we or our subsidiaries will remain free from infringement claims by third parties.</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Because the nanotechnology intellectual property landscape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or our subsidiaries, whether or not successful, may cause us to incur significant expenses and divert the attention of our management and key personnel from other business concerns. These could negatively affect our results of operations and prospects. There can also be no assurance that patents owned or licensed by us or our subsidiaries will not be challenged by others.</w:t>
      </w:r>
    </w:p>
    <w:p>
      <w:pPr>
        <w:spacing w:after="0" w:line="118"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technology licensed by our subsidiaries from various third parties may be subject to government rights and retained rights of the originating research institutions.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license technology from Caltech, Rice University,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be assured that the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export controls affecting our products are expanded, our business will be adversely affected.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federal government regulates the sale and shipment of numerous technologies by U.S. companies to foreign countries. Our subsidiaries may develop products that might be useful for military and antiterrorism activities. Accordingly, federal government export regulations could restrict sales of these products in other countries. If the federal government places burdensome export controls on our technology or products, our business would be materially and adversely affected. If the federal government determines that we have not complied with the applicable export regulations, we may face penalties in the form of fines or other punishment.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171"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Our certificate of incorporation authorizes the issuance of 145,000,000 shares of Common Stock and 5,000,000 shares of Preferred Stock, on such terms and at such prices as our Board of Directors may determine. As of September 30, 2010, 71,720,137 shares of Common Stock and no shares of Preferred Stock were issued and outstanding. As of September 30, 2010, 8,123,338 shares were reserved for issuance upon exercise of outstanding options. As of September 30, 2010, there were warrants outstanding to purchase 25,672,595 shares of Common Stock. The issuance of additional securities in financing transactions by us or through the exercise of options or warrants will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1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3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any extreme fluctuations in the market price of our Common Stock could result in the loss of all or part of your investment.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very limited, and the sale of a limited number of shares could cause the price to fall sharply.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our Common Stock is listed for trading on the NASDAQ Capital Market, our securities historically were relatively thinly traded. Investor trading pattern could serve to exacerbate the volatility of the price of the stock. For example, mandatory sales of our Common Stock by institutional holders could be triggered if an investment in our Common Stock no longer satisfies their investment standards and guidelines.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the Company, the trading price of our stock could be negatively impacted. In the event we obtain industry or security analyst coverage, if one or more of the analysts downgrade our stock or comment negatively on our prospects, our stock price would likely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9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securities class action litigation due to future stock price volatility.</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inherently unpredictable, and you should not plan on it occurring in the near future, if at all.</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Our corporate headquarters is located in Pasadena, California, and Unidym operates from a facility in Sunnyvale, California. The following table summarizes the company’s leased facilities: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Lab/Office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Monthly</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Lease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Space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Commencement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Arrowhead</w:t>
            </w: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Pasadena, CA</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7,388 sq ft</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$18,470</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March 1, 2006</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9"/>
              </w:rPr>
              <w:t>62 Months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Unidym</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ind w:left="440"/>
              <w:spacing w:after="0"/>
              <w:rPr>
                <w:sz w:val="20"/>
                <w:szCs w:val="20"/>
                <w:color w:val="auto"/>
              </w:rPr>
            </w:pPr>
            <w:r>
              <w:rPr>
                <w:rFonts w:ascii="Arial" w:cs="Arial" w:eastAsia="Arial" w:hAnsi="Arial"/>
                <w:sz w:val="18"/>
                <w:szCs w:val="18"/>
                <w:color w:val="auto"/>
              </w:rPr>
              <w:t>Sunnyvale, CA</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20,500 sq ft</w:t>
            </w: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$26,650</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October 1, 2008</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9"/>
              </w:rPr>
              <w:t>60 Months</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forth the high and low sales prices for a share of the Company’s Common Stock during each period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6"/>
              </w:rPr>
              <w:t>Fiscal Year Ended September 30,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Pr>
          <w:p>
            <w:pPr>
              <w:spacing w:after="0"/>
              <w:rPr>
                <w:sz w:val="12"/>
                <w:szCs w:val="12"/>
                <w:color w:val="auto"/>
              </w:rPr>
            </w:pPr>
          </w:p>
        </w:tc>
        <w:tc>
          <w:tcPr>
            <w:tcW w:w="11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$0.77</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2nd Quarter</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4th Quarter</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At December 13, 2010, an aggregate of 71,806,694 shares of the Company’s Common Stock were issued and outstanding, and were owned by 279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2010 or fiscal 2009.</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“Subsidiaries” refers collectively to Calando Pharmaceuticals, Inc. (“Calando”), Unidym, Inc. (“Unidym”), Agonn Systems, Inc. (“Agonn”) and Tego Biosciences Corporation (“Tego”), and (4) the term “Common Stock” refers to Arrowhead’s Common Stock and the term “stockholder(s)” refers to the holders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Arrowhead Research Corporation is a development stage nanotechnology holding company with an emphasis in nanomedicine. Since our inception, we have incurred significant losses as we fund our investments in early stage technologies. Historically, Arrowhead has relied upon issuances of capital stock to raise capital to fund operations, and we expect to continue to seek such investment going forward. Calando is currently conducting a Phase I clinical trial for its lead drug candidate, CALAA-01, an siRNA therapeutic based on RONDEL, Calando’s proprietary siRNA delivery system technology. We expect continued development in RONDEL and CALAA-01, as well as investing in future drug candidates. Arrowhead does not intend to independently fund clinical trials through submission of a New Drug Application for FDA approval, and is working to employ its partnering strategies intended to decrease costs and maximize the Company’s ability to bring products to market. Arrowhead has been focused on entering strategic partnering agreements for continued development of Calando and Unidym.</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associated with up-front license fees and research and development funding payments, under collaborative agreements, is recognized ratably over the relevant periods specified in the agreement, generally the research and development period. Revenue from substantive milestones and future product royalties is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Liabilities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account for warrants and other derivative financial instruments as either equity or liabilities based upon the characteristics and provisions of each instrument. Warrants classified as equity are recorded as additional paid-in capital on our consolidated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For example, a 50% change in the value of the Company’s stock price would affect the value of the derivative liability by approximately $1.4 million to $1.5 million, depending on other inputs.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Intellectual property consists of patents and patent applications internally developed, licensed from universities or other third parties or obtained through acquisition. Patents and patent applications are reviewed for impairment whenever events or circumstances indicate that the carrying amount may not be recoverable, and any impairment found is written off. Licensed or internally developed patents are amortized over the life of the patent. Purchased patents are amortized over three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had a net loss of $7.0 million for the year ended September 30, 2010, compared to a net loss of $19.3 million for the year ended September 30, 2009, a decrease of $12.3 million.</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decrease in the fiscal 2010 net loss versus the fiscal 2009 net loss was the result of a number of factors. During the second half of fiscal 2009 several cost reduction initiatives were undertaken to streamline operations and reduce costs. The number of employees at Arrowhead and its Subsidiaries decreased from an average of 43 employees during fiscal 2009 to an average of 19 employees during fiscal 2010. Altogether, research and development costs decreased $7.8 million, general and administrative costs decreased $1.4 million, consulting costs decreased $0.9 million, salary and salary-related costs decreased $2.6 million, and stock-based compensation decreased $1.1 million. Additionally, there was a non-cash gain of $1.8 million related to a derivative liability recorded in association with the June 2010 equity issuance (see Note 11 to the accompanying consolidated financial statements). These decreased expenses were partially offset by a decrease in revenue of $3.1 million.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Unidym began a cost reduction program during fiscal 2009 and reduced its operating expenses to a level which continued into fiscal 2010. Prior to 2009, Unidym was pursuing a business plan based on building a vertically integrated company that would manufacture both carbon nanotubes and carbon nanotube films. Due to the changes in the economic environment in late 2008, Unidym changed its manufacturing strategy to focus on the use of outside manufacturing availability rather than expand its internal capabilities. In line with this strategy, Unidym closed its Texas operations in January 2009, and reduced its Texas workforce. Unidym consolidated its Northern California operations into one facility in 2009 and also decreased the number of management and technical staff. This resulted in a reduction in personnel and other costs later in the year, and such cost reductions were maintained into 2010. Development costs at Unidym have been substantially reduced and the pace of development will depend on the cash resources and partnership opportunities available to Unidym.</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Calando also reduced expenses in fiscal 2009 due to a change in business strategy. Rather than incur the significant expense of running multiple clinical trials, Calando decided to seek partners for further development of its technology. Beginning in fiscal 2008 and continuing into fiscal 2009, Calando reduced its management and technical staff culminating with the closure of its lab facility in Pasadena, California in June 2009 after a partnership for one of its drug delivery technologies and its associated clinical candidate was signed, significantly reducing its costs. In fiscal 2008, the Phase I trial for CALAA-01 was initiated, and in fiscal 2009, significant expense was incurred for manufacture of the components for CALAA-02, preparation for an IND for CALAA-02 and the continuation of Calando’s clinical trials. Expenses in fiscal 2010 were primarily related to the Phase I clinical trials related to CALAA-01, but were somewhat limited as the accrual of patients was suspended for several months in 2010 as Calando developed a new stability assay. The enrollment of patients in the CALAA-01 clinical trial resumed in May 2010 and was in progress at the end of fiscal 2010. Continued clinical and preclinical development of Calando’s drug candidates will depend on the cash resources available to Calando.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generated revenue of $620,000 and $3,758,000 for the years ended September 30, 2010 and 2009, respectively. The revenue for the year ended September 30, 2010 was primarily related to Unidym’s sale of carbon nanotubes, CNT inks and CNT films, which accounted for approximately $415,000 in revenue. Revenue from license fees and royalties, primarily from Unidym, were $155,000, and other revenue was $50,000. These revenue compare to fiscal 2009 revenue which consisted of a license fee of $1,750,000 related to the license of IT-101 from Calando to Cerulean, the sale of approximately $678,000 in IT-101 inventory to Cerulean, $203,000 from grants to fund research for the development of carbon nanotube applications, $503,000 from license fees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applicable to Unidym technology, $602,000 from the sale and delivery of carbon nanotubes to third parties and $37,000 of collaboration services revenue. The primary reason for the reduction in revenue in fiscal 2010 is that the Company did not enter into any significant partnership agreements in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For purposes of comparison, the amounts for the years ended September 30, 2010 and 2009 are shown in the table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 - Fiscal 2010 compared to Fiscal 2009</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Arrowhead employs management, administrative and technical staff at the Arrowhead corporate offices and the Subsidiaries. Salary and wage expense consists of salary, benefits, and non-cash charges related to equity-based compensation from the issuance of stock options. Salary and benefits are allocated to two major categories: general and administrative compensation expense and research and development compensation expense depending on the primary activities of each employee. The following table provides details of salary and related expenses for fiscal 2010 and fiscal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16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 Ended</w:t>
            </w:r>
          </w:p>
        </w:tc>
        <w:tc>
          <w:tcPr>
            <w:tcW w:w="8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12"/>
                <w:szCs w:val="12"/>
                <w:color w:val="auto"/>
              </w:rPr>
            </w:pPr>
          </w:p>
        </w:tc>
        <w:tc>
          <w:tcPr>
            <w:tcW w:w="10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3"/>
              </w:rPr>
              <w:t>Expense</w:t>
            </w: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40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Category</w:t>
            </w:r>
          </w:p>
        </w:tc>
        <w:tc>
          <w:tcPr>
            <w:tcW w:w="16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400" w:type="dxa"/>
            <w:vAlign w:val="bottom"/>
          </w:tcPr>
          <w:p>
            <w:pPr>
              <w:spacing w:after="0"/>
              <w:rPr>
                <w:sz w:val="12"/>
                <w:szCs w:val="12"/>
                <w:color w:val="auto"/>
              </w:rPr>
            </w:pPr>
          </w:p>
        </w:tc>
        <w:tc>
          <w:tcPr>
            <w:tcW w:w="10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Category</w:t>
            </w: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 (1,401)</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w:t>
            </w:r>
          </w:p>
        </w:tc>
        <w:tc>
          <w:tcPr>
            <w:tcW w:w="4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(1,094)</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R&amp;D—compensation-related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(1,217)</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4,298</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8,010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 (3,712)</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reduced the number of employees across all its entities during fiscal 2009. Arrowhead and its subsidiaries employed 19 people at September 30, 2009, a reduction of 48 employees during fiscal 2009. During fiscal 2010, the headcount remained relatively flat, but cost reductions were realized for a full year in 2010, compared to a partial year in fiscal 2009. The employee reductions resulted from the change in business strategy at both Unidym and Calando as described above.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Research and development (R&amp;D) compensation-related expense decreased in fiscal 2010 compared to fiscal 2009 due primarily to Unidym’s reduction in research scientists and process engineers and the closure of Unidym’s Texas facility. Calando has also reduced laboratory personnel in connection with its decision in 2009 to license its small molecule platform and associated drug candidate and close its laboratory facility. Two Calando employees have been retained to manage the CALAA-01 clinical study and to facilitate the partnership arrangements for Calando’s technology.</w:t>
      </w:r>
    </w:p>
    <w:p>
      <w:pPr>
        <w:spacing w:after="0" w:line="113"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Stock-based compensation is a non-cash charge related to grant-date fair value of stock options, which is recognized over the vesting period. During fiscal year 2009, the number of options outstanding decreased as a result of options being cancelled following employee terminations. Also, in July 2009, 4,005,000 options issued to officers, directors and certain employees were cancelled to facilitate a financing by the Company in the fourth quarter of fiscal 2009. In total,</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5.6 million stock options were cancelled in fiscal 2009. These options had a weighted average exercise price of $3.88, and reduced expense considerably. During fiscal 2010, 5.3 million options were granted at a weighted average exercise price of $0.68, and a correspondingly lower fair value resulted in lower compensation expense in fiscal 2010.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 – Fiscal 2010 compared to Fiscal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general and administrative expenses for the fiscal years 2010 and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4"/>
                <w:szCs w:val="14"/>
                <w:color w:val="auto"/>
              </w:rPr>
            </w:pPr>
          </w:p>
        </w:tc>
        <w:tc>
          <w:tcPr>
            <w:tcW w:w="16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4"/>
              <w:spacing w:after="0" w:line="148" w:lineRule="exact"/>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2"/>
                <w:szCs w:val="12"/>
                <w:color w:val="auto"/>
              </w:rPr>
            </w:pPr>
          </w:p>
        </w:tc>
        <w:tc>
          <w:tcPr>
            <w:tcW w:w="9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 Ended</w:t>
            </w:r>
          </w:p>
        </w:tc>
        <w:tc>
          <w:tcPr>
            <w:tcW w:w="8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Category</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48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Category</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(772)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Recruiting/relocation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Patent expense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281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Business insurance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414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197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expenses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4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4,567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(1,384)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Professional/outside services include legal, accounting and other outside services retained by Arrowhead and its subsidiaries. All periods include normally occurring legal and accounting expenses related to SEC compliance and other corporate matters. Professional/outside services expense was $1,445,000 during the year ended September 30, 2010, compared to $2,217,000 in the comparable prior period. The decrease in professional fees primarily relates to a reduction in expenses at Arrowhead due to lower legal and printing fees, and lower fees at Calando, primarily due to the non-recurrence of expenses associated with a financing in the prior period. Additionally, the prior year included certain legal fees related to the licensing of IT-101 at Calando, which were not repeated. These reductions were somewhat offset by higher costs related to NASDAQ fees associated with increased shares outstanding.</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Recruiting/relocation fees were $18,000 during the year ended September 30, 2010, compared to $32,000 in the comparable prior period. Recruiting/relocation fees during in fiscal 2010 were related to relocation fees at Arrowhead, while costs in the prior year primarily related to relocation costs at Unidym. Recruiting and relocation expense in both periods was relatively insignificant as the company has not been actively recruiting new employees. These costs will vary depending on hiring needs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Patent expense was $401,000 during the year ended September 30, 2010, compared to $652,000 in the comparable prior period.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patent expense decreased at all entities with majority of the reduction relating to Calando and Unidym, which decreased $74,000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$88,000 respectively. Patent expense during the year ended September 30, 2009 was primarily related to patent costs at Calando of $320,000 prior to the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to Cerulean, and $237,000 at Unidym for patent costs related to Nanoconduction, which were not repeated. The Company expects to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 in patent protection as the Company extends and maintains protection for its current portfolios and files new patent applications as its product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improved. The cost will vary depending on the needs of the Company.</w:t>
      </w:r>
    </w:p>
    <w:p>
      <w:pPr>
        <w:spacing w:after="0" w:line="16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Facilities and related expense within general and administrative expenses primarily relate to rental costs associated with the Company’s headquarters in Pasadena, California. As there were no significant changes to the lease during fiscal 2010, expenses did not change significantly.</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Travel expense was $240,000 during the year ended September 30, 2010, compared to $387,000 in the comparable prior period. Travel expense includes recurring expenses related to travel by Company personnel to and from Company locations in Pasadena and Northern California. Travel expense is also incurred as the Company pursues business initiatives and collaborations throughout the world with other companies and for marketing, investor relations, fund raising and public relations purposes. During the year ended September 30, 2010, travel expense decreased $147,000, compared to the year ended September 30, 2009, primarily due to a reduction of travel costs at Unidym of $142,000 due to the reduction in the number of employees, mainly as a result of the closure of its Texas facility. Travel expenses can fluctuate from quarter to quarter and from year to year depending on current projects and activities.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Business insurance expense was $267,000 during the year ended September 30, 2010, compared to $414,000 in the comparable prior period. The decrease in the cost of business insurance is primarily related to a refund received in June 2010 of $55,000 at Calando related to an adjustment in clinical insurance costs from a previous year based on the number of enrolled patients. Also, business insurance is lower due to generally lower rates in insurance markets and a reduction in coverage for clinical trials with the termination of the Phase II clinical study for IT-101, and the reduction in the number of facilities at Unidym requiring insurance. This expense can fluctuate as a result of changes in the market and the status of clinical trials and other business operations.</w:t>
      </w:r>
    </w:p>
    <w:p>
      <w:pPr>
        <w:spacing w:after="0" w:line="116"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Depreciation expense was $85,000 during the year ended September 30, 2010, compared to $132,000 in the comparable prior period. The decrease in depreciation expense is primarily related to the closure of the Calando facility in 2009 and the disposal of the related fixtures, furniture and equipment.</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Communication and technology expense was $138,000 during the year ended September 30, 2010, compared to $197,000 in the comparable prior period. The decrease in communication and technology cost is due to lower technology consulting expense at Unidym due to the closure of its Texas facility, and generally lower telephone and software maintenance cost at Arrowhead and Calando.</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Office expense was $107,000 during the year ended September 30, 2010, compared to $168,000 in the comparable prior period. The reduction in office expense is primarily related to the closing of the facilities and the reduction in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 – Fiscal 2010 compared to Fiscal 2009</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Most of Arrowhead’s R&amp;D expenses for fiscal 2010 and fiscal 2009 were related to research and development activities by Arrowhead’s Subsidiaries. The following table provides details of R&amp;D expenses for fiscal 2010 and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 Ended</w:t>
            </w:r>
          </w:p>
        </w:tc>
        <w:tc>
          <w:tcPr>
            <w:tcW w:w="8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4"/>
              <w:spacing w:after="0" w:line="148" w:lineRule="exact"/>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2"/>
                <w:szCs w:val="12"/>
                <w:color w:val="auto"/>
              </w:rPr>
            </w:pPr>
          </w:p>
        </w:tc>
        <w:tc>
          <w:tcPr>
            <w:tcW w:w="8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4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Category</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4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Category</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(3,735)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(86)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 in process R&amp;D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(2,292)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1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(286)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related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Sponsored research</w:t>
            </w:r>
          </w:p>
        </w:tc>
        <w:tc>
          <w:tcPr>
            <w:tcW w:w="1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(162)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Depreciation-R&amp;D-related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(165)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(7,782)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Outside lab and services expense was $215,000 during the year ended September 30, 2010, compared to $3,950,000 in the comparable prior period. The decrease of $3,735,000 during the year is primarily related to the curtailment of certain outside lab services at Calando and, to a lesser extent, reduction of costs at Unidym. The reduction at Calando was a result of the advanced state of the IT-101 Phase I clinical trial, the decision to close the IT-101 Phase II clinical trials in connection with the agreement with Cerulean, completion of preparatory work for the CALAA-01 Phase I clinical trial and the suspension of development efforts for CALAA-02. During fiscal 2009, process development and preclinical expenses for Calando’s drug candidate CALAA-02, together with the clinical trial expenses for CALAA-01 (Phase I) and IT-101 (Phase I and II) totaled approximately $2.9 million. However, the expenses were significantly reduced by June 30, 2009 when the Calando facility was closed. Unidym’s R&amp;D expenses are also declining as a result of streamlining its R&amp;D effort and the closure of its production facility in Texas. Unidym continues to focus on the production and sale of CNT-based inks and is seeking to establish partnerships for both CNT production and coating of film. Outside laboratory &amp; contract services expenses will continue to fluctuate depending upon where a particular project is in its development, approval or trial process.</w:t>
      </w:r>
    </w:p>
    <w:p>
      <w:pPr>
        <w:spacing w:after="0" w:line="12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Licensing fees, milestones and royalties consist primarily of amounts paid by Unidym under the terms of its license agreement with Rice University and Calando for the license for siRNA targets from Alnylam, and licensing arrangements with Caltech. This expense decreased primarily due to reduced fees owed to Caltech, and also due to the nonrepeat of other one-time fees from fiscal 2009.</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fiscal 2009, purchased In-Process R&amp;D expense resulted from the exchange of Arrowhead stock for Unidym stock. As a result of these exchanges, Arrowhead increased its ownership position in Unidym. The purchased in-process research and development expense equals the estimated fair value of the Arrowhead stock issued to purchase Unidym shares from Unidym’s minority shareholders. Arrowhead’s purchase of the Unidym shares is accounted for as an additional Investment in Subsidiaries by Arrowhead. However, the additional investment by Arrowhead does not result in a corresponding increase in Unidym’s asset or capital accounts. The additional investment was expensed in consolidation as purchased in-process research and development in accordance with guidance by the FASB. This determination was made in light of the risks inherent in the technical development and the uncertainty of acceptance of Unidym’s products. Effective October 1, 2009, with the Company’s adoption of new guidance issued by the FASB, such transactions are no longer expensed, but are recorded as a part of equity.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Laboratory supplies and services expense was $9,000 during the year ended September 30, 2010, compared to $295,000 in the comparable prior period. Laboratory supplies and services consist primarily of materials, supplies and services consumed in the laboratory. The decrease in laboratory supplies and services expense was due to a reduction of $223,000 at Unidym due to the closure of the Texas facility, and a reduction of $60,000 at Calando due to the closure of its laboratory.</w:t>
      </w:r>
    </w:p>
    <w:p>
      <w:pPr>
        <w:spacing w:after="0" w:line="143" w:lineRule="exact"/>
        <w:rPr>
          <w:sz w:val="20"/>
          <w:szCs w:val="20"/>
          <w:color w:val="auto"/>
        </w:rPr>
      </w:pPr>
    </w:p>
    <w:p>
      <w:pPr>
        <w:jc w:val="both"/>
        <w:ind w:right="500" w:firstLine="456"/>
        <w:spacing w:after="0" w:line="370" w:lineRule="auto"/>
        <w:rPr>
          <w:sz w:val="20"/>
          <w:szCs w:val="20"/>
          <w:color w:val="auto"/>
        </w:rPr>
      </w:pPr>
      <w:r>
        <w:rPr>
          <w:rFonts w:ascii="Arial" w:cs="Arial" w:eastAsia="Arial" w:hAnsi="Arial"/>
          <w:sz w:val="15"/>
          <w:szCs w:val="15"/>
          <w:color w:val="auto"/>
        </w:rPr>
        <w:t>Facilities expense was $391,000 during the year ended September 30, 2010, compared to $1,225,000 in the comparable prior period. The decrease in facilities related expenses primarily related to the closure of Unidym’s Texas facilities and Menlo Park, California facility, as well as Calando’s lab facility.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Sponsored research expense was $33,000 during the year ended September 30, 2010, compared to $195,000 in the comparable prior period. Sponsored research expense decreased the year ended September 30, 2010, as compared to the prior year, due to lower funding to the research project at Duke University, the only sponsored research agreement currently in place.</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Depreciation expense was $254,000 during the year ended September 30, 2010, compared to $476,000 in the comparable prior period. The decrease in depreciation expense is primarily due to the disposal of laboratory equipment and leasehold improvements related to closure of Unidym’s and Calando’s laboratory facilities in fiscal 2009.</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sets forth the approximate amount of Arrowhead’s cash expenses for research and development projects at each Subsidiary for the periods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Project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Project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Project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expenses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expenses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Project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 / Project</w:t>
            </w:r>
          </w:p>
        </w:tc>
        <w:tc>
          <w:tcPr>
            <w:tcW w:w="2920" w:type="dxa"/>
            <w:vAlign w:val="bottom"/>
            <w:gridSpan w:val="2"/>
          </w:tcPr>
          <w:p>
            <w:pPr>
              <w:jc w:val="center"/>
              <w:ind w:left="1937"/>
              <w:spacing w:after="0"/>
              <w:rPr>
                <w:sz w:val="20"/>
                <w:szCs w:val="20"/>
                <w:color w:val="auto"/>
              </w:rPr>
            </w:pPr>
            <w:r>
              <w:rPr>
                <w:rFonts w:ascii="Arial" w:cs="Arial" w:eastAsia="Arial" w:hAnsi="Arial"/>
                <w:sz w:val="14"/>
                <w:szCs w:val="14"/>
                <w:b w:val="1"/>
                <w:bCs w:val="1"/>
                <w:color w:val="auto"/>
                <w:w w:val="83"/>
              </w:rPr>
              <w:t>2010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 Pharmaceuticals, Inc. / CALAA-01 &amp; IT 101</w:t>
            </w:r>
          </w:p>
        </w:tc>
        <w:tc>
          <w:tcPr>
            <w:tcW w:w="3060" w:type="dxa"/>
            <w:vAlign w:val="bottom"/>
            <w:gridSpan w:val="3"/>
            <w:shd w:val="clear" w:color="auto" w:fill="CCEEFF"/>
          </w:tcPr>
          <w:p>
            <w:pPr>
              <w:jc w:val="center"/>
              <w:ind w:left="1797"/>
              <w:spacing w:after="0"/>
              <w:rPr>
                <w:sz w:val="20"/>
                <w:szCs w:val="20"/>
                <w:color w:val="auto"/>
              </w:rPr>
            </w:pPr>
            <w:r>
              <w:rPr>
                <w:rFonts w:ascii="Arial" w:cs="Arial" w:eastAsia="Arial" w:hAnsi="Arial"/>
                <w:sz w:val="18"/>
                <w:szCs w:val="18"/>
                <w:color w:val="auto"/>
                <w:w w:val="98"/>
              </w:rPr>
              <w:t>$1.2 Million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$ 41.3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Unidym, Inc. / Thin Film Carbon Nanotubes</w:t>
            </w:r>
          </w:p>
        </w:tc>
        <w:tc>
          <w:tcPr>
            <w:tcW w:w="3060" w:type="dxa"/>
            <w:vAlign w:val="bottom"/>
            <w:gridSpan w:val="3"/>
          </w:tcPr>
          <w:p>
            <w:pPr>
              <w:jc w:val="center"/>
              <w:ind w:left="1797"/>
              <w:spacing w:after="0"/>
              <w:rPr>
                <w:sz w:val="20"/>
                <w:szCs w:val="20"/>
                <w:color w:val="auto"/>
              </w:rPr>
            </w:pPr>
            <w:r>
              <w:rPr>
                <w:rFonts w:ascii="Arial" w:cs="Arial" w:eastAsia="Arial" w:hAnsi="Arial"/>
                <w:sz w:val="18"/>
                <w:szCs w:val="18"/>
                <w:color w:val="auto"/>
                <w:w w:val="98"/>
              </w:rPr>
              <w:t>$3.8 Million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$ 29.9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of all listed Subsidiaries</w:t>
            </w:r>
          </w:p>
        </w:tc>
        <w:tc>
          <w:tcPr>
            <w:tcW w:w="3060" w:type="dxa"/>
            <w:vAlign w:val="bottom"/>
            <w:gridSpan w:val="3"/>
            <w:shd w:val="clear" w:color="auto" w:fill="CCEEFF"/>
          </w:tcPr>
          <w:p>
            <w:pPr>
              <w:jc w:val="center"/>
              <w:ind w:left="1797"/>
              <w:spacing w:after="0"/>
              <w:rPr>
                <w:sz w:val="20"/>
                <w:szCs w:val="20"/>
                <w:color w:val="auto"/>
              </w:rPr>
            </w:pPr>
            <w:r>
              <w:rPr>
                <w:rFonts w:ascii="Arial" w:cs="Arial" w:eastAsia="Arial" w:hAnsi="Arial"/>
                <w:sz w:val="18"/>
                <w:szCs w:val="18"/>
                <w:color w:val="auto"/>
                <w:w w:val="98"/>
              </w:rPr>
              <w:t>$5.0 Million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13.5</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$ 71.2 Million</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fiscal 2010, consulting fees and related travel totaled approximately $514,000. Fiscal 2009 consulting fees were $1,461,000, $945,000 of which related to Calando and was primarily related to consulting for clinical trials which was significantly reduced in fiscal 2010. With the completion of the Phase II trial for IT-101 and its ultimate licensing to a third party for development, consulting for clinical studies has decreased significantly. Consulting expense at Unidym decreased by $154,000 primarily due to elimination of consultants associated with the closure of the Texas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income increased from $416,000 in fiscal 2009 to $1,418,000 in fiscal 2010. The main reason for the increase was due to a gain recorded on the change in the value of derivative liabilities. This was driven by a decrease in the value of derivative liabilities related to warrants issued in June 2010, that contain antidilution protection (see Note 11 – Fair Value Measurements &amp; Derivative Instruments). These warrants decreased in value between the date of their issuance and September 30, 2010 primarily due to the decrease in Arrowhead stock price which resulted in a lower fair value of the derivative liability and a gain of $1.7 million during the year ended September 30, 2010. This gain was partially offset by the non-recurrence of a one-time gain from the sale of our equity interests in Ensysce BioSciences, Inc., which occurred in fiscal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Development activities at our Subsidiaries, in particular Calando and Unidym, has required significant capital investment since the Company’s inception in 2003 and is expected to continue to require significant cash investment in fiscal 2011 to continue development.</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At September 30, 2010, Arrowhead had cash on hand of approximately $6.8 million on a consolidated basis. Cash and cash equivalents increased during the 2010 fiscal year by $4.8 million to $6.8 million at September 30, 2010 from $2.0 million at September 30, 2009.</w:t>
      </w:r>
    </w:p>
    <w:p>
      <w:pPr>
        <w:spacing w:after="0" w:line="8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Cash used in operating activities was $7.6 million, which represents the on-going expenses of Arrowhead and its Subsidiaries. Cash outlays were primarily composed of the following: salary costs were $2.7 million, general and administrative costs were $3.0 million, research and development costs were $0.9 million and consulting costs were $0.6 million. Approximately $0.4 million was used in the funding of working capital, primarily due to the reduction of accounts payable balances. Finally, $0.7 million was used to fund operating expenses at Arrowhead’s two minority interest companies, Nanotope and Leonardo. It is expected that these funds will be repaid, or converted to equity in the future. Cash expenses were partially offset by cash received from revenues of $0.7 million.</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Cash provided from financing activities was $12.0 million. As further described below, there were two significant equity financings during fiscal 2010 with total net proceeds of $11.1 million. In addition, warrants were exercised during the year which yielded proceeds of $1.1 million. Proceeds from financing activities also include $0.6 million related to cash investments in Unidym. Finally, payments on capital lease obligations were $0.7 million.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flow from discontinued operations was $0.4 million, related to the sale of the Company’s intellectual property assets of Tego Biosciences to Luna Innovations Inc. The Company’s operation of Tego has ceased, however the asset purchase agreement with Luna Innovations, Inc. allows for certain royalties and milestone payments.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strategic plan includes focusing on near term revenue opportunities, conserving cash and seeking sources of new capital. To execute this plan, the Company will seek to accomplish one or more of the following on favorable terms: the out-license of technology, sale of a subsidiary, sale of non-core assets, funded joint development or partnership arrangements and sale of securities. The Company is actively involved in discussions with third parties regarding several of these alternatives. However, until such time as one or more of these efforts can be accomplished, the Company will continue to conserve cash while investing in its core operations.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management anticipates that the Company will be able to satisfy the cash requirements of its operations through at least the next twelve months with current cash resources. The Company anticipates that further equity financings, and/or asset sales and license agreements will be necessary to continue to fund operations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 Activity: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11, 2009, the Company sold an aggregate of 5,083,430 units in a private placement transaction with accredited investors. Each unit consisted of one share of Arrowhead Common Stock and a warrant to purchase an additional share of Common Stock exercisable at $0.509 per share. The unit price was $0.634, based upon the closing bid price on the Company’s Common Stock on December 11, 2009, which was $0.509, plus $0.125 for the purchase of the warrant. The warrants became exercisable on June 12, 2010 and remain exercisable until December 11, 2014. The redemption feature provided for in the warrants has been met and may be called for redemption by the Company beginning on December 12, 2010. Gross proceeds of the offering were approximately $3.2 million.</w:t>
      </w:r>
    </w:p>
    <w:p>
      <w:pPr>
        <w:spacing w:after="0" w:line="144"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June 17, 2010, the Company executed definitive agreements for a private placement offering with certain institutional and accredited investors, by which the Company sold 6,592,989 units consisting of one share of the Company’s common stock and a warrant to purchase 0.5 shares of Common Stock, exercisable at $1.65 per share. The unit price was $1.312 per unit. The warrants become exercisable on December 22, 2010 and remain exercisable until December 22, 2015. The Company received gross proceeds of approximately $8.7 million, and net proceeds of approximately $7.9 million, after deduction of placement agent commissions and offering fees and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we did not have any off-balance sheet arrangements, as defined in Item 303(a)(4)(ii) of SEC Regulation S-K.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Item 15 of this Annual Report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2010. In conducting its evaluation, management used the framework set forth in Internal Control—Integrated Framework issued by the Committee of Sponsoring Organizations of the Treadway Commission (COSO). Based on our evaluation under such framework, management has concluded that our internal control over financial reporting was effective as of September 30,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2010,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names and ages of our directors serving as of September 30, 2010 are provided below. Directors are elected annually for a one year term. Biographical information regarding these officers is set forth under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180" w:type="dxa"/>
            <w:vAlign w:val="bottom"/>
          </w:tcPr>
          <w:p>
            <w:pPr>
              <w:spacing w:after="0"/>
              <w:rPr>
                <w:sz w:val="18"/>
                <w:szCs w:val="18"/>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78"/>
              </w:rPr>
              <w:t>41</w:t>
            </w:r>
          </w:p>
        </w:tc>
        <w:tc>
          <w:tcPr>
            <w:tcW w:w="30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460" w:type="dxa"/>
            <w:vAlign w:val="bottom"/>
          </w:tcPr>
          <w:p>
            <w:pPr>
              <w:spacing w:after="0"/>
              <w:rPr>
                <w:sz w:val="20"/>
                <w:szCs w:val="20"/>
                <w:color w:val="auto"/>
              </w:rPr>
            </w:pPr>
            <w:r>
              <w:rPr>
                <w:rFonts w:ascii="Arial" w:cs="Arial" w:eastAsia="Arial" w:hAnsi="Arial"/>
                <w:sz w:val="18"/>
                <w:szCs w:val="18"/>
                <w:color w:val="auto"/>
              </w:rPr>
              <w:t>R. Bruce Stewart</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72</w:t>
            </w:r>
          </w:p>
        </w:tc>
        <w:tc>
          <w:tcPr>
            <w:tcW w:w="500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Mauro Ferrari</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51</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Edward W. Frykman</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74</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Douglass Given (1)</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58</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Charles P. McKenney</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72</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Douglass Given was appointed to the Board of Directors on November 23, 2010</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 formed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CEO of the Benet Group LLC,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remains CEO of Nanotope. Prior to his tenure at Benet Group, from 1999 until 2003, he was a partner at the Washington, DC-based private equity firm Galway Partners, LLC, where he was in charge of sourcing, structuring, and building new business ventures and was founding CEO of NanoInk, Inc., a leading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nanotechnology, biotechnology, company-building and venture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We believe Mr. Stewart’s qualifications to serve on the Board includes his long tenure as Chief Executive Officer and as a member of the Board during which time he gained an extensive understanding of the Company’s operations, strategy and finances, as well as his extensive experience in the field of finance.</w:t>
      </w:r>
    </w:p>
    <w:p>
      <w:pPr>
        <w:spacing w:after="0" w:line="11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Dr. Mauro Ferrari </w:t>
      </w:r>
      <w:r>
        <w:rPr>
          <w:rFonts w:ascii="Arial" w:cs="Arial" w:eastAsia="Arial" w:hAnsi="Arial"/>
          <w:sz w:val="16"/>
          <w:szCs w:val="16"/>
          <w:color w:val="auto"/>
        </w:rPr>
        <w:t>was appointed to the Arrowhead Board of Directors in 2010. Dr. Ferrari is the President and CEO of The Methodist Hospital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(TMHRI).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in the development of the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720"/>
        <w:spacing w:after="0" w:line="300" w:lineRule="auto"/>
        <w:rPr>
          <w:sz w:val="20"/>
          <w:szCs w:val="20"/>
          <w:color w:val="auto"/>
        </w:rPr>
      </w:pPr>
      <w:r>
        <w:rPr>
          <w:rFonts w:ascii="Arial" w:cs="Arial" w:eastAsia="Arial" w:hAnsi="Arial"/>
          <w:sz w:val="15"/>
          <w:szCs w:val="15"/>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 We believe</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Douglass Given</w:t>
      </w:r>
      <w:r>
        <w:rPr>
          <w:rFonts w:ascii="Arial" w:cs="Arial" w:eastAsia="Arial" w:hAnsi="Arial"/>
          <w:sz w:val="18"/>
          <w:szCs w:val="18"/>
          <w:color w:val="auto"/>
        </w:rPr>
        <w:t>, MD, PhD, MBA, is an Investment Partner at Bay City Capital and has been with the firm since October 2000. He was formerly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the Chairman of VIA Pharmaceuticals, and Chairman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w:t>
      </w:r>
    </w:p>
    <w:p>
      <w:pPr>
        <w:spacing w:after="0" w:line="13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We believe Mr. McKenney’s qualifications to serve on the Board include his long tenure as a member of the Board resulting in a deep understanding in the Company’s operations, strategy and finances. Mr. McKenney also has extensive experience providing strategic legal and advisory services to developmental stage organizations.</w:t>
      </w:r>
    </w:p>
    <w:p>
      <w:pPr>
        <w:spacing w:after="0" w:line="1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names and ages of our executive officers and the positions held by each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300" w:type="dxa"/>
            <w:vAlign w:val="bottom"/>
            <w:gridSpan w:val="2"/>
          </w:tcPr>
          <w:p>
            <w:pPr>
              <w:ind w:left="280"/>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41</w:t>
            </w:r>
          </w:p>
        </w:tc>
        <w:tc>
          <w:tcPr>
            <w:tcW w:w="28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460" w:type="dxa"/>
            <w:vAlign w:val="bottom"/>
          </w:tcPr>
          <w:p>
            <w:pPr>
              <w:spacing w:after="0"/>
              <w:rPr>
                <w:sz w:val="20"/>
                <w:szCs w:val="20"/>
                <w:color w:val="auto"/>
              </w:rPr>
            </w:pPr>
            <w:r>
              <w:rPr>
                <w:rFonts w:ascii="Arial" w:cs="Arial" w:eastAsia="Arial" w:hAnsi="Arial"/>
                <w:sz w:val="18"/>
                <w:szCs w:val="18"/>
                <w:color w:val="auto"/>
              </w:rPr>
              <w:t>R. Bruce Stewart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rPr>
              <w:t>Executive Chairman of the Board</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Kenneth A. Myszkowski</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Mark Tilley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rPr>
              <w:t>President &amp; CEO, Unidym, Inc.</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John Miller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rPr>
              <w:t>Vice President, Business Development</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Christopher Anzalone </w:t>
      </w:r>
      <w:r>
        <w:rPr>
          <w:rFonts w:ascii="Arial" w:cs="Arial" w:eastAsia="Arial" w:hAnsi="Arial"/>
          <w:sz w:val="18"/>
          <w:szCs w:val="18"/>
          <w:color w:val="auto"/>
        </w:rPr>
        <w:t>(see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Bruce Stewart </w:t>
      </w:r>
      <w:r>
        <w:rPr>
          <w:rFonts w:ascii="Arial" w:cs="Arial" w:eastAsia="Arial" w:hAnsi="Arial"/>
          <w:sz w:val="18"/>
          <w:szCs w:val="18"/>
          <w:color w:val="auto"/>
        </w:rPr>
        <w:t>(see Board of Directors)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 controller for</w:t>
      </w:r>
      <w:r>
        <w:rPr>
          <w:rFonts w:ascii="Arial" w:cs="Arial" w:eastAsia="Arial" w:hAnsi="Arial"/>
          <w:sz w:val="16"/>
          <w:szCs w:val="16"/>
          <w:b w:val="1"/>
          <w:bCs w:val="1"/>
          <w:color w:val="auto"/>
        </w:rPr>
        <w:t xml:space="preserve"> </w:t>
      </w:r>
      <w:r>
        <w:rPr>
          <w:rFonts w:ascii="Arial" w:cs="Arial" w:eastAsia="Arial" w:hAnsi="Arial"/>
          <w:sz w:val="16"/>
          <w:szCs w:val="16"/>
          <w:color w:val="auto"/>
        </w:rPr>
        <w:t>Broadwind Energy, a public energy company which provides products and services to the wind energy industry. Previous to his position at Broadwind,</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Myszkowski was controller for Epcor USA, the U.S. headquarters for Epcor Utilities, Inc., a public energy company. Prior to Epcor, 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Mark Tilley, </w:t>
      </w:r>
      <w:r>
        <w:rPr>
          <w:rFonts w:ascii="Arial" w:cs="Arial" w:eastAsia="Arial" w:hAnsi="Arial"/>
          <w:sz w:val="18"/>
          <w:szCs w:val="18"/>
          <w:color w:val="auto"/>
        </w:rPr>
        <w:t>President and Chief Executive Officer, Unidym, a majority-owned subsidiary of the Company. Prior to joining Arrowhead, he spent 9 years at DSM</w:t>
      </w:r>
      <w:r>
        <w:rPr>
          <w:rFonts w:ascii="Arial" w:cs="Arial" w:eastAsia="Arial" w:hAnsi="Arial"/>
          <w:sz w:val="18"/>
          <w:szCs w:val="18"/>
          <w:b w:val="1"/>
          <w:bCs w:val="1"/>
          <w:color w:val="auto"/>
        </w:rPr>
        <w:t xml:space="preserve"> </w:t>
      </w:r>
      <w:r>
        <w:rPr>
          <w:rFonts w:ascii="Arial" w:cs="Arial" w:eastAsia="Arial" w:hAnsi="Arial"/>
          <w:sz w:val="18"/>
          <w:szCs w:val="18"/>
          <w:color w:val="auto"/>
        </w:rPr>
        <w:t>N.V.; a Netherlands-based specialty performance materials and life sciences company. Most recently, he served as Senior Investment Manager with DSM’s Corporate Venturing Arm and served on the boards of CreAgri, Novomer, Van Technologies, Harland Medical Systems and InMat. Prior to his work with DSM Ventures, Dr. Tilley was Vice President of Research and Business Development for DSM Desotech, an operating division of DSM that is the global market leader in fiber optic coatings and stereo lithographic resins. During his tenure, he led marketing and technical teams, and built a nano-enabled flat panel displays materials business that was acquired by JSR in 2005. Dr. Tilley also co-founded Kriya Materials B.V., a venture capital backed nano-materials and coatings company based in the Netherlands.</w:t>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John Miller, </w:t>
      </w:r>
      <w:r>
        <w:rPr>
          <w:rFonts w:ascii="Arial" w:cs="Arial" w:eastAsia="Arial" w:hAnsi="Arial"/>
          <w:sz w:val="18"/>
          <w:szCs w:val="18"/>
          <w:color w:val="auto"/>
        </w:rPr>
        <w:t>Vice President, Business Development joined Arrowhead in May 2004 and has been instrumental in monitoring the intellectual property landscape</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licensing patents held by Arrowhead and its subsidiaries, as well as identifying and developing new business ideas for Arrowhead. Mr. Miller founded NanoPolaris (now Unidym) and guided its development through the acquisition of three nanotechnology companies.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John is a member of the California bar and federal courts in the Northern District of California. He graduated Order of the Coif from Stanford Law School.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2010, all of its officers, directors and significant stockholders complied with all applicable filing requirements under Section 16(a) except as follows: Form 3 for Ken Myszkowski was not filed timely to report his initial ownership position when he was appointed Chief Financial Officer of the Company, and Form 4s for Edward W. Frykman, Leroy T. Rahn and Charles P. McKenney were not filed timely for automatic director grants on June 16,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adopted a code of conduct that applies to our Chief Executive Officer, Chief Financial Officer, and to all of our other officers, directors and employees. The code of conduct is available at the Corporate Governance section of the Investor Relations page on our website at www.arrowheadresearch.com. Any waivers from or amendments to the code of conduct, if any, will be posted on our website.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Audit Committee of the Board is currently comprised of three directors and operates under a written charter adopted by the Board. The members of the Audit Committee are Edward W. Frykman, Charles P. McKenney and Douglass Given. All members of the Audit Committee are “independent,” as defined in Rule 10A-3 under the Exchange Act and Rule 4200(a)(14) of the NASDAQ Marketplace Rules, and financially literate. The Board has determined that Mr. Frykman is an “audit committee financial expert” in accordance with the applicable regulations.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2010 and fiscal 2009 by our Chief Executive Officer, and our two most highly paid executive officers serving the Company as of September 30, 2010.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Bonus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8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Christopher Anzalone</w:t>
            </w:r>
          </w:p>
        </w:tc>
        <w:tc>
          <w:tcPr>
            <w:tcW w:w="36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400,000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5"/>
              </w:rPr>
              <w:t>307,133</w:t>
            </w:r>
          </w:p>
        </w:tc>
        <w:tc>
          <w:tcPr>
            <w:tcW w:w="1120" w:type="dxa"/>
            <w:vAlign w:val="bottom"/>
            <w:gridSpan w:val="2"/>
            <w:shd w:val="clear" w:color="auto" w:fill="CCEEFF"/>
          </w:tcPr>
          <w:p>
            <w:pPr>
              <w:jc w:val="center"/>
              <w:ind w:left="139"/>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707,133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394,485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967,296</w:t>
            </w:r>
          </w:p>
        </w:tc>
        <w:tc>
          <w:tcPr>
            <w:tcW w:w="11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1,316,781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Ken Myszkowski</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185,096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27,419</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36,520</w:t>
            </w:r>
          </w:p>
        </w:tc>
        <w:tc>
          <w:tcPr>
            <w:tcW w:w="1120" w:type="dxa"/>
            <w:vAlign w:val="bottom"/>
            <w:gridSpan w:val="2"/>
          </w:tcPr>
          <w:p>
            <w:pPr>
              <w:jc w:val="center"/>
              <w:ind w:left="99"/>
              <w:spacing w:after="0"/>
              <w:rPr>
                <w:sz w:val="20"/>
                <w:szCs w:val="20"/>
                <w:color w:val="auto"/>
              </w:rPr>
            </w:pPr>
            <w:r>
              <w:rPr>
                <w:rFonts w:ascii="Arial" w:cs="Arial" w:eastAsia="Arial" w:hAnsi="Arial"/>
                <w:sz w:val="18"/>
                <w:szCs w:val="18"/>
                <w:color w:val="auto"/>
                <w:w w:val="84"/>
              </w:rPr>
              <w:t>1,731</w:t>
            </w:r>
          </w:p>
        </w:tc>
        <w:tc>
          <w:tcPr>
            <w:tcW w:w="760" w:type="dxa"/>
            <w:vAlign w:val="bottom"/>
          </w:tcPr>
          <w:p>
            <w:pPr>
              <w:jc w:val="right"/>
              <w:spacing w:after="0"/>
              <w:rPr>
                <w:sz w:val="20"/>
                <w:szCs w:val="20"/>
                <w:color w:val="auto"/>
              </w:rPr>
            </w:pPr>
            <w:r>
              <w:rPr>
                <w:rFonts w:ascii="Arial" w:cs="Arial" w:eastAsia="Arial" w:hAnsi="Arial"/>
                <w:sz w:val="18"/>
                <w:szCs w:val="18"/>
                <w:color w:val="auto"/>
              </w:rPr>
              <w:t>250,766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139"/>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Tilley</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192,000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43,522</w:t>
            </w:r>
          </w:p>
        </w:tc>
        <w:tc>
          <w:tcPr>
            <w:tcW w:w="112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4"/>
              </w:rPr>
              <w:t>1,538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CEO of Unidym, Inc.</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170,665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112,054</w:t>
            </w:r>
          </w:p>
        </w:tc>
        <w:tc>
          <w:tcPr>
            <w:tcW w:w="11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named executive officer. Instead, the amounts are shown are the compensation cost recognized by the Company, as determined pursuant to FASB guidance. The assumptions used to calculate the value of the stock underlying the option awards are set forth in Note 10 of the Notes to the Consolidated Financial Statements attached hereto.</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1"/>
                <w:szCs w:val="11"/>
                <w:color w:val="auto"/>
              </w:rPr>
            </w:pPr>
          </w:p>
        </w:tc>
        <w:tc>
          <w:tcPr>
            <w:tcW w:w="13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36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Options (#)</w:t>
            </w: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3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Christopher Anzalone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6/11/2018</w:t>
            </w:r>
          </w:p>
        </w:tc>
      </w:tr>
      <w:tr>
        <w:trPr>
          <w:trHeight w:val="216"/>
        </w:trPr>
        <w:tc>
          <w:tcPr>
            <w:tcW w:w="36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499,884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626,616</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10/8/2019</w:t>
            </w:r>
          </w:p>
        </w:tc>
      </w:tr>
      <w:tr>
        <w:trPr>
          <w:trHeight w:val="216"/>
        </w:trPr>
        <w:tc>
          <w:tcPr>
            <w:tcW w:w="36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422,437</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36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489,583</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0.99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Ken Myszkowski</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205,732</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11/16/19</w:t>
            </w:r>
          </w:p>
        </w:tc>
      </w:tr>
      <w:tr>
        <w:trPr>
          <w:trHeight w:val="216"/>
        </w:trPr>
        <w:tc>
          <w:tcPr>
            <w:tcW w:w="36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36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117,500</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Mark Tilley</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Pr>
          <w:p>
            <w:pPr>
              <w:spacing w:after="0"/>
              <w:rPr>
                <w:sz w:val="18"/>
                <w:szCs w:val="18"/>
                <w:color w:val="auto"/>
              </w:rPr>
            </w:pP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10/23/2018</w:t>
            </w:r>
          </w:p>
        </w:tc>
      </w:tr>
      <w:tr>
        <w:trPr>
          <w:trHeight w:val="216"/>
        </w:trPr>
        <w:tc>
          <w:tcPr>
            <w:tcW w:w="36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78,431</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10/8/2019</w:t>
            </w:r>
          </w:p>
        </w:tc>
      </w:tr>
      <w:tr>
        <w:trPr>
          <w:trHeight w:val="216"/>
        </w:trPr>
        <w:tc>
          <w:tcPr>
            <w:tcW w:w="36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36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117,500</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8/16/2020</w:t>
            </w:r>
          </w:p>
        </w:tc>
      </w:tr>
      <w:tr>
        <w:trPr>
          <w:trHeight w:val="363"/>
        </w:trPr>
        <w:tc>
          <w:tcPr>
            <w:tcW w:w="3600" w:type="dxa"/>
            <w:vAlign w:val="bottom"/>
          </w:tcPr>
          <w:p>
            <w:pPr>
              <w:spacing w:after="0"/>
              <w:rPr>
                <w:sz w:val="24"/>
                <w:szCs w:val="24"/>
                <w:color w:val="auto"/>
              </w:rPr>
            </w:pPr>
          </w:p>
        </w:tc>
        <w:tc>
          <w:tcPr>
            <w:tcW w:w="3020" w:type="dxa"/>
            <w:vAlign w:val="bottom"/>
          </w:tcPr>
          <w:p>
            <w:pPr>
              <w:jc w:val="right"/>
              <w:ind w:right="732"/>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right="400" w:hanging="452"/>
        <w:spacing w:after="0" w:line="37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option awards were granted under the 2000 Stock Option Plan or the 2004 Equity Incentive Plan of the Company. Options are priced at the market closing price on the day of the award. Options have various vesting parameters, but generally vest within 48 months or less after the award is granted.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receive an automatic grant of non-qualified stock options to purchase 40,000 shares of common stock upon re-election each year. Dr. Ferrari has waived his right to cash compensation and has waived his right to received stock option grants. The following table sets forth the total compensation paid to our non-employee directors in fiscal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Fee Earned</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or</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 (1)</w:t>
            </w:r>
          </w:p>
        </w:tc>
        <w:tc>
          <w:tcPr>
            <w:tcW w:w="1000" w:type="dxa"/>
            <w:vAlign w:val="bottom"/>
            <w:gridSpan w:val="2"/>
          </w:tcPr>
          <w:p>
            <w:pPr>
              <w:jc w:val="center"/>
              <w:ind w:left="336"/>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37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$37,718</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$57,718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Leroy Rahn (4)</w:t>
            </w:r>
          </w:p>
        </w:tc>
        <w:tc>
          <w:tcPr>
            <w:tcW w:w="37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w w:val="86"/>
              </w:rPr>
              <w:t>$37,718</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w w:val="86"/>
              </w:rPr>
              <w:t>$57,718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37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$40,181</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$60,181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37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w w:val="86"/>
              </w:rPr>
              <w:t>$35,771</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w w:val="86"/>
              </w:rPr>
              <w:t>$35,771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 (5)</w:t>
            </w:r>
          </w:p>
        </w:tc>
        <w:tc>
          <w:tcPr>
            <w:tcW w:w="37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non-employee director received $5,000 per quarter for his service as a director. There are no additional payments for being a member of a committee. Mr. Ferrari and Mr. Given have declined to receive cash compensation.</w:t>
      </w:r>
    </w:p>
    <w:p>
      <w:pPr>
        <w:jc w:val="both"/>
        <w:ind w:left="460" w:right="1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directors. Instead, the amounts shown are the fair value recognized by the Company in fiscal 2010 for option awards as determined pursuant to FASB guidance. The assumptions used to calculate the value of option awards are set forth under Note 10 to the Consolidated Financial Statements attached hereto.</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 option grant to non-employee directors vest one year from date of grant. At September 30, 2010, Mr. Frykman had outstanding option grants to purchase 265,000 shares at prices ranging from $0.49 to $2.02; Mr. Rahn had outstanding option grants to purchase 265,000 shares at prices ranging from $0.49 to $2.02; Mr. McKenney has outstanding option grants to purchase 240,000 shares at prices ranging from $0.49 to $2.02; and Mr. Ferrari had outstanding option grants to purchase 248,438 shares at prices ranging from $0.96 to $2.87.</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Rahn resigned as a director of the Company on August 17,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Given was appointed to the Board of Directors on November 23,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November 30, 2010, by (i) each of the named executive officers named in the table under “Executive Compensation and Related Information,” (ii) each director, (iii) all current directors and executive officers as a group, and (iv) the sole holder of greater than 5% of our total shares outstanding known to us. The persons and entities named in the table have sole voting and investment power with respect to all shares beneficially owned, subject to community property laws, where applicable and the address of each stockholder is c/o Arrowhead Research Corporation, 201 South Lake Avenue, Suite 703, Pasadena, California 91101.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Number and Percentage of Shares Beneficially</w:t>
            </w:r>
          </w:p>
        </w:tc>
      </w:tr>
      <w:tr>
        <w:trPr>
          <w:trHeight w:val="161"/>
        </w:trPr>
        <w:tc>
          <w:tcPr>
            <w:tcW w:w="7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w w:val="97"/>
              </w:rPr>
              <w:t>Owned (1)</w:t>
            </w:r>
          </w:p>
        </w:tc>
      </w:tr>
      <w:tr>
        <w:trPr>
          <w:trHeight w:val="142"/>
        </w:trPr>
        <w:tc>
          <w:tcPr>
            <w:tcW w:w="780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9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Beneficial Owners</w:t>
            </w: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M. Robert Ching (2)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7,108,863</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R. Bruce Stewart (3)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1,107,794</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Chris Anzalone (4)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1,647,376</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Kenneth Myszkowski (5)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123,433</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 Tilley (6)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174,097</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Edward Frykman (7)</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234,684</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Charles McKenney (8)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135,300</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Leroy Rahn (9)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164,684</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Mauro Ferrari (10)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267,948</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800" w:type="dxa"/>
            <w:vAlign w:val="bottom"/>
          </w:tcPr>
          <w:p>
            <w:pPr>
              <w:ind w:left="440"/>
              <w:spacing w:after="0"/>
              <w:rPr>
                <w:sz w:val="20"/>
                <w:szCs w:val="20"/>
                <w:color w:val="auto"/>
              </w:rPr>
            </w:pPr>
            <w:r>
              <w:rPr>
                <w:rFonts w:ascii="Arial" w:cs="Arial" w:eastAsia="Arial" w:hAnsi="Arial"/>
                <w:sz w:val="18"/>
                <w:szCs w:val="18"/>
                <w:color w:val="auto"/>
              </w:rPr>
              <w:t>All executive officers and directors as a group (8 persons) (11)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3,855,316</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71,806,694 common shares issued and outstanding as of November 30, 2010. Shares not outstanding but deemed beneficially owned by virtue of the right of a person to acquire them as of November 30, 2010, or within sixty days of such date, are treated as outstanding only when determining</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percentage owned by such individual and when determining the percentage owned by a group.</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2,558,026 shares issuable upon the exercise of common stock purchase warrants that are exercisable within 60 days of November 30,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596,294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983,918 shares issuable upon the exercise of stock options, and 321,729 shares issuable upon the exercise of common stock purchase warrants that are exercisable within 60 days of November 30, 2010.</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108,433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163,297 shares issuable upon the exercise of stock options, and 5,400 shares issuable upon the exercise of common stock purchase warrants that are exercisable within 60 days of November 30, 2010.</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164,684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125,100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164,684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248,438 shares issuable upon the exercise of stock options that are exercisable within 60 days of November 30, 2010.</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2,554,848 shares issuable upon the exercise of stock options, and 327,129 shares issuable upon the exercise of common stock purchase warrants that are exercisable within 60 days of November 30,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2010 with respect to shares of our Common Stock that may be issued under our equity compensation plans.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w w:val="91"/>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warrants and rights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8,123,338</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8,123,338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6,591,338 shares subject to the 2004 Equity Incentive Plan and 1,532,000 shares subject to the 2000 Option Plan.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 majority of the members of the Board are independent directors, as defined by the NASDAQ Marketplace Rules. The Board has determined that all of the Company’s directors are independent, except Mr. Stewart, the Company’s Executive Chairman and former Chief Executive Officer and Dr. Anzalone, the Company’s Chief Executive Officer. Independent directors do not receive consulting, legal or other fees from the Company, other than Board compensation.</w:t>
      </w:r>
    </w:p>
    <w:p>
      <w:pPr>
        <w:spacing w:after="0" w:line="10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Nanotope and Leonardo were co-founded by the Company’s President and Chief Executive Officer, Dr. Christopher Anzalone, through The Benet Group, since dissolved, and Dr. Anzalone owns approximately 14.2% and 15.9% of the outstanding voting securities of Nanotope and Leonardo, respectively.</w:t>
      </w:r>
    </w:p>
    <w:p>
      <w:pPr>
        <w:ind w:right="460"/>
        <w:spacing w:after="0" w:line="331" w:lineRule="auto"/>
        <w:rPr>
          <w:sz w:val="20"/>
          <w:szCs w:val="20"/>
          <w:color w:val="auto"/>
        </w:rPr>
      </w:pPr>
      <w:r>
        <w:rPr>
          <w:rFonts w:ascii="Arial" w:cs="Arial" w:eastAsia="Arial" w:hAnsi="Arial"/>
          <w:sz w:val="15"/>
          <w:szCs w:val="15"/>
          <w:color w:val="auto"/>
        </w:rPr>
        <w:t>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11, 2009, the Company sold an aggregate of 5,083,430 units in a private placement transaction with accredited investors. Each unit consisted of one share of Arrowhead Common Stock and a warrant to purchase an additional share of Common Stock exercisable at $0.509 per share. The unit price was $0.634, based upon the closing bid price on the Company’s Common Stock on December 11, 2009, which was $0.509, plus $0.125 for the purchase of the warrant, Dr. Anzalone, Arrowhead’s President and CEO, participated in this transaction on the same terms, investing $100,000.</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fiscal 2010, a portion of Arrowhead employee salary costs, including Dr. Anzalone’s salary and administrative overhead was charged to Nanotope and Leonardo for management and administrative services provided by Arrowhead to Nanotope and Leonardo. During fiscal 2010, the charge for services provided to Nanotope and Leonardo were $166,204 and $250,190, respectively. In addition, Arrowhead made cash advances to Nanotope of $300,000 during fiscal 2010. The majority of the balance due Arrowhead is expected to be repaid in cash or converted to equity in fiscal 2011. In addition, the CEO of Leonardo, Bruce Given, is the brother of Doug Given, a member of Arrowhead’s Board of Directors; Doug Given has no financial interest in Leonardo.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2010 and 2009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2010, and September 30, 2009:</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7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$126,200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$ 117,000</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Audit-related fees (2)</w:t>
            </w:r>
          </w:p>
        </w:tc>
        <w:tc>
          <w:tcPr>
            <w:tcW w:w="660" w:type="dxa"/>
            <w:vAlign w:val="bottom"/>
          </w:tcPr>
          <w:p>
            <w:pPr>
              <w:jc w:val="right"/>
              <w:spacing w:after="0"/>
              <w:rPr>
                <w:sz w:val="20"/>
                <w:szCs w:val="20"/>
                <w:color w:val="auto"/>
              </w:rPr>
            </w:pPr>
            <w:r>
              <w:rPr>
                <w:rFonts w:ascii="Arial" w:cs="Arial" w:eastAsia="Arial" w:hAnsi="Arial"/>
                <w:sz w:val="18"/>
                <w:szCs w:val="18"/>
                <w:color w:val="auto"/>
              </w:rPr>
              <w:t>76,300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43,500</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All other fees (4)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249,550</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$ 364,900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invoiced by RS&amp;J related to Arrowhead Comfort Letter and Consents, and other agreed-upon procedures.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in 2009 related to Sarbanes-Oxley compliance work.</w:t>
      </w:r>
    </w:p>
    <w:p>
      <w:pPr>
        <w:spacing w:after="0" w:line="3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b w:val="1"/>
                <w:bCs w:val="1"/>
                <w:color w:val="auto"/>
              </w:rPr>
              <w:t>(3) 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tc>
        <w:tc>
          <w:tcPr>
            <w:tcW w:w="0" w:type="dxa"/>
            <w:vAlign w:val="bottom"/>
          </w:tcPr>
          <w:p>
            <w:pPr>
              <w:spacing w:after="0"/>
              <w:rPr>
                <w:sz w:val="1"/>
                <w:szCs w:val="1"/>
                <w:color w:val="auto"/>
              </w:rPr>
            </w:pP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60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Certificate of Incorporation of InterActive, Inc., a Delaware corporation, dated December 15, 2000. (1)</w:t>
            </w:r>
          </w:p>
        </w:tc>
        <w:tc>
          <w:tcPr>
            <w:tcW w:w="0" w:type="dxa"/>
            <w:vAlign w:val="bottom"/>
          </w:tcPr>
          <w:p>
            <w:pPr>
              <w:spacing w:after="0"/>
              <w:rPr>
                <w:sz w:val="1"/>
                <w:szCs w:val="1"/>
                <w:color w:val="auto"/>
              </w:rPr>
            </w:pPr>
          </w:p>
        </w:tc>
      </w:tr>
      <w:tr>
        <w:trPr>
          <w:trHeight w:val="309"/>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Certificate of Amendment of Certificate of Incorporation of InterActive Group, Inc., dated December 12, 2003 (effecting, among other things 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change in the corporation’s name to “Arrowhead Research Corporation”). (2)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of Arrowhead Research Corporation, dated January 25, 2005. (3)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of Arrowhead Research Corporation, dated October 13, 2009. (18)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Bylaws.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No. 1 to the Bylaws of Arrowhead Research Corporation. (19)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Registration Rights Agreement, July and August 2009.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Registration Rights Agreement, dated December 11, 2009. (18)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expiring January 24, 2011. (5)</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expiring in July and August 2013. (6)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expiring in September 2013. (7)</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Capital Stock expiring June 2014.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Capital Stock expiring December 11, 2014. (18)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expiring May 2017. (8)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dated June 2010. (21)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Shares of Capital Stock of Arrowhead Research Corporation expiring September 16, 2015. (23)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Certificate. (9)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Arrowhead Research Corporation (fka InterActive, Inc.) 2000 Stock Option Plan.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Arrowhead Research Corporation 2004 Equity Incentive Plan, as amended. (24)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Executive Incentive Plan, adopted December 12, 2006. (11)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Compensation Policy for Non-Employee Directors, as amended. (11)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R. Bruce Stewart. (8)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to Severance Agreement between Arrowhead and R. Bruce Stewart, effective May 12, 2009. (18)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Employment Agreement, between Arrowhead and Dr. Christopher Anzalone, dated June 11, 2008. (12)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to Employment Agreement between Arrowhead and Dr. Christopher Anzalone, effective May 12, 2009. (18)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Insert Therapeutics, Inc. Amended and Restated Investors’ Rights Agreement, dated April 17, 2008. (13)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10.10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Second Amended and Restated Investors’ Rights Agreement, dated as of July 23, 2008, by and between Nanotope, Inc. and the Investors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Stockholders listed therein. (14)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10.11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Unsecured Convertible Promissory Note Agreement dated November 26, 2008. (15)</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10.12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Exchange Agreement dated February 25, 2009 by and among Arrowhead and several holders of Unidym, Inc. Series A Preferred Stock. (16)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10.13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Subscription Agreement dated July 17, 2009 and August 6, 2009. (4)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Platform Agreement, dated as of June 23, 2009, by and between Calando Pharmaceuticals, Inc. and Cerulean Pharma Inc.† (17)</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IT-101 Agreement, dated as of June 23, 2009, by and between Calando Pharmaceuticals, Inc. and Cerulean Pharma, Inc.† (17)</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IP Transfer and Waiver Agreement, dated as of June 25, 2009, by and between Unidym, Inc. and TEL Venture Capital. (17)</w:t>
      </w:r>
    </w:p>
    <w:p>
      <w:pPr>
        <w:spacing w:after="0" w:line="117" w:lineRule="exact"/>
        <w:rPr>
          <w:sz w:val="20"/>
          <w:szCs w:val="20"/>
          <w:color w:val="auto"/>
        </w:rPr>
      </w:pPr>
    </w:p>
    <w:p>
      <w:pPr>
        <w:ind w:left="820" w:right="280" w:hanging="809"/>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Subscription Agreement for Series C-1 Preferred Stock, dated as of June 25, 2009, by and between Arrowhead Research Corporation and Unidym, Inc. (17)</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Exchange Agreement, dated as of June 25, 2009, by and between Arrowhead Research Corporation and TEL Venture Capital. (17)</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Subscription Agreement for Series C-1 Preferred Stock, dated as of July 30, 2009, by and between Arrowhead Research Corporation and Unidym, Inc.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(17)</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Form of Subscription Agreement, dated as of September 30, 2009, by and between Arrowhead Research Corporation and Unidym, Inc. (18)</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Second Amended and Restated Investors’ Rights Agreement among Unidym, Inc., Investors and the stockholders party thereto, dated September 30,</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2009. (18)</w:t>
      </w:r>
    </w:p>
    <w:p>
      <w:pPr>
        <w:spacing w:after="0" w:line="111" w:lineRule="exact"/>
        <w:rPr>
          <w:sz w:val="20"/>
          <w:szCs w:val="20"/>
          <w:color w:val="auto"/>
        </w:rPr>
      </w:pPr>
    </w:p>
    <w:p>
      <w:pPr>
        <w:ind w:left="820" w:right="332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Subscription Agreement between Arrowhead Research Corporation and certain investors dated December 11, 2009. (19)</w:t>
      </w:r>
    </w:p>
    <w:p>
      <w:pPr>
        <w:spacing w:after="0" w:line="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to Employment Agreement between Arrowhead and R. Bruce Stewart, effective May 27, 2010. (20)</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Form of Subscription Agreement between Arrowhead and certain Investors, dated June 17, 2010. (21)</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Series D Preferred Stock Purchase Agreement between Arrowhead and Unidym, Inc., dated June 29, 2010. (22)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Form of Exchange Agreement between Arrowhead and certain stockholders, dated September 16, 2010. (23)</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Public Registered Accounting Firm.*</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on signature page)</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pursuant to Section 906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460" w:right="2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2003.</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10-QSB for the quarter ended December 31, 2004, filed by the registrant on February 11, 2005.</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17,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26,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30,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Incorporated by reference from Amendment No. 2 to the Registration Statement on Form S-1, filed by the registrant on September 11, 2009.</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definitive Schedule 14C filed by registrant on September 4,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14,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25,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22,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22,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April 30, 2010.</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320"/>
          </w:cols>
          <w:pgMar w:left="240" w:top="459" w:right="1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22nd day of December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Chief Executive Officer</w:t>
      </w:r>
    </w:p>
    <w:p>
      <w:pPr>
        <w:spacing w:after="0" w:line="17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00" w:type="dxa"/>
            <w:vAlign w:val="bottom"/>
            <w:gridSpan w:val="2"/>
          </w:tcPr>
          <w:p>
            <w:pPr>
              <w:spacing w:after="0"/>
              <w:rPr>
                <w:sz w:val="15"/>
                <w:szCs w:val="15"/>
                <w:color w:val="auto"/>
              </w:rPr>
            </w:pPr>
          </w:p>
        </w:tc>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C</w:t>
            </w:r>
            <w:r>
              <w:rPr>
                <w:rFonts w:ascii="Arial" w:cs="Arial" w:eastAsia="Arial" w:hAnsi="Arial"/>
                <w:sz w:val="14"/>
                <w:szCs w:val="14"/>
                <w:color w:val="auto"/>
                <w:w w:val="98"/>
              </w:rPr>
              <w:t>HRISTOPHER</w:t>
            </w:r>
            <w:r>
              <w:rPr>
                <w:rFonts w:ascii="Arial" w:cs="Arial" w:eastAsia="Arial" w:hAnsi="Arial"/>
                <w:sz w:val="18"/>
                <w:szCs w:val="18"/>
                <w:color w:val="auto"/>
                <w:w w:val="98"/>
              </w:rPr>
              <w:t xml:space="preserve"> A</w:t>
            </w:r>
            <w:r>
              <w:rPr>
                <w:rFonts w:ascii="Arial" w:cs="Arial" w:eastAsia="Arial" w:hAnsi="Arial"/>
                <w:sz w:val="14"/>
                <w:szCs w:val="14"/>
                <w:color w:val="auto"/>
                <w:w w:val="98"/>
              </w:rPr>
              <w:t>NZALONE</w:t>
            </w:r>
          </w:p>
        </w:tc>
        <w:tc>
          <w:tcPr>
            <w:tcW w:w="3440" w:type="dxa"/>
            <w:vAlign w:val="bottom"/>
          </w:tcPr>
          <w:p>
            <w:pPr>
              <w:spacing w:after="0"/>
              <w:rPr>
                <w:sz w:val="20"/>
                <w:szCs w:val="20"/>
                <w:color w:val="auto"/>
              </w:rPr>
            </w:pPr>
            <w:r>
              <w:rPr>
                <w:rFonts w:ascii="Arial" w:cs="Arial" w:eastAsia="Arial" w:hAnsi="Arial"/>
                <w:sz w:val="18"/>
                <w:szCs w:val="18"/>
                <w:color w:val="auto"/>
              </w:rPr>
              <w:t>Chief Executive Officer, President and</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Christopher Anzalone</w:t>
            </w:r>
          </w:p>
        </w:tc>
        <w:tc>
          <w:tcPr>
            <w:tcW w:w="2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A. M</w:t>
            </w:r>
            <w:r>
              <w:rPr>
                <w:rFonts w:ascii="Arial" w:cs="Arial" w:eastAsia="Arial" w:hAnsi="Arial"/>
                <w:sz w:val="14"/>
                <w:szCs w:val="14"/>
                <w:color w:val="auto"/>
              </w:rPr>
              <w:t>YSZKOWSKI</w:t>
            </w: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Kenneth A. Myszkowski</w:t>
            </w:r>
          </w:p>
        </w:tc>
        <w:tc>
          <w:tcPr>
            <w:tcW w:w="2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9"/>
              </w:rPr>
              <w:t>(Principal Financial and Accounting Officer)</w:t>
            </w: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E</w:t>
            </w:r>
            <w:r>
              <w:rPr>
                <w:rFonts w:ascii="Arial" w:cs="Arial" w:eastAsia="Arial" w:hAnsi="Arial"/>
                <w:sz w:val="14"/>
                <w:szCs w:val="14"/>
                <w:color w:val="auto"/>
                <w:w w:val="98"/>
              </w:rPr>
              <w:t>DWARD</w:t>
            </w:r>
            <w:r>
              <w:rPr>
                <w:rFonts w:ascii="Arial" w:cs="Arial" w:eastAsia="Arial" w:hAnsi="Arial"/>
                <w:sz w:val="18"/>
                <w:szCs w:val="18"/>
                <w:color w:val="auto"/>
                <w:w w:val="98"/>
              </w:rPr>
              <w:t xml:space="preserve"> W. F</w:t>
            </w:r>
            <w:r>
              <w:rPr>
                <w:rFonts w:ascii="Arial" w:cs="Arial" w:eastAsia="Arial" w:hAnsi="Arial"/>
                <w:sz w:val="14"/>
                <w:szCs w:val="14"/>
                <w:color w:val="auto"/>
                <w:w w:val="98"/>
              </w:rPr>
              <w:t>RYKMAN</w:t>
            </w: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Edward W. Frykman</w:t>
            </w: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M</w:t>
            </w:r>
            <w:r>
              <w:rPr>
                <w:rFonts w:ascii="Arial" w:cs="Arial" w:eastAsia="Arial" w:hAnsi="Arial"/>
                <w:sz w:val="14"/>
                <w:szCs w:val="14"/>
                <w:color w:val="auto"/>
                <w:w w:val="98"/>
              </w:rPr>
              <w:t>AURO</w:t>
            </w:r>
            <w:r>
              <w:rPr>
                <w:rFonts w:ascii="Arial" w:cs="Arial" w:eastAsia="Arial" w:hAnsi="Arial"/>
                <w:sz w:val="18"/>
                <w:szCs w:val="18"/>
                <w:color w:val="auto"/>
                <w:w w:val="98"/>
              </w:rPr>
              <w:t xml:space="preserve"> F</w:t>
            </w:r>
            <w:r>
              <w:rPr>
                <w:rFonts w:ascii="Arial" w:cs="Arial" w:eastAsia="Arial" w:hAnsi="Arial"/>
                <w:sz w:val="14"/>
                <w:szCs w:val="14"/>
                <w:color w:val="auto"/>
                <w:w w:val="98"/>
              </w:rPr>
              <w:t>ERRARI</w:t>
            </w: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Mauro Ferrari</w:t>
            </w: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OUGLASS</w:t>
            </w:r>
            <w:r>
              <w:rPr>
                <w:rFonts w:ascii="Arial" w:cs="Arial" w:eastAsia="Arial" w:hAnsi="Arial"/>
                <w:sz w:val="18"/>
                <w:szCs w:val="18"/>
                <w:color w:val="auto"/>
                <w:w w:val="98"/>
              </w:rPr>
              <w:t xml:space="preserve"> G</w:t>
            </w:r>
            <w:r>
              <w:rPr>
                <w:rFonts w:ascii="Arial" w:cs="Arial" w:eastAsia="Arial" w:hAnsi="Arial"/>
                <w:sz w:val="14"/>
                <w:szCs w:val="14"/>
                <w:color w:val="auto"/>
                <w:w w:val="98"/>
              </w:rPr>
              <w:t>IVEN</w:t>
            </w: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Douglass Given</w:t>
            </w: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C</w:t>
            </w:r>
            <w:r>
              <w:rPr>
                <w:rFonts w:ascii="Arial" w:cs="Arial" w:eastAsia="Arial" w:hAnsi="Arial"/>
                <w:sz w:val="14"/>
                <w:szCs w:val="14"/>
                <w:color w:val="auto"/>
                <w:w w:val="97"/>
              </w:rPr>
              <w:t>HARLES</w:t>
            </w:r>
            <w:r>
              <w:rPr>
                <w:rFonts w:ascii="Arial" w:cs="Arial" w:eastAsia="Arial" w:hAnsi="Arial"/>
                <w:sz w:val="18"/>
                <w:szCs w:val="18"/>
                <w:color w:val="auto"/>
                <w:w w:val="97"/>
              </w:rPr>
              <w:t xml:space="preserve"> P. M</w:t>
            </w:r>
            <w:r>
              <w:rPr>
                <w:rFonts w:ascii="Arial" w:cs="Arial" w:eastAsia="Arial" w:hAnsi="Arial"/>
                <w:sz w:val="14"/>
                <w:szCs w:val="14"/>
                <w:color w:val="auto"/>
                <w:w w:val="97"/>
              </w:rPr>
              <w:t>CKENNEY</w:t>
            </w: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Charles P. McKenney</w:t>
            </w: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40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R. B</w:t>
            </w:r>
            <w:r>
              <w:rPr>
                <w:rFonts w:ascii="Arial" w:cs="Arial" w:eastAsia="Arial" w:hAnsi="Arial"/>
                <w:sz w:val="14"/>
                <w:szCs w:val="14"/>
                <w:color w:val="auto"/>
                <w:w w:val="94"/>
              </w:rPr>
              <w:t>RUCE</w:t>
            </w:r>
            <w:r>
              <w:rPr>
                <w:rFonts w:ascii="Arial" w:cs="Arial" w:eastAsia="Arial" w:hAnsi="Arial"/>
                <w:sz w:val="18"/>
                <w:szCs w:val="18"/>
                <w:color w:val="auto"/>
                <w:w w:val="94"/>
              </w:rPr>
              <w:t xml:space="preserve"> S</w:t>
            </w:r>
            <w:r>
              <w:rPr>
                <w:rFonts w:ascii="Arial" w:cs="Arial" w:eastAsia="Arial" w:hAnsi="Arial"/>
                <w:sz w:val="14"/>
                <w:szCs w:val="14"/>
                <w:color w:val="auto"/>
                <w:w w:val="94"/>
              </w:rPr>
              <w:t>TEWART</w:t>
            </w:r>
          </w:p>
        </w:tc>
        <w:tc>
          <w:tcPr>
            <w:tcW w:w="3440" w:type="dxa"/>
            <w:vAlign w:val="bottom"/>
          </w:tcPr>
          <w:p>
            <w:pPr>
              <w:spacing w:after="0"/>
              <w:rPr>
                <w:sz w:val="20"/>
                <w:szCs w:val="20"/>
                <w:color w:val="auto"/>
              </w:rPr>
            </w:pPr>
            <w:r>
              <w:rPr>
                <w:rFonts w:ascii="Arial" w:cs="Arial" w:eastAsia="Arial" w:hAnsi="Arial"/>
                <w:sz w:val="18"/>
                <w:szCs w:val="18"/>
                <w:color w:val="auto"/>
              </w:rPr>
              <w:t>Executive Chairman &amp; 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December 22, 2010</w:t>
            </w:r>
          </w:p>
        </w:tc>
      </w:tr>
      <w:tr>
        <w:trPr>
          <w:trHeight w:val="222"/>
        </w:trPr>
        <w:tc>
          <w:tcPr>
            <w:tcW w:w="3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R. Bruce Stewart</w:t>
            </w: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364"/>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16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700" w:type="dxa"/>
            <w:vAlign w:val="bottom"/>
            <w:gridSpan w:val="8"/>
          </w:tcPr>
          <w:p>
            <w:pPr>
              <w:jc w:val="center"/>
              <w:ind w:right="172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400" w:type="dxa"/>
            <w:vAlign w:val="bottom"/>
          </w:tcPr>
          <w:p>
            <w:pPr>
              <w:spacing w:after="0"/>
              <w:rPr>
                <w:sz w:val="19"/>
                <w:szCs w:val="19"/>
                <w:color w:val="auto"/>
              </w:rPr>
            </w:pPr>
          </w:p>
        </w:tc>
      </w:tr>
      <w:tr>
        <w:trPr>
          <w:trHeight w:val="372"/>
        </w:trPr>
        <w:tc>
          <w:tcPr>
            <w:tcW w:w="220" w:type="dxa"/>
            <w:vAlign w:val="bottom"/>
          </w:tcPr>
          <w:p>
            <w:pPr>
              <w:spacing w:after="0"/>
              <w:rPr>
                <w:sz w:val="24"/>
                <w:szCs w:val="24"/>
                <w:color w:val="auto"/>
              </w:rPr>
            </w:pPr>
          </w:p>
        </w:tc>
        <w:tc>
          <w:tcPr>
            <w:tcW w:w="10700" w:type="dxa"/>
            <w:vAlign w:val="bottom"/>
            <w:gridSpan w:val="9"/>
          </w:tcPr>
          <w:p>
            <w:pPr>
              <w:ind w:left="240"/>
              <w:spacing w:after="0"/>
              <w:rPr>
                <w:sz w:val="20"/>
                <w:szCs w:val="20"/>
                <w:color w:val="auto"/>
              </w:rPr>
            </w:pPr>
            <w:r>
              <w:rPr>
                <w:rFonts w:ascii="Arial" w:cs="Arial" w:eastAsia="Arial" w:hAnsi="Arial"/>
                <w:sz w:val="18"/>
                <w:szCs w:val="18"/>
                <w:i w:val="1"/>
                <w:iCs w:val="1"/>
                <w:color w:val="auto"/>
                <w:w w:val="89"/>
              </w:rPr>
              <w:t>As a result of the change in control resulting from the stock exchange transaction (the “Share Exchange”) with the owners of Arrowhead Research</w:t>
            </w:r>
          </w:p>
        </w:tc>
        <w:tc>
          <w:tcPr>
            <w:tcW w:w="400" w:type="dxa"/>
            <w:vAlign w:val="bottom"/>
          </w:tcPr>
          <w:p>
            <w:pPr>
              <w:spacing w:after="0"/>
              <w:rPr>
                <w:sz w:val="24"/>
                <w:szCs w:val="24"/>
                <w:color w:val="auto"/>
              </w:rPr>
            </w:pPr>
          </w:p>
        </w:tc>
      </w:tr>
      <w:tr>
        <w:trPr>
          <w:trHeight w:val="222"/>
        </w:trPr>
        <w:tc>
          <w:tcPr>
            <w:tcW w:w="10920" w:type="dxa"/>
            <w:vAlign w:val="bottom"/>
            <w:gridSpan w:val="10"/>
          </w:tcPr>
          <w:p>
            <w:pPr>
              <w:spacing w:after="0"/>
              <w:rPr>
                <w:sz w:val="20"/>
                <w:szCs w:val="20"/>
                <w:color w:val="auto"/>
              </w:rPr>
            </w:pPr>
            <w:r>
              <w:rPr>
                <w:rFonts w:ascii="Arial" w:cs="Arial" w:eastAsia="Arial" w:hAnsi="Arial"/>
                <w:sz w:val="18"/>
                <w:szCs w:val="18"/>
                <w:i w:val="1"/>
                <w:iCs w:val="1"/>
                <w:color w:val="auto"/>
                <w:w w:val="92"/>
              </w:rPr>
              <w:t>Corporation, a California corporation (“ARC”), the financial statements of the Company are deemed to be the historical financial statements of ARC.</w:t>
            </w:r>
          </w:p>
        </w:tc>
        <w:tc>
          <w:tcPr>
            <w:tcW w:w="400" w:type="dxa"/>
            <w:vAlign w:val="bottom"/>
          </w:tcPr>
          <w:p>
            <w:pPr>
              <w:spacing w:after="0"/>
              <w:rPr>
                <w:sz w:val="19"/>
                <w:szCs w:val="19"/>
                <w:color w:val="auto"/>
              </w:rPr>
            </w:pPr>
          </w:p>
        </w:tc>
      </w:tr>
      <w:tr>
        <w:trPr>
          <w:trHeight w:val="380"/>
        </w:trPr>
        <w:tc>
          <w:tcPr>
            <w:tcW w:w="1092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92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of Arrowhead Research Corporation and Subsidiaries, September 30, 2010 and 2009</w:t>
              </w:r>
            </w:hyperlink>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920" w:type="dxa"/>
            <w:vAlign w:val="bottom"/>
            <w:gridSpan w:val="10"/>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 of Arrowhead Research Corporation and Subsidiaries for the years ended September 30, 2010 and 2009 and the</w:t>
              </w:r>
            </w:hyperlink>
          </w:p>
        </w:tc>
        <w:tc>
          <w:tcPr>
            <w:tcW w:w="40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period from May 7, 2003 (inception) through September 30, 2010</w:t>
              </w:r>
            </w:hyperlink>
          </w:p>
        </w:tc>
        <w:tc>
          <w:tcPr>
            <w:tcW w:w="578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0920" w:type="dxa"/>
            <w:vAlign w:val="bottom"/>
            <w:gridSpan w:val="10"/>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Consolidated Statement of Stockholders’ Equity of Arrowhead Research Corporation and Subsidiaries for the period from May 7, 2003 (inception)</w:t>
              </w:r>
            </w:hyperlink>
          </w:p>
        </w:tc>
        <w:tc>
          <w:tcPr>
            <w:tcW w:w="40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through September 30, 2010</w:t>
              </w:r>
            </w:hyperlink>
          </w:p>
        </w:tc>
        <w:tc>
          <w:tcPr>
            <w:tcW w:w="580" w:type="dxa"/>
            <w:vAlign w:val="bottom"/>
            <w:gridSpan w:val="3"/>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7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Cash Flows of Arrowhead Research Corporation and Subsidiaries for the years ended September 30, 2010 and 2009 and the</w:t>
              </w:r>
            </w:hyperlink>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period from May 7, 2003 (inception) through September 30, 2010</w:t>
              </w:r>
            </w:hyperlink>
          </w:p>
        </w:tc>
        <w:tc>
          <w:tcPr>
            <w:tcW w:w="6060" w:type="dxa"/>
            <w:vAlign w:val="bottom"/>
            <w:gridSpan w:val="6"/>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10920" w:type="dxa"/>
            <w:vAlign w:val="bottom"/>
            <w:gridSpan w:val="1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 of Arrowhead Research Corporation and Subsidiaries</w:t>
              </w:r>
            </w:hyperlink>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22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jc w:val="center"/>
              <w:ind w:right="212"/>
              <w:spacing w:after="0"/>
              <w:rPr>
                <w:sz w:val="20"/>
                <w:szCs w:val="20"/>
                <w:color w:val="auto"/>
              </w:rPr>
            </w:pPr>
            <w:r>
              <w:rPr>
                <w:rFonts w:ascii="Arial" w:cs="Arial" w:eastAsia="Arial" w:hAnsi="Arial"/>
                <w:sz w:val="18"/>
                <w:szCs w:val="18"/>
                <w:color w:val="auto"/>
                <w:w w:val="88"/>
              </w:rPr>
              <w:t>F-1</w:t>
            </w:r>
          </w:p>
        </w:tc>
        <w:tc>
          <w:tcPr>
            <w:tcW w:w="404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Arrowhead Research Corporation (a Delaware corporation) and Subsidiaries (the “Company”) as of September 30, 2010 and 2009 and the related consolidated statements of operations, stockholders’ equity and cash flows for the years ended September 30, 2010, and 2009 and for the period from May 7, 2003 (inception) through September 30, 2010. These consolidated financial statements are the responsibility of the Company’s management. Our responsibility is to express an opinion on these consolidated financial statements based on our audits.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Arrowhead Research Corporation and Subsidiaries as of September 30, 2010 and 2009, and the consolidated results of their operations and their cash flows for the years ended September 30, 2010 and 2009, and for the period from May 7, 2003 (inception) through September 30, 2010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17,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38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6,847,162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7"/>
              </w:rPr>
              <w:t>Trade receivable, net of allowance for doubtful accounts of $90,789 at September 30, 2010 and $30,789 at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September 30, 2009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239,097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8,131,775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2,483,555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335,784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150,445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1,317,673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1,552,436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(1,176,404)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(1,025,392)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Rent deposit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2,046,836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Investment in Nanotope Inc., equity basis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1,812,927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Leonardo Biosystems Inc., at cost</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4,081,498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4,691,575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12,354,542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7,702,174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681,563</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payroll and benefits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191,425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severance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Capital lease obligation</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liability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2,408,522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4,276,246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2,344,238</w:t>
            </w: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Arrowhead Research Corporation shareholders’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Preferred stock, $0.001 par value; 5,000,000 shares authorized; no shares issued or outstanding</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145,000,000 shares authorized; 71,720,137 and 56,411,774 shares issued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as of September 30, 2010 and September 30, 2009, respectively</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119,716,834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110,070,327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Subscription receivable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(110,742,867)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(104,968,819)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Arrowhead Research Corporation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9,045,702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(967,406)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8,078,296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70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12,354,542</w:t>
            </w:r>
          </w:p>
        </w:tc>
        <w:tc>
          <w:tcPr>
            <w:tcW w:w="3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7,702,174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vMerge w:val="restart"/>
          </w:tcPr>
          <w:p>
            <w:pPr>
              <w:jc w:val="right"/>
              <w:ind w:right="538"/>
              <w:spacing w:after="0"/>
              <w:rPr>
                <w:sz w:val="20"/>
                <w:szCs w:val="20"/>
                <w:color w:val="auto"/>
              </w:rPr>
            </w:pPr>
            <w:r>
              <w:rPr>
                <w:rFonts w:ascii="Arial" w:cs="Arial" w:eastAsia="Arial" w:hAnsi="Arial"/>
                <w:sz w:val="14"/>
                <w:szCs w:val="14"/>
                <w:b w:val="1"/>
                <w:bCs w:val="1"/>
                <w:color w:val="auto"/>
              </w:rPr>
              <w:t>Year Ended 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7, 2003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620,097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3,758,147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8,127,736</w:t>
            </w:r>
          </w:p>
        </w:tc>
        <w:tc>
          <w:tcPr>
            <w:tcW w:w="0" w:type="dxa"/>
            <w:vAlign w:val="bottom"/>
          </w:tcPr>
          <w:p>
            <w:pPr>
              <w:spacing w:after="0"/>
              <w:rPr>
                <w:sz w:val="1"/>
                <w:szCs w:val="1"/>
                <w:color w:val="auto"/>
              </w:rPr>
            </w:pPr>
          </w:p>
        </w:tc>
      </w:tr>
      <w:tr>
        <w:trPr>
          <w:trHeight w:val="3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Salaries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4,297,930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8,010,099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Consulting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514,041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rPr>
              <w:t>1,461,351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8,346,198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3,183,077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4,567,091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1,111,473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rPr>
              <w:t>8,892,516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54,731,631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Patent amortization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315,625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387,095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9,422,146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23,318,152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135,760,292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OPERATING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(8,802,049)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(19,560,005)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(127,632,556)</w:t>
            </w:r>
          </w:p>
        </w:tc>
        <w:tc>
          <w:tcPr>
            <w:tcW w:w="0" w:type="dxa"/>
            <w:vAlign w:val="bottom"/>
          </w:tcPr>
          <w:p>
            <w:pPr>
              <w:spacing w:after="0"/>
              <w:rPr>
                <w:sz w:val="1"/>
                <w:szCs w:val="1"/>
                <w:color w:val="auto"/>
              </w:rPr>
            </w:pPr>
          </w:p>
        </w:tc>
      </w:tr>
      <w:tr>
        <w:trPr>
          <w:trHeight w:val="3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equity of investments - Nanotope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(219,540)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(225,804)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Gain on sale of stock in subsidiary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5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equity of investments - Ensysce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Gain/(loss) on sale of fixed assets,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8"/>
              <w:spacing w:after="0"/>
              <w:rPr>
                <w:sz w:val="20"/>
                <w:szCs w:val="20"/>
                <w:color w:val="auto"/>
              </w:rPr>
            </w:pPr>
            <w:r>
              <w:rPr>
                <w:rFonts w:ascii="Arial" w:cs="Arial" w:eastAsia="Arial" w:hAnsi="Arial"/>
                <w:sz w:val="18"/>
                <w:szCs w:val="18"/>
                <w:color w:val="auto"/>
              </w:rPr>
              <w:t>(77,374)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Realized and unrealized gain in marketable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Interest income (expense),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(48,025)</w:t>
            </w:r>
          </w:p>
        </w:tc>
        <w:tc>
          <w:tcPr>
            <w:tcW w:w="100" w:type="dxa"/>
            <w:vAlign w:val="bottom"/>
          </w:tcPr>
          <w:p>
            <w:pPr>
              <w:spacing w:after="0"/>
              <w:rPr>
                <w:sz w:val="18"/>
                <w:szCs w:val="18"/>
                <w:color w:val="auto"/>
              </w:rPr>
            </w:pPr>
          </w:p>
        </w:tc>
        <w:tc>
          <w:tcPr>
            <w:tcW w:w="1100" w:type="dxa"/>
            <w:vAlign w:val="bottom"/>
            <w:gridSpan w:val="2"/>
          </w:tcPr>
          <w:p>
            <w:pPr>
              <w:jc w:val="right"/>
              <w:ind w:right="118"/>
              <w:spacing w:after="0"/>
              <w:rPr>
                <w:sz w:val="20"/>
                <w:szCs w:val="20"/>
                <w:color w:val="auto"/>
              </w:rPr>
            </w:pPr>
            <w:r>
              <w:rPr>
                <w:rFonts w:ascii="Arial" w:cs="Arial" w:eastAsia="Arial" w:hAnsi="Arial"/>
                <w:sz w:val="18"/>
                <w:szCs w:val="18"/>
                <w:color w:val="auto"/>
              </w:rPr>
              <w:t>(155,560)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value of derivative liability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1,761,385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(87,032)</w:t>
            </w:r>
          </w:p>
        </w:tc>
        <w:tc>
          <w:tcPr>
            <w:tcW w:w="10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rPr>
              <w:t>174,253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1,417,669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415,515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7,362,671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LOSS FROM CONTINUING OPERATIONS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(7,384,380)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(19,144,490</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(120,269,885)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Gain/(loss) from discontinued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(163,962)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(7,567,525)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Gain/(loss) on disposal of discontinued operations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INCOME (LOSS) FROM DISCONTINUED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427,342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(163,962)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(6,778,150)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(6,957,038)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(19,308,452)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(127,049,635)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1,182,990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16,470,728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LOSS ATTRIBUTABLE TO ARROWHEAD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(5,774,048)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w w:val="86"/>
              </w:rPr>
              <w:t>(19,308,392)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(110,578,907)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basic and diluted: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 attributable to Arrowhead common shareholders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w w:val="95"/>
              </w:rPr>
              <w:t>Income from discontinued operations attributable to Arrowhead common shareholders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Arrowhead shareholders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64,342,448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w w:val="90"/>
              </w:rPr>
              <w:t>45,169,015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46" w:name="page47"/>
    <w:bookmarkEnd w:id="4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333"/>
              <w:spacing w:after="0" w:line="156"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700"/>
              <w:spacing w:after="0" w:line="156"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Subscription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during the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Receivable</w:t>
            </w:r>
          </w:p>
        </w:tc>
        <w:tc>
          <w:tcPr>
            <w:tcW w:w="28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Development Stage</w:t>
            </w:r>
          </w:p>
        </w:tc>
        <w:tc>
          <w:tcPr>
            <w:tcW w:w="1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Initial Issuance of Stock:</w:t>
            </w: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&amp; warrants issued for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cash @ $0.001 per unit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3,000,000</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$ 3,000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&amp; warrants issued for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 $1.00 per unit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 issuance cost charged to</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period from inception to</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2003</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(95,238)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4,680,000</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1,510,320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(95,238)</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1,419,762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&amp; warrants issued for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cash @ $1.00 per unit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475,000</w:t>
            </w: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&amp; warrants issued for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marketable securities @ $1.00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 issuance cost charged to</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Common stock and warrants issued for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 $1.50 per unit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6,608,788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9,906,573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in reverse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acquisition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705,529</w:t>
            </w:r>
          </w:p>
        </w:tc>
        <w:tc>
          <w:tcPr>
            <w:tcW w:w="58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(150,469)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issued as a gift for $1.09</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w w:val="98"/>
              </w:rPr>
              <w:t>Common stock and warrants issued as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w w:val="95"/>
              </w:rPr>
              <w:t>stock issuance cost @ $1.50 per unit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356,229</w:t>
            </w:r>
          </w:p>
        </w:tc>
        <w:tc>
          <w:tcPr>
            <w:tcW w:w="58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534,344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issuance cost charged to</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(991,318)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Exercise of stock option @ $0.20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$1.00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175,653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2004</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(2,528,954)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1,777,699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(751,255)</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13,631,546</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13,645</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12,059,997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(2,624,192)</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1,777,699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11,227,149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Exercise of warrants @ $1.50 per 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13,812,888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20,705,522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20,719,335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Exercise of stock options @ $1.00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issued to purchase Insert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Therapeutics share @ $3.98 per 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502,260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for services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12,500</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Change in percentage of ownership in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subsidiary</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230,087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(6,854,918)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(6,733,427)</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2005</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27,984,194</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27,997</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35,578,580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(9,479,110)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1,899,190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28,026,657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$4.88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204,854</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999,795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$3.84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$3.50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5,590,000</w:t>
            </w:r>
          </w:p>
        </w:tc>
        <w:tc>
          <w:tcPr>
            <w:tcW w:w="580" w:type="dxa"/>
            <w:vAlign w:val="bottom"/>
          </w:tcPr>
          <w:p>
            <w:pPr>
              <w:jc w:val="right"/>
              <w:spacing w:after="0"/>
              <w:rPr>
                <w:sz w:val="20"/>
                <w:szCs w:val="20"/>
                <w:color w:val="auto"/>
              </w:rPr>
            </w:pPr>
            <w:r>
              <w:rPr>
                <w:rFonts w:ascii="Arial" w:cs="Arial" w:eastAsia="Arial" w:hAnsi="Arial"/>
                <w:sz w:val="18"/>
                <w:szCs w:val="18"/>
                <w:color w:val="auto"/>
              </w:rPr>
              <w:t>5,590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19,539,410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19,545,000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$5.91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to purchase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Calando Pharmaceuticals, Inc. @</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$5.17 per 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208,382</w:t>
            </w: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1,077,333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1,369,478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w w:val="98"/>
              </w:rPr>
              <w:t>Net loss for the year ended September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30, 2006</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(18,997,209)</w:t>
            </w:r>
          </w:p>
        </w:tc>
        <w:tc>
          <w:tcPr>
            <w:tcW w:w="12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(964,752)</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(19,961,961)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34,143,588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59,113,369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(28,476,319)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31,605,644</w:t>
            </w:r>
          </w:p>
        </w:tc>
        <w:tc>
          <w:tcPr>
            <w:tcW w:w="0" w:type="dxa"/>
            <w:vAlign w:val="bottom"/>
          </w:tcPr>
          <w:p>
            <w:pPr>
              <w:spacing w:after="0"/>
              <w:rPr>
                <w:sz w:val="1"/>
                <w:szCs w:val="1"/>
                <w:color w:val="auto"/>
              </w:rPr>
            </w:pPr>
          </w:p>
        </w:tc>
      </w:tr>
    </w:tbl>
    <w:p>
      <w:pPr>
        <w:sectPr>
          <w:pgSz w:w="11900" w:h="16897" w:orient="portrait"/>
          <w:cols w:equalWidth="0" w:num="1">
            <w:col w:w="11420"/>
          </w:cols>
          <w:pgMar w:left="240" w:top="459" w:right="239" w:bottom="0" w:gutter="0" w:footer="0" w:header="0"/>
        </w:sectPr>
      </w:pPr>
    </w:p>
    <w:bookmarkStart w:id="47" w:name="page48"/>
    <w:bookmarkEnd w:id="4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186,164</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434,541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434,727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$5.78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net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2,849,446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15,149,366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15,152,215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Arrowhead’s increase in proportionate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 of Insert Therapeutics’ equity</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2,401,394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2,401,394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purchase of</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Carbon Nanotechnologies, Inc. @</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$3.77 per 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5,398,569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2,175,544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2,175,544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2007</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(29,931,118)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(781,829)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(30,712,947)</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38,610,420</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38,622</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84,672,783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(58,407,437)</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152,609</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26,456,577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w w:val="96"/>
              </w:rPr>
              <w:t>Common stock issued at approximately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$1.80 per share, net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3,863,989</w:t>
            </w:r>
          </w:p>
        </w:tc>
        <w:tc>
          <w:tcPr>
            <w:tcW w:w="580" w:type="dxa"/>
            <w:vAlign w:val="bottom"/>
          </w:tcPr>
          <w:p>
            <w:pPr>
              <w:jc w:val="right"/>
              <w:spacing w:after="0"/>
              <w:rPr>
                <w:sz w:val="20"/>
                <w:szCs w:val="20"/>
                <w:color w:val="auto"/>
              </w:rPr>
            </w:pPr>
            <w:r>
              <w:rPr>
                <w:rFonts w:ascii="Arial" w:cs="Arial" w:eastAsia="Arial" w:hAnsi="Arial"/>
                <w:sz w:val="18"/>
                <w:szCs w:val="18"/>
                <w:color w:val="auto"/>
              </w:rPr>
              <w:t>3,867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6,956,718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6,960,585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Arrowhead’s increase in proportionate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of Unidym’s equity</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1,720,962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1,720,962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$2.72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 to Rice University</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135,950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$2.83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share to purchase shares of Unidym,</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$2.95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 to purchase MASA Energy,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LLC</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105,049</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309,895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$2.19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to Unidym for the acquisition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Nanoconduction</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249,886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$2.18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3,187,397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3,187,397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w w:val="98"/>
              </w:rPr>
              <w:t>Net loss for the year ended September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30, 2008</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(27,089,030)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(152,609)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(27,241,639)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42,934,517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42,950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97,756,126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(85,496,467)</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12,302,609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$0.55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 to Unidym stockholder in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exchange for Unidym’s shares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2,058,393</w:t>
            </w:r>
          </w:p>
        </w:tc>
        <w:tc>
          <w:tcPr>
            <w:tcW w:w="580" w:type="dxa"/>
            <w:vAlign w:val="bottom"/>
          </w:tcPr>
          <w:p>
            <w:pPr>
              <w:jc w:val="right"/>
              <w:spacing w:after="0"/>
              <w:rPr>
                <w:sz w:val="20"/>
                <w:szCs w:val="20"/>
                <w:color w:val="auto"/>
              </w:rPr>
            </w:pPr>
            <w:r>
              <w:rPr>
                <w:rFonts w:ascii="Arial" w:cs="Arial" w:eastAsia="Arial" w:hAnsi="Arial"/>
                <w:sz w:val="18"/>
                <w:szCs w:val="18"/>
                <w:color w:val="auto"/>
              </w:rPr>
              <w:t>2,059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1,131,617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1,133,676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$0.52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share to TEL Ventures in exchange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 Unidym’s shares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1,156,111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1,158,333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Reclassification of former Unidym</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mezzanine debt to equity</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Arrowhead’s increase in proportionate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of Calando’s equity</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2,120,250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2,120,250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$0.30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9,196,642</w:t>
            </w:r>
          </w:p>
        </w:tc>
        <w:tc>
          <w:tcPr>
            <w:tcW w:w="580" w:type="dxa"/>
            <w:vAlign w:val="bottom"/>
          </w:tcPr>
          <w:p>
            <w:pPr>
              <w:jc w:val="right"/>
              <w:spacing w:after="0"/>
              <w:rPr>
                <w:sz w:val="20"/>
                <w:szCs w:val="20"/>
                <w:color w:val="auto"/>
              </w:rPr>
            </w:pPr>
            <w:r>
              <w:rPr>
                <w:rFonts w:ascii="Arial" w:cs="Arial" w:eastAsia="Arial" w:hAnsi="Arial"/>
                <w:sz w:val="18"/>
                <w:szCs w:val="18"/>
                <w:color w:val="auto"/>
              </w:rPr>
              <w:t>9,197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2,749,796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2,758,993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percentage of ownership in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subsidiary</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2,676,170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2,676,170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Issuance of Series D Preferred Stock for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Subscription in Unidym</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(300,000)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Amortization of discount on Unidym</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Series D Preferred Stock</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(163,960)</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2009</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(19,308,392)</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(19,308,392)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56,411,774</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56,428</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110,070,327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(104,968,819)</w:t>
            </w:r>
          </w:p>
        </w:tc>
        <w:tc>
          <w:tcPr>
            <w:tcW w:w="30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4,857,936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w w:val="94"/>
              </w:rPr>
              <w:t>Issuance of Series D Preferred Stock for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Subscription in Unidym</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Issuance of Unidym’s common stock to</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minority shareholders</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245,345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 $0.63 per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5,083,430</w:t>
            </w:r>
          </w:p>
        </w:tc>
        <w:tc>
          <w:tcPr>
            <w:tcW w:w="580" w:type="dxa"/>
            <w:vAlign w:val="bottom"/>
          </w:tcPr>
          <w:p>
            <w:pPr>
              <w:jc w:val="right"/>
              <w:spacing w:after="0"/>
              <w:rPr>
                <w:sz w:val="20"/>
                <w:szCs w:val="20"/>
                <w:color w:val="auto"/>
              </w:rPr>
            </w:pPr>
            <w:r>
              <w:rPr>
                <w:rFonts w:ascii="Arial" w:cs="Arial" w:eastAsia="Arial" w:hAnsi="Arial"/>
                <w:sz w:val="18"/>
                <w:szCs w:val="18"/>
                <w:color w:val="auto"/>
              </w:rPr>
              <w:t>5,083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3,217,813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3,222,896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$1.312 per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6,592,989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3,692,078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3,698,671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Common Stock issued to Calando</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stockholders in exchange for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Calando’s shares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1,220,000</w:t>
            </w:r>
          </w:p>
        </w:tc>
        <w:tc>
          <w:tcPr>
            <w:tcW w:w="580" w:type="dxa"/>
            <w:vAlign w:val="bottom"/>
          </w:tcPr>
          <w:p>
            <w:pPr>
              <w:jc w:val="right"/>
              <w:spacing w:after="0"/>
              <w:rPr>
                <w:sz w:val="20"/>
                <w:szCs w:val="20"/>
                <w:color w:val="auto"/>
              </w:rPr>
            </w:pPr>
            <w:r>
              <w:rPr>
                <w:rFonts w:ascii="Arial" w:cs="Arial" w:eastAsia="Arial" w:hAnsi="Arial"/>
                <w:sz w:val="18"/>
                <w:szCs w:val="18"/>
                <w:color w:val="auto"/>
              </w:rPr>
              <w:t>1,220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(160,667)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159,447</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to Unidym</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stockholders in exchange for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Unidym’s shares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1,582,149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warrants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2,251,893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200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1,066,051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 loss for the year ended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September 30, 2010</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(5,774,048)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(1,182,990)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(6,957,038)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71,720,137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71,735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119,716,834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 (110,742,867)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  (967,406)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  8,078,296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31" w:right="239" w:bottom="0" w:gutter="0" w:footer="0" w:header="0"/>
        </w:sectPr>
      </w:pPr>
    </w:p>
    <w:bookmarkStart w:id="48" w:name="page49"/>
    <w:bookmarkEnd w:id="48"/>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8" w:orient="portrait"/>
          <w:cols w:equalWidth="0" w:num="1">
            <w:col w:w="9019"/>
          </w:cols>
          <w:pgMar w:left="1440" w:top="131" w:right="1440"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9019"/>
          </w:cols>
          <w:pgMar w:left="1440" w:top="131"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4240" w:right="4220" w:firstLine="179"/>
        <w:spacing w:after="0" w:line="361" w:lineRule="auto"/>
        <w:tabs>
          <w:tab w:leader="none" w:pos="4526"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A Development Stage Company ) 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September 30,</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May 7, 2003</w:t>
            </w:r>
          </w:p>
        </w:tc>
        <w:tc>
          <w:tcPr>
            <w:tcW w:w="0" w:type="dxa"/>
            <w:vAlign w:val="bottom"/>
          </w:tcPr>
          <w:p>
            <w:pPr>
              <w:spacing w:after="0"/>
              <w:rPr>
                <w:sz w:val="1"/>
                <w:szCs w:val="1"/>
                <w:color w:val="auto"/>
              </w:rPr>
            </w:pPr>
          </w:p>
        </w:tc>
      </w:tr>
      <w:tr>
        <w:trPr>
          <w:trHeight w:val="129"/>
        </w:trPr>
        <w:tc>
          <w:tcPr>
            <w:tcW w:w="7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(Date of inception) to</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8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 (6,957,038)</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$(19,308,452)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  (127,049,635)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Plus: Net loss attributable to noncontrolling interests</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1,182,990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Net loss attributable to Arrowhead</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(5,774,048)</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(19,308,392)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(110,578,907)</w:t>
            </w: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(Income)/loss from discontinued operation</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(427,342)</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163,962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6,779,750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Realized and unrealized gain on investment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(700,000)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(1,082,263)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from sale of subsidiary</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(306,344)</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(Gain)/loss on disposal of fixed assets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(10,881)</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77,374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66,493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issued as gift to Caltech</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Stock issued as gift to Rice University</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issued for professional services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Stock issued for in-process research and development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13,166,347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percentage of ownership in subsidiary</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16,297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Change in value of derivative liability</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(1,761,385)</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(1,761,385)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Purchased in-process research and development - Nanoconduction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2,292,009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2,685,208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1,582,149</w:t>
            </w:r>
          </w:p>
        </w:tc>
        <w:tc>
          <w:tcPr>
            <w:tcW w:w="240" w:type="dxa"/>
            <w:vAlign w:val="bottom"/>
          </w:tcPr>
          <w:p>
            <w:pPr>
              <w:spacing w:after="0"/>
              <w:rPr>
                <w:sz w:val="18"/>
                <w:szCs w:val="18"/>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2,676,170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11,674,904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654,689</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994,604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5,392,334</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Gain on sale of stock in subsidiary</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loss from equity investment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219,540</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225,804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560,073</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Noncontrolling interest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(1,182,990)</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(17,470,916)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renegotiation of accrued severance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(726,500)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(726,500)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(Increase) decrease of cash flow from:</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85,282</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(60,658)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(62,815)</w:t>
            </w:r>
          </w:p>
        </w:tc>
        <w:tc>
          <w:tcPr>
            <w:tcW w:w="0" w:type="dxa"/>
            <w:vAlign w:val="bottom"/>
          </w:tcPr>
          <w:p>
            <w:pPr>
              <w:spacing w:after="0"/>
              <w:rPr>
                <w:sz w:val="1"/>
                <w:szCs w:val="1"/>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Other receivables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(868,710)</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(868,710)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prepaid expenses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76,978</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64,859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(241,574)</w:t>
            </w:r>
          </w:p>
        </w:tc>
        <w:tc>
          <w:tcPr>
            <w:tcW w:w="0" w:type="dxa"/>
            <w:vAlign w:val="bottom"/>
          </w:tcPr>
          <w:p>
            <w:pPr>
              <w:spacing w:after="0"/>
              <w:rPr>
                <w:sz w:val="1"/>
                <w:szCs w:val="1"/>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(114,833)</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(114,833)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Deposits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74,913</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144,641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(331,718)</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(328,659)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47,694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expenses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51,158</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(326,536)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81,699</w:t>
            </w:r>
          </w:p>
        </w:tc>
        <w:tc>
          <w:tcPr>
            <w:tcW w:w="0" w:type="dxa"/>
            <w:vAlign w:val="bottom"/>
          </w:tcPr>
          <w:p>
            <w:pPr>
              <w:spacing w:after="0"/>
              <w:rPr>
                <w:sz w:val="1"/>
                <w:szCs w:val="1"/>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Accrued severance and other liabilities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(318,448)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958,614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NET CASH USED IN OPERATING ACTIVITIES OF CONTINUING OPERATIONS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(7,696,619)</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(15,113,533)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(93,582,979)</w:t>
            </w:r>
          </w:p>
        </w:tc>
        <w:tc>
          <w:tcPr>
            <w:tcW w:w="0" w:type="dxa"/>
            <w:vAlign w:val="bottom"/>
          </w:tcPr>
          <w:p>
            <w:pPr>
              <w:spacing w:after="0"/>
              <w:rPr>
                <w:sz w:val="1"/>
                <w:szCs w:val="1"/>
                <w:color w:val="auto"/>
              </w:rPr>
            </w:pPr>
          </w:p>
        </w:tc>
      </w:tr>
      <w:tr>
        <w:trPr>
          <w:trHeight w:val="323"/>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 OF CONTINUING OPERATIONS: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marketable securities - US Treasury Bills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(18,575,915)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(5,407)</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(40,245)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(3,555,925)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MASA Energy, LLC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Minority equity investment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in Nanotechnica</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 for interest in Aonex</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in Insert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 for interest in Calando</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(800,000)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(8,800,000)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in Unidym</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(2,137,003)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(14,138,003)</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paid/obtained for interest in Tego</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1,700,000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(801,000)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obtained from interest in Nanotechnica</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obtained from interest in Aonex</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5,001,250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obtained from interest in Insert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10,529,594</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obtained from interest in Calando</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800,000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8,800,000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obtained from interest in Unidym</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2,137,003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14,138,003</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paid/obtained from interest in Tego</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(1,700,000)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801,000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marketable securities - US Treasury Bills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18,888,265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700,000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1,269,913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subsidiary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359,375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sale of fixed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240" w:type="dxa"/>
            <w:vAlign w:val="bottom"/>
          </w:tcPr>
          <w:p>
            <w:pPr>
              <w:spacing w:after="0"/>
              <w:rPr>
                <w:sz w:val="18"/>
                <w:szCs w:val="18"/>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79,375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142,375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for patents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(303,440)</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50,773</w:t>
            </w: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INVESTING ACTIVITIES OF</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57,593</w:t>
            </w: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739,130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(3,593,735)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 OF CONTINUING OPERATIONS: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of capital leases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(726,534)</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(810,456)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(1,677,000)</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issuance of Calando debt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2,516,467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2,516,467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stock in subsidiary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2,000,000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19,175,168</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issuance of common stock and warrants, net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12,165,156</w:t>
            </w:r>
          </w:p>
        </w:tc>
        <w:tc>
          <w:tcPr>
            <w:tcW w:w="240" w:type="dxa"/>
            <w:vAlign w:val="bottom"/>
          </w:tcPr>
          <w:p>
            <w:pPr>
              <w:spacing w:after="0"/>
              <w:rPr>
                <w:sz w:val="19"/>
                <w:szCs w:val="19"/>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2,758,993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90,787,391</w:t>
            </w: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 OF CONTINUING</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12,038,622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6,465,004</w:t>
            </w:r>
          </w:p>
        </w:tc>
        <w:tc>
          <w:tcPr>
            <w:tcW w:w="4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110,802,026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Cash flows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04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(163,962)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(7,567,525)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Investing cash flows</w:t>
            </w:r>
          </w:p>
        </w:tc>
        <w:tc>
          <w:tcPr>
            <w:tcW w:w="1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discontinued operations: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(163,962)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(6,778,150)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1280"/>
              <w:spacing w:after="0"/>
              <w:rPr>
                <w:sz w:val="20"/>
                <w:szCs w:val="20"/>
                <w:color w:val="auto"/>
              </w:rPr>
            </w:pPr>
            <w:r>
              <w:rPr>
                <w:rFonts w:ascii="Arial" w:cs="Arial" w:eastAsia="Arial" w:hAnsi="Arial"/>
                <w:sz w:val="18"/>
                <w:szCs w:val="18"/>
                <w:color w:val="auto"/>
              </w:rPr>
              <w:t>NET INCREASE (DECREASE) IN CASH</w:t>
            </w: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4,826,938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(8,073,361)</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6,847,162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1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2,020,224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10,093,585</w:t>
            </w: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6,847,162</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2,020,224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6,847,162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26,905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88,267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125,419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502,260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208,382 newly issued shares of Arrowhead Common Stock valued at $1,077,333 plus $850,667 in cash. The 208,382 shares of Arrowhead Common Stock were valued based on the average closing price of Arrowhead’s Common Stock on NASDAQ the ten trading days immediately prior to the date of the closing.</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70,547 shares of Arrowhead Common Stock with an estimated fair market value of $200,000 based on the average closing price of Arrowhead’s Common Stock on NASDAQ the ten trading days immediately prior to the date of the closing.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105,049 shares of Arrowhead Common Stock with an estimated fair market value of $310,000 based on the average closing price of Arrowhead’s Common Stock on NASDAQ the ten trading days immediately prior to the date of the closing, plus $250,000 in cash.</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114,115 shares of Arrowhead stock with an estimated fair market value of $250,000.</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June 11, 2009, Arrowhead issued 1,324,625 shares of Common Stock with an estimated fair market value of $688,802 in exchange for an equal number of Series A Preferred Stock of Unidym, with minority stockholders of Unidym.</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25, 2009, Arrowhead issued 1,944,444 shares of Common Stock with an estimated fair market value of $972,222 in exchange for an equal number of Series C Preferred Stock of Unidym, with a minority stockholder of Unidym.</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September 22, 2009, Arrowhead issued 91,495 shares of Common Stock with an estimated fair market value of $46,662 in exchange for an equal number of Series A Preferred Stock of Unidym with a minority stockholder of Unidym.</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September 28, 2009, Arrowhead issued 642,273 shares of Common Stock with an estimated fair market value of $398,209 in exchange for 5,574 shares of Series A Preferred Stock and 636,699 shares of Series C Preferred Stock of Unidym, with several minority stockholders of Unidym.</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September 30, 2009, Arrowhead issued 277,778 shares of Common Stock with an estimated fair market value of $186,111 in exchange for an equal number of Series C-1 Preferred Stock of Unidym, with a minority stockholder of Unidym.</w:t>
      </w:r>
    </w:p>
    <w:p>
      <w:pPr>
        <w:spacing w:after="0" w:line="132"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In October and November 2009, Arrowhead issued 153,176 shares of Common Stock with an estimated fair market value of $47,485 in exchange for an equal number of shares of Series C Preferred Stock of Unidym, with several minority stockholders of Unidym.</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October and November 2009, Arrowhead issued 1,140,000 shares of Common Stock with an estimated fair market value of $706,800 in exchange for 2,850,000 shares of Calando common stock, with several minority stockholders of Calando. In conjunction with the exchange, Arrowhead also issued 240,000 Warrants to purchase Arrowhead Common Stock in exchange for 600,000 Warrants to purchase Calando common stock.</w:t>
      </w:r>
    </w:p>
    <w:p>
      <w:pPr>
        <w:spacing w:after="0" w:line="10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In February 2010, Arrowhead issued 80,000 shares of Common Stock and 24,000 warrants to purchase Arrowhead Common Stock, at an exercise price of $0.50, to several Calando shareholders, in exchange for 200,000 shares of Calando common stock and 60,000 warrants to purchase Calando common stock.</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March 2010, a warrant holder exercised 247,880 warrants to purchase Arrowhead Common Stock, in a cashless exercise, whereby Arrowhead issued to the warrant holder 128,707 shares of Arrowhead Common Stock.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September 2010, Arrowhead issued warrants to purchase 3,906,250 shares of Arrowhead Common Stock, at an exercise price of $0.50, to two Calando shareholders, in exchange for 1,562.5 shares of Series A Preferred Stock of Calando Pharmaceuticals, Inc.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8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“ARC” refers to Arrowhead Research Corporation, a privately-held California corporation with which Arrowhead consummated a stock exchange transaction in January 2004, (4) the term “Subsidiaries” refers collectively to Calando Pharmaceuticals, Inc. (“Calando”), Unidym, Inc. (“Unidym”), Agonn Systems, Inc. (“Agonn”,) and Tego Biosciences Corporation (“Tego”),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Common Stock or securities exercisable for Common Stock.</w:t>
      </w:r>
    </w:p>
    <w:p>
      <w:pPr>
        <w:spacing w:after="0" w:line="220" w:lineRule="exact"/>
        <w:rPr>
          <w:sz w:val="20"/>
          <w:szCs w:val="20"/>
          <w:color w:val="auto"/>
        </w:rPr>
      </w:pPr>
    </w:p>
    <w:p>
      <w:pPr>
        <w:ind w:right="5700"/>
        <w:spacing w:after="0" w:line="34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Going Concern</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Research Corporation is a development stage nanotechnology holding company that forms, acquires, and operates subsidiaries commercializing innovative nanotechnologies. By working closely with leading scientists and universities, Arrowhead identifies advances in nanotechnology and matches them with product development opportunities in high-growth markets. The Company is focusing on the field of nanomedicine. Arrowhead has two major subsidiaries, Unidym and Calando, and has minority investments in two early-stage nanotechnology companies, Nanotope, Inc. (“Nanotope”) and Leonardo Biosystems, Inc. (“Leonardo”).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Development activities at our Subsidiaries, in particular Calando and Unidym, has required significant capital investment since the Company’s inception in 2003 and is expected to continue to require significant cash investment in fiscal 2011 to continue development.</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2010, Arrowhead had cash on hand of approximately $6.8 million on a consolidated basis. Cash and cash equivalents increased during the 2010 fiscal year by $4.8 million to $6.8 million at September 30, 2010 from $2.0 million at September 30, 2009.</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Cash used in operating activities was $7.6 million, which represents the on-going expenses of Arrowhead and its Subsidiaries. Cash provided from financing activities was $12.0 million. As further described below, there were two significant equity financings during fiscal 2010 with total net proceeds of $11.1 million. In addition, warrants were exercised during the year which yielded proceeds of $1.1 million. Proceeds from financing activities also include $0.6 million related to cash investments in Unidym. Finally, payments on capital lease obligations were $0.7 million. Cash flow from discontinued operations was $0.4 million, related to the sale of the Company’s intellectual property assets of Tego Biosciences to Luna Innovations Inc. The Company’s operation of Tego has ceased, however the asset purchase agreement with Luna Innovations, Inc. allows for certain royalties and milestone payments.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strategic plan includes focusing on near term revenue opportunities, conserving cash and seeking sources of new capital. To execute this plan, the Company will seek to accomplish one or more of the following on favorable terms: the out-license of technology, sale of a subsidiary, sale of non-core assets, funded joint development or partnership arrangements and sale of securities. The Company is actively involved in discussions with third parties regarding several of these alternatives. However, until such time as one or more of these efforts can be accomplished, the Company will continue to conserve cash while investing in its core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management anticipates that the Company will be able to satisfy the cash requirements of its operations through at least the next twelve months with current cash resources. The Company anticipates that further equity financings, and/or asset sales and license agreements will be necessary to continue to fund operations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Principles of Consolidation—The consolidated financial statements of the Company include the accounts of Arrowhead and its wholly-owned and majority-owned Subsidiaries. Prior to April 2008, Arrowhead’s Subsidiaries included Insert Therapeutics, Inc. (“Insert”), which was merged with Calando in April 2008. The merged entity is majority-owned by Arrowhead and continues to operate under the name of Calando. At September 30, 2010, other Subsidiaries included Unidym, Tego, and Agonn. On December 23, 2009, Tego completed a sale of its assets to Luna Innovations, Inc. and Tego results are included in the Income (Loss) from Discontinued Operations. Income (Loss) from Discontinued Operations also includes Aonex Technologies, Inc. (“Aonex”), sold in May 2008 and Nanotechnica, Inc. (“Nanotechnica”), dissolved in June 2005. All significant intercompany accounts and transactions are eliminated in consolidation, and noncontrolling interests are accounted for in the Company’s financial statements.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valuing the stock of the Subsidiaries, assumptions to calculate stock-based compensation expense, allowance for doubtful accounts, deferred tax asset valuation allowance, derivative liabilities, noncontrolling interest and useful lives for depreciable and amortizable assets. Actual results could differ from those estimates. Additionally, certain reclassifications have been made to prior period financial statements to conform to the current period presentation. In the opinion of management, all adjustments, including normal recurring accruals considered necessary for a fair presentation, have been included.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Equivalents—The Company considers all liquid debt instruments purchased with a maturity of three months or less to be cash equivalents.</w:t>
      </w:r>
    </w:p>
    <w:p>
      <w:pPr>
        <w:spacing w:after="0" w:line="19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Credit Risk—The Company extends credit to its customers in the normal course of business and generally does not require collateral or other security. The Company performs ongoing credit evaluations of its customers’ financial condition and historically has not incurred significant credit losses.</w:t>
      </w:r>
    </w:p>
    <w:p>
      <w:pPr>
        <w:spacing w:after="0" w:line="85"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Concentration of Credit Risk—The Company maintains checking accounts for Arrowhead and separate accounts for each Subsidiary at any of three financial institutions. These accounts are insured by the Federal Deposit Insurance Corporation (FDIC) for up to $250,000 per account. The Company has two wealth management accounts at the same financial institutions that invest in higher yield money market accounts and in government securities. Management believes the Company is not exposed to significant credit risk due to the financial position of the depository institution in which these deposits are held.</w:t>
      </w:r>
    </w:p>
    <w:p>
      <w:pPr>
        <w:spacing w:after="0" w:line="9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Property and Equipment—Property and equipment are recorded at cost. Depreciation of property and equipment is recorded using the straight-line method over the respective useful lives of the assets ranging from three to seven years. Leasehold improvements are amortized over the lesser of the expected useful life or the remaining lease term.</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Intellectual Property—At September 30, 2010, intellectual property consisted of patents and patent applications licensed or purchased in the gross amount of $4,093,624. The accumulated amortization of patents totaled $2,046,788 at September 30, 2010. Patents are amortized over three years to twenty years. The weighted average original amortization period is twelve years. The weighted average remaining amortization period is eight years. Amortization is expected to be $315,624 in fiscal 2011, and $241,808 for fiscal years 2012, 2013, 2014 and 2015, and $763,980 thereafter. Long-lived assets, such as property, equipment and intangible assets subject to amortization are reviewed for impairment whenever events or circumstances indicate that the carrying amount of these assets may not be recoverable. In reviewing for impairment, we compare the carrying value of such assets to the estimated undiscounted future cash flows expected from the use of the assets and their eventual disposition. When the estimated undiscounted future cash flows are less than their carrying amount, an impairment loss is recognized equal to the difference between the assets’ fair value and their carrying value.</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Equity Investments—Arrowhead has a non-controlling equity investment in Nanotope, a privately held biotechnology company, which is recorded in Other Assets. This investment is carried at cost less Arrowhead’s proportionate share of Nanotope’s operating loss for the period since investment. Arrowhead utilizes the equity method of accounting as it owns more than 20% of the voting equity and has the ability to exercise significant influence over this company. This investment is risky as the markets for technologies or products of Nanotope are still in the development stage and such markets may never be significant. Arrowhead could lose its entire investment in Nanotope. Arrowhead monitors this investment for impairment and makes appropriate reductions in carrying value when necessary.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Minority Equity Investments—The Company’s minority equity investment in Leonardo, a privately held biotechnology company, is recorded in Other Assets. This investment is accounted for under the cost method of accounting as Arrowhead owns less than 20% of the voting equity and only has the ability to exercise nominal, not significant, influence over this company. This investment is risky as the markets for technologies or products of Leonardo are still in the development stage and such markets may never be significant. Arrowhead could lose its entire investment in Leonardo. Arrowhead monitors this investment for impairment and makes appropriate reductions in carrying value when necessary.</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Calando and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 which was effective for the Company on October 1, 2009.</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When there is a change in the Company’s proportionate share of a development-stage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 Recognition—Revenue from product sales are recorded when persuasive evidence of an arrangement exists, title has passed and delivery has occurred,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and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43"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Cost of Goods Sold—The production of nanotubes by Unidym has been primarily for research and development activities. Therefore, the nanotubes produced are not capitalized as inventory, nor is a cost of goods sold calculated, even though some nanotubes are eventually sold to third parties.</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 Dilutive earnings (loss) per share has not been presented, because the effect is anti-dilutive.</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w:t>
      </w:r>
    </w:p>
    <w:p>
      <w:pPr>
        <w:spacing w:after="0" w:line="143" w:lineRule="exact"/>
        <w:rPr>
          <w:sz w:val="20"/>
          <w:szCs w:val="20"/>
          <w:color w:val="auto"/>
        </w:rPr>
      </w:pPr>
    </w:p>
    <w:p>
      <w:pPr>
        <w:ind w:right="340" w:firstLine="456"/>
        <w:spacing w:after="0" w:line="314" w:lineRule="auto"/>
        <w:rPr>
          <w:sz w:val="20"/>
          <w:szCs w:val="20"/>
          <w:color w:val="auto"/>
        </w:rPr>
      </w:pPr>
      <w:r>
        <w:rPr>
          <w:rFonts w:ascii="Arial" w:cs="Arial" w:eastAsia="Arial" w:hAnsi="Arial"/>
          <w:sz w:val="15"/>
          <w:szCs w:val="15"/>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January 2010, the FASB issued Accounting Standards Update ASU No. 2010-06, “Fair Value Measurements and Disclosures (Topic 820) – Improving Disclosures about Fair Value Measurements”. This guidance requires new disclosures related to recurring and nonrecurring fair value measurements. The guidance requires disclosure of transfers of assets and liabilities between Level 1 and Level 2 of the fair value measurement hierarchy, including the reasons and the timing of the transfers and information on purchases, sales, issuance, and settlements on a gross basis in the reconciliation of the assets and liabilities measured under Level 3 of the fair value measurement hierarchy. The adoption of this guidance is effective for interim and annual reporting periods beginning after December 15, 2009. We have adopted this guidance in the financial statements presented herein, which did not impact our consolidated financial position or results of operations.</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October 2009, the FASB issued ASU 2009-13, which amends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This new accounting guidance relates to the revenue recognition of multiple element arrangements. The new guidance states that if vendor specific objective evidence or third party evidence for deliverables in an arrangement cannot be determined, companies will be required to develop a best estimate of the selling price for separate deliverables and allocate arrangement consideration using the relative selling price method. We adopted this guidance as of January 1, 2010 on a prospective basis. The adoption of this guidance did not have a material impact on our consolidated financial statements.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July 1, 2009, the FASB issued the FASB Accounting Standards Codification (the Codification). The Codification became the single source of authoritative non-governmental U.S. generally accepted accounting principles (“GAAP”), superseding existing FASB, American Institute of Certified Public Accountants (“AICPA”), Emerging Issues Task Force (“EITF”) and related literature. The Codification eliminates the previous US GAAP hierarchy and establishes one level of authoritative GAAP. All other literature is considered non-authoritative. The Codification was effective for interim and annual periods ending after September 15, 2009. The Company adopted the Codification for the year ended September 30, 2009. This guidance did not change GAAP; therefore it did not have an impact on our consolidated financial statements. References within this note and throughout our financial statements to authoritative guidance issued by the FASB are in reference to the codification.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June 2010, the FASB issued ASU No. 2010-17, </w:t>
      </w:r>
      <w:r>
        <w:rPr>
          <w:rFonts w:ascii="Arial" w:cs="Arial" w:eastAsia="Arial" w:hAnsi="Arial"/>
          <w:sz w:val="16"/>
          <w:szCs w:val="16"/>
          <w:i w:val="1"/>
          <w:iCs w:val="1"/>
          <w:color w:val="auto"/>
        </w:rPr>
        <w:t>Revenue Recognition—Milestone Method (Topic 605): Milestone Method of Revenue Recognition.</w:t>
      </w:r>
      <w:r>
        <w:rPr>
          <w:rFonts w:ascii="Arial" w:cs="Arial" w:eastAsia="Arial" w:hAnsi="Arial"/>
          <w:sz w:val="16"/>
          <w:szCs w:val="16"/>
          <w:color w:val="auto"/>
        </w:rPr>
        <w:t xml:space="preserve"> This ASU codifies the consensus reached in EITF Issue No. 08-9, “Milestone Method of Revenue Recognition.” The amendments to the Codification provide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This guidance will be effective for the fiscal year beginning October 1, 2010. The Company does not expect the adoption of these amendments to have a material impact on the consolidated financial statements.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June 2009, the FASB issued amendments to the accounting rules for variable interest entities (VIEs) and for transfers of financial assets, codified as ASC 860-10. The new guidance for VIEs eliminates the quantitative approach previously required for determining the primary beneficiary of a variable interest entity and requires ongoing qualitative reassessments of whether an enterprise is the primary beneficiary. In addition, qualifying special purpose entities (“QSPEs”) are no longer exempt from consolidation under the amended guidance. The amendments also limit the circumstances in which a financial asset, or a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This guidance is effective as of the beginning of a reporting entity’s first annual reporting period that begins after November 15, 2009 and for interim periods within the first annual reporting period. The Company does not expect the adoption of these amendments to have a material impact on the consolidated financial statements.</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June 2009, the FASB issued guidance codified as ASC 470-20, regarding accounting for own-share lending arrangements in contemplation of convertible debt issuance, which changes the accounting for equity share lending arrangements on an entity’s own shares when executed in contemplation of a convertible debt offering. This guidance requires the share lending arrangement to be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measured at fair value and recognized as an issuance cost. These issuance costs should then be amortized as interest expense over the life of the financing arrangement. Shares loaned under these arrangements should be excluded from computation of earnings per share. This guidance is effective for fiscal years beginning after December 15, 2009 and requires retrospective application for all arrangements outstanding as of the beginning of the fiscal year. The Company does not expect the adoption of this guidance to have a material impact on its consolidated financial statements.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the FASB issued authoritative guidance on multiple-deliverable revenue arrangements, ASC 605-25. This guidance amends the existing criteria for separating consideration received in multiple-deliverable arrangements and requires that arrangement consideration be allocated at the inception of the arrangement to all deliverables based on their relative selling price. The guidance establishes a hierarchy for determining the selling price of a deliverable which is based on vendor-specific objective evidence, third-party evidence, or management estimates. Expanded disclosures related to multiple-deliverable revenue arrangements are also required. This guidance is effective for the Company beginning fiscal year 2011. Upon adoption, the guidance may be applied either prospectively from the beginning of the fiscal year for new or materially modified arrangements, or it may be applied retrospectively. The Company does not expect the adoption of this guidance to have a material impact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BASIS OF CONSOLIDATION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consolidated financial statements for the years ended September 30, 2010 and 2009 respectively, include the accounts of Arrowhead and its Subsidiaries, Calando, Unidym, Tego and Agonn. All significant intercompany accounts and transactions are eliminated in consolidation and minority interests were accounted for in the consolidated statements of operations and the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Inc.</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Unidym, Inc. was founded by Arrowhead in 2005. Through the license of intellectual property and the acquisition of three development stage nanotechnology companies in 2006, 2007 and 2008, Unidym acquired the rights to key patents for the manufacture and application of carbon nanotubes, and is developing products with applications for the display industry. The consolidated financial statements include the results of the merged companies.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fiscal 2009, Arrowhead invested $8.3 million in Unidym and provided Arrowhead stock with an aggregate value of $5.4 million to facilitate Unidym acquisitions. In fiscal 2009, Unidym raised a total of $4.7 million through the sale of Series C-1 Preferred Stock, of which $2.7 million was invested by Arrowhead.</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fiscal 2008 and fiscal 2009, Arrowhead increased its ownership interest in Unidym through a series of stock exchanges with minority holders of Unidym. In April 2008, Arrowhead acquired 550,000 shares of Unidym common stock from a director and minority holder of Unidym in exchange for $350,000 in cash and restricted Arrowhead Common Stock valued at $200,000. In fiscal 2009, Arrowhead acquired 4.3 million shares of Unidym preferred stock in exchange for 4.3 million shares of Arrowhead Common Stock.</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Arrowhead invested $642,000 in exchange for 2,140,000 shares of Unidym Series D Preferred Stock and a warrant to purchase 3,146,208 shares of Unidym common stock at an exercise price of $0.25 per share with an expiration date three years from the date of issuance. As a condition to this investment, each share of Series C-1 Preferred Stock was converted to six shares of Unidym Series D Preferred Stock. A minority shareholder of Unidym invested $300,000 for 1,000,000 shares of Unidym Series D Preferred Stock and 1,000,000 warrants with similar terms.</w:t>
      </w:r>
    </w:p>
    <w:p>
      <w:pPr>
        <w:spacing w:after="0" w:line="11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October and November 2009, Arrowhead issued 153,176 shares of Common Stock with an estimated fair market value of $47,485 in exchange for an equal number of shares of Series C Preferred Stock of Unidym, with several minority stockholders of Unidym. In June 2010, Arrowhead received 4,785,077 shares of Series D Preferred Stock of Unidym in exchange for the cancellation of $1,435,523 in accumulated operational loans by Arrowhead to Unidym.</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Arrowhead owned 79% of the outstanding stock of Unidym and 64%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 (formerly known as Insert Therapeutics, Inc.)</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April 17, 2008, Calando merged with and into Insert, with Insert as the surviving company. Prior to the merger, Arrowhead invested an aggregate of $23.2 million in Calando through equity and debt financings. As a condition of the merger, the Preferred Stock of each of Calando and Insert was converted into common stock and the loans were converted to equity. As a result of the merger, shares of Insert common stock were issued to the stockholders of the former Calando, and Insert changed its name to Calando Pharmaceuticals, Inc.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Subsequently, most of the Notes were converted to equity as described below. At September 30, 2010, one Note for $500,000 remained outstanding. The Notes had a 10% interest rate and matured on November 26, 2010. The Notes are convertible into Calando common stock and can be redeemed for two times their face value plus interest in the event of a sale of Calando. To facilitate this investment in Calando, Arrowhead subordinated a series of 6% simple interest loans and advances totaling approximately $5.3 million of principal plus interest.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June 23, 2009, to facilitate licensing transactions with a third party, holders (including Arrowhead) of an aggregate of $2.9 million of the Notes, including accrued but unpaid interest, converted the principal and accrued interest into newly authorized Calando Series A Preferred Stock. The non-voting Series A Preferred Stock has a liquidation preference of 2.5 times the Series A Original Issue Price of $1,000 per share and is convertible into common stock at a conversion price of $0.576647 per share. Arrowhead converted all of its Notes representing a principal balance of $800,000, plus accrued but unpaid interest, into 829 shares of Series A Preferred Stock. One third-party Note for $500,000 plus interest remains outstanding.</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September 30, 2010, Arrowhead had a series of 6% simple-interest working capital loans and advances outstanding to Calando totaling $7,929,326, inclusive of accrued interest of $615,139, which are payable upon demand.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fiscal 2010, Arrowhead issued 1,220,000 shares of its Common Stock in exchange for 3,050,000 shares of Calando common stock, with several minority stockholders of Calando. In conjunction with this exchange, Arrowhead also issued 240,000 warrants to purchase Arrowhead Common Stock in exchange for 600,000 warrants to purchase Calando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Arrowhead owned 70% of the outstanding shares of Calando and 64%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Nanotope, Inc.</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Nanotope is developing advanced nanomaterials for the treatment of spinal cord injuries, cartilage regeneration and wound healing. In April 2008, Arrowhead acquired a 5.8% ownership interest in Nanotope. In July and September 2008, Arrowhead acquired 1,801,802 shares of Series B Preferred Stock of Nanotope for two payments of $1 million each, increasing Arrowhead’s ownership interest in Nanotope to approximately 23%. Since inception, Nanotope’s revenue has been negligible. Operating expenses for the twelve months ended September 30, 2010 were approximately $975,000. Nanotope’s net loss for the twelve months ended September 30, 2010 was $955,000. Arrowhead accounts for its investment in Nanotope using the equity method of accounting. As of September 30, 2010, Nanotope had indebtedness to Arrowhead in the amount of $467,000, included in other receivables, which is expected to be repaid or converted to equity.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for Nanotope, Inc.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16,000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130,000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176,000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585,000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(439,000)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516,000</w:t>
            </w:r>
          </w:p>
        </w:tc>
      </w:tr>
      <w:tr>
        <w:trPr>
          <w:trHeight w:val="346"/>
        </w:trPr>
        <w:tc>
          <w:tcPr>
            <w:tcW w:w="726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year ended</w:t>
            </w:r>
          </w:p>
        </w:tc>
      </w:tr>
      <w:tr>
        <w:trPr>
          <w:trHeight w:val="161"/>
        </w:trPr>
        <w:tc>
          <w:tcPr>
            <w:tcW w:w="72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975,000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1,038,000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(955,000)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(1,030,000)</w:t>
            </w:r>
          </w:p>
        </w:tc>
      </w:tr>
      <w:tr>
        <w:trPr>
          <w:trHeight w:val="352"/>
        </w:trPr>
        <w:tc>
          <w:tcPr>
            <w:tcW w:w="726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year ended</w:t>
            </w:r>
          </w:p>
        </w:tc>
      </w:tr>
      <w:tr>
        <w:trPr>
          <w:trHeight w:val="161"/>
        </w:trPr>
        <w:tc>
          <w:tcPr>
            <w:tcW w:w="72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(329,000)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(948,000)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Leonardo is developing a drug-delivery platform technology based on novel methods of designing spheroid porous silicon microparticles that selectively accumulate in tumor vasculature. In April 2008, Arrowhead acquired a 6.13% ownership interest in Leonardo. Arrowhead accounts for its investment in Leonardo using the cost method of accounting. As of September 30, 2010, Leonardo had indebtedness to Arrowhead in the amount of $325,000, included in other receivables, which is expected to be repaid or converted to equity. As of September 30, 2010, Arrowhead’s ownership interest in Leonardo was 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Agonn Systems, Inc.</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Arrowhead founded Agonn in May 2008 to explore, develop and commercialize nanotechnology-based energy storage devices for electric vehicles and other large format applications. Funding for Agonn has ceased, and development efforts have been curtailed.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DISCONTINUED OPERATIONS—TEGO BIOSCIENCES CORPORATION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April 20, 2007, Tego, a wholly-owned subsidiary of Arrowhead, acquired for $1,000 the assets of C Sixty, Inc., a Texas-based company developing protective products based on the anti-oxidant properties of fullerenes. On July 3, 2007, Arrowhead capitalized Tego with a purchase of 5,000,000 shares of Tego Series A1 Preferred Stock for $100,000. On October 25, 2007, Arrowhead purchased 15,000,000 shares of Tego Series A-2 Preferred Stock for $2.4 million. In line with Tego’s revised strategy to focus on the out-license of its technology and to reduce its internal development activities, on November 21, 2008, Tego repurchased from Arrowhead 5,000,000 shares of Tego Series A-1 Preferred Stock for $1.7 million. As of September 30, 2010, the Company had incurred approximately $1,017,000 of expenses related to Tego since its inception.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23, 2009, Tego completed the sale of all of its non-cash intellectual property assets (“Tego IP”) to Luna Innovations, Inc. (“Luna”) under the terms of the Tego-Luna Asset Purchase Agreement dated November 13, 2009 (“APA”). The Tego IP includes a portfolio of Tego-owned foreign and domestic patents and patent applications. The Tego IP also includes patent licenses from Siemens AG and Washington University, St. Louis. Under the APA, Luna agreed to assume Tego’s role as licensor under a license Tego granted under the Tego IP to The Bronx Project, Inc. (“TBP”) to develop carboxyfullerenes in the field of neuronal injury (the “TBP License”). Luna also assumed Tego’s role as licensor under the exclusive license Tego granted to Arrowhead’s affiliate Unidym, under the Tego IP in the field of industrial non-pharmaceutical fullerenes.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Luna paid to Tego an upfront purchase price of $350,000 and reimbursements of patent and license expenses of $80,000. Further, under the terms of the APA, Luna will pay Tego 10% of any revenues it receives from its licensing or resale of the Tego IP. Tego shall also receive from Luna 50% of any net proceeds Luna receives from the TBP License. Tego shall receive royalties from Luna for any sales of fullerene products covered by the Tego IP, as well as clinical development milestones totaling $4.25 million for each fullerene product it develops that is covered by the Tego IP.</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Due to the sale of substantially all of Tego’s assets, the operations of Tego ceased and the gain on the sale and the results of historical operations are recorded as discontinued operation in the Company’s Statements of Operations. Additionally, the cash flows from Tego are reflected separately as cash flows from discontinued operations. Potential future cash flows associated with the Luna APA, as discussed above, will be reflected as a part of cash flows from discontinued operations in the Company’s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NOTES PAYABLE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The Notes had a 10% interest rate and matured on November 26, 2010. Unpaid principal of the Notes and accrued but unpaid interest thereon is convertible into common stock of Calando at a conversion price of $0.576647 per share (subject to adjustment) at any time in the sole discretion of the holder. In the event Calando achieves a liquidation event as defined in the Notes, each note holder has the option to exchange the Notes for two times the then outstanding principal amount owed under the Notes plus accrued and unpaid interest thereon, or convert the outstanding principal and accrued and unpaid interest thereon into Calando common stock at the conversion price.</w:t>
      </w:r>
    </w:p>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Except for one Note in the principal amount of $500,000, all Notes and accrued interest were converted into a total of 2,950 shares of Calando Series A Preferred Stock on June 23,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September 30, 2010, the Company had a total of 150,000,000 shares of capital stock authorized for issuance, consisting of 145,000,000 shares of Common Stock, par value $0.001, and 5,000,000 shares of Preferred Stock, par value $0.001.</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At September 30, 2010, 71,720,137 shares of Common Stock were outstanding. At September 30, 2010, 1,532,000 shares and 9,731,435 shares were reserved for issuance upon exercise of options granted under Arrowhead’s 2000 Stock Option Plan and 2004 Equity Incentive Plan, respectively.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July 17, 2009 and August 6, 2009, the Company sold an aggregate of 9,196,642 units in a private placement transaction with institutional and accredited investors. Each unit consisted of one share of Arrowhead Common Stock, at a price of $0.30 per share, and a warrant to purchase an additional share of Common Stock exercisable at $0.50 per share. The warrants became exercisable on January 18, 2010 and February 7, 2010, and remain exercisable until June 30, 2014. The market conditions required for redemption provided for in the warrants has been met and the warrants are eligible for redemption by the Company. Gross proceeds of the offering were approximately $2.76 million.</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December 11, 2009, the Company sold an aggregate of 5,083,430 units in a private placement transaction with accredited investors. Each unit consisted of one share of Arrowhead Common Stock and a warrant to purchase an additional share of Common Stock exercisable at $0.509 per share. The unit price was $0.634, based upon the closing bid price on the Company’s Common Stock on December 11, 2009, which was $0.509, plus $0.125 for the purchase of the warrant. The warrants became exercisable on June 12, 2010 and remain exercisable until December 11, 2014. The market conditions required for redemption provided for in the warrants has been met and the warrants are eligible for redemption by the Company. Gross proceeds of the offering were approximately $3.2 million.</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June 17, 2010, the Company sold an aggregate of 6,592,989 units at a price of $1.312 per unit in a registered offering to institutional and accredited investors. Each unit consisted of one share of Arrowhead Common Stock and a warrant to purchase 0.5 share of Common Stock exercisable at $1.65 per share. The warrants contain an antidilution provision which can result in an adjustment to the exercise price under certain circumstances. Gross proceeds from the offering were $8.65 million before deducting placement agent commission and other offering expenses of approximately $800,000.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w w:val="85"/>
              </w:rPr>
              <w:t>Exercise prices</w:t>
            </w:r>
          </w:p>
        </w:tc>
        <w:tc>
          <w:tcPr>
            <w:tcW w:w="2840" w:type="dxa"/>
            <w:vAlign w:val="bottom"/>
            <w:gridSpan w:val="2"/>
          </w:tcPr>
          <w:p>
            <w:pPr>
              <w:spacing w:after="0"/>
              <w:rPr>
                <w:sz w:val="14"/>
                <w:szCs w:val="14"/>
                <w:color w:val="auto"/>
              </w:rPr>
            </w:pPr>
          </w:p>
        </w:tc>
        <w:tc>
          <w:tcPr>
            <w:tcW w:w="2920" w:type="dxa"/>
            <w:vAlign w:val="bottom"/>
            <w:gridSpan w:val="4"/>
          </w:tcPr>
          <w:p>
            <w:pPr>
              <w:jc w:val="right"/>
              <w:ind w:right="1700"/>
              <w:spacing w:after="0"/>
              <w:rPr>
                <w:sz w:val="20"/>
                <w:szCs w:val="20"/>
                <w:color w:val="auto"/>
              </w:rPr>
            </w:pPr>
            <w:r>
              <w:rPr>
                <w:rFonts w:ascii="Arial" w:cs="Arial" w:eastAsia="Arial" w:hAnsi="Arial"/>
                <w:sz w:val="14"/>
                <w:szCs w:val="14"/>
                <w:b w:val="1"/>
                <w:bCs w:val="1"/>
                <w:color w:val="auto"/>
                <w:w w:val="89"/>
              </w:rPr>
              <w:t>Number of Warrants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Life in Years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$5.04</w:t>
            </w:r>
          </w:p>
        </w:tc>
        <w:tc>
          <w:tcPr>
            <w:tcW w:w="9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1,235,994</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3"/>
              </w:rPr>
              <w:t>$7.06</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948,969</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center"/>
              <w:ind w:left="96"/>
              <w:spacing w:after="0"/>
              <w:rPr>
                <w:sz w:val="20"/>
                <w:szCs w:val="20"/>
                <w:color w:val="auto"/>
              </w:rPr>
            </w:pPr>
            <w:r>
              <w:rPr>
                <w:rFonts w:ascii="Arial" w:cs="Arial" w:eastAsia="Arial" w:hAnsi="Arial"/>
                <w:sz w:val="18"/>
                <w:szCs w:val="18"/>
                <w:color w:val="auto"/>
                <w:w w:val="87"/>
              </w:rPr>
              <w:t>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$2.00</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3,863,999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3"/>
              </w:rPr>
              <w:t>$0.50</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11,716,892</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center"/>
              <w:ind w:left="96"/>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$0.51</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4,610,244</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3"/>
              </w:rPr>
              <w:t>$1.65</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3,296,497</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center"/>
              <w:ind w:left="96"/>
              <w:spacing w:after="0"/>
              <w:rPr>
                <w:sz w:val="20"/>
                <w:szCs w:val="20"/>
                <w:color w:val="auto"/>
              </w:rPr>
            </w:pPr>
            <w:r>
              <w:rPr>
                <w:rFonts w:ascii="Arial" w:cs="Arial" w:eastAsia="Arial" w:hAnsi="Arial"/>
                <w:sz w:val="18"/>
                <w:szCs w:val="18"/>
                <w:color w:val="auto"/>
                <w:w w:val="87"/>
              </w:rPr>
              <w:t>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warrants outstanding</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25,672,595</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LEASES</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00" w:type="dxa"/>
            <w:vAlign w:val="bottom"/>
            <w:gridSpan w:val="6"/>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gridSpan w:val="9"/>
          </w:tcPr>
          <w:p>
            <w:pPr>
              <w:ind w:left="440"/>
              <w:spacing w:after="0"/>
              <w:rPr>
                <w:sz w:val="20"/>
                <w:szCs w:val="20"/>
                <w:color w:val="auto"/>
              </w:rPr>
            </w:pPr>
            <w:r>
              <w:rPr>
                <w:rFonts w:ascii="Arial" w:cs="Arial" w:eastAsia="Arial" w:hAnsi="Arial"/>
                <w:sz w:val="18"/>
                <w:szCs w:val="18"/>
                <w:color w:val="auto"/>
              </w:rPr>
              <w:t>As of September 30, 2010, the Company leased the following facilities: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Lab/Office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Monthly</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0"/>
              </w:rPr>
              <w:t>Lease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Space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Commencement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Arrowhead</w:t>
            </w: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tcPr>
          <w:p>
            <w:pPr>
              <w:ind w:left="420"/>
              <w:spacing w:after="0"/>
              <w:rPr>
                <w:sz w:val="20"/>
                <w:szCs w:val="20"/>
                <w:color w:val="auto"/>
              </w:rPr>
            </w:pPr>
            <w:r>
              <w:rPr>
                <w:rFonts w:ascii="Arial" w:cs="Arial" w:eastAsia="Arial" w:hAnsi="Arial"/>
                <w:sz w:val="18"/>
                <w:szCs w:val="18"/>
                <w:color w:val="auto"/>
              </w:rPr>
              <w:t>Pasadena, CA</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7,388 sq ft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$18,470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5"/>
          </w:tcPr>
          <w:p>
            <w:pPr>
              <w:ind w:left="120"/>
              <w:spacing w:after="0"/>
              <w:rPr>
                <w:sz w:val="20"/>
                <w:szCs w:val="20"/>
                <w:color w:val="auto"/>
              </w:rPr>
            </w:pPr>
            <w:r>
              <w:rPr>
                <w:rFonts w:ascii="Arial" w:cs="Arial" w:eastAsia="Arial" w:hAnsi="Arial"/>
                <w:sz w:val="18"/>
                <w:szCs w:val="18"/>
                <w:color w:val="auto"/>
                <w:w w:val="88"/>
              </w:rPr>
              <w:t>March 1, 2006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w w:val="99"/>
              </w:rPr>
              <w:t>62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Unidym</w:t>
            </w: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5"/>
          </w:tcPr>
          <w:p>
            <w:pPr>
              <w:ind w:left="420"/>
              <w:spacing w:after="0"/>
              <w:rPr>
                <w:sz w:val="20"/>
                <w:szCs w:val="20"/>
                <w:color w:val="auto"/>
              </w:rPr>
            </w:pPr>
            <w:r>
              <w:rPr>
                <w:rFonts w:ascii="Arial" w:cs="Arial" w:eastAsia="Arial" w:hAnsi="Arial"/>
                <w:sz w:val="18"/>
                <w:szCs w:val="18"/>
                <w:color w:val="auto"/>
              </w:rPr>
              <w:t>Sunnyvale, CA</w:t>
            </w: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20,500 sq ft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$26,650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5"/>
          </w:tcPr>
          <w:p>
            <w:pPr>
              <w:spacing w:after="0"/>
              <w:rPr>
                <w:sz w:val="20"/>
                <w:szCs w:val="20"/>
                <w:color w:val="auto"/>
              </w:rPr>
            </w:pPr>
            <w:r>
              <w:rPr>
                <w:rFonts w:ascii="Arial" w:cs="Arial" w:eastAsia="Arial" w:hAnsi="Arial"/>
                <w:sz w:val="18"/>
                <w:szCs w:val="18"/>
                <w:color w:val="auto"/>
                <w:w w:val="88"/>
              </w:rPr>
              <w:t>October 1, 2008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w w:val="99"/>
              </w:rPr>
              <w:t>60 Months</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8100" w:type="dxa"/>
            <w:vAlign w:val="bottom"/>
            <w:gridSpan w:val="9"/>
          </w:tcPr>
          <w:p>
            <w:pPr>
              <w:ind w:left="440"/>
              <w:spacing w:after="0"/>
              <w:rPr>
                <w:sz w:val="20"/>
                <w:szCs w:val="20"/>
                <w:color w:val="auto"/>
              </w:rPr>
            </w:pPr>
            <w:r>
              <w:rPr>
                <w:rFonts w:ascii="Arial" w:cs="Arial" w:eastAsia="Arial" w:hAnsi="Arial"/>
                <w:sz w:val="18"/>
                <w:szCs w:val="18"/>
                <w:color w:val="auto"/>
                <w:w w:val="98"/>
              </w:rPr>
              <w:t>At September 30, 2010, the future minimum commitments remaining under leases are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Facilities</w:t>
            </w: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Twelve months ending September 30</w:t>
            </w:r>
          </w:p>
        </w:tc>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Leases</w:t>
            </w:r>
          </w:p>
        </w:tc>
        <w:tc>
          <w:tcPr>
            <w:tcW w:w="580" w:type="dxa"/>
            <w:vAlign w:val="bottom"/>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w w:val="84"/>
              </w:rPr>
              <w:t>Leases</w:t>
            </w:r>
          </w:p>
        </w:tc>
        <w:tc>
          <w:tcPr>
            <w:tcW w:w="5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gridSpan w:val="2"/>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461,390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20"/>
                <w:szCs w:val="20"/>
                <w:color w:val="auto"/>
              </w:rPr>
            </w:pPr>
            <w:r>
              <w:rPr>
                <w:rFonts w:ascii="Arial" w:cs="Arial" w:eastAsia="Arial" w:hAnsi="Arial"/>
                <w:sz w:val="18"/>
                <w:szCs w:val="18"/>
                <w:color w:val="auto"/>
                <w:w w:val="86"/>
              </w:rPr>
              <w:t>344,400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356,700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Facility and equipment rent expense for the years ended September 30, 2010 and 2009 was $499,221 and $1,317,696, respectively. From inception to date, rent expense has totaled $4,795,051. During fiscal 2010, Unidym subleased a portion of the building that it occupies, and the Company received rental income, which was recorded as an offset to rental expense, in the amount of $151,000 during the year ended September 30, 2010. Minimum future rental payments in the amount of $201,000 are expected through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COMMITMENTS AND CONTINGENCIES—SUBSIDIARIES AND SPONSORED RESEARCH</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exchange for the exclusive right to license technology developed in sponsored laboratories, Arrowhead has worked with universities in areas such as stem cell research, carbon electronics and molecular diagnostics. By funding university research, Arrowhead has the opportunity to ascertain the technical success at low research cost and, if warranted, continue cost effective development at the university by leveraging the already existing resources available to scientists at universities, such as laboratories and equipment and a culture that encourages the exchange of ideas. If sponsored research results in technology that appears to have commercial applications, the Company can form a subsidiary to develop the technology. Should the technology prove to be too difficult or too expensive to commercialize, Arrowhead may terminate the license agreement and return the licensed intellectual property to the university.</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Sponsored Research expense for the years ended September 30, 2010 and 2009 was $33,428 and $195,000. As of September 30, 2010, there was one active sponsored research agreement at Unidym.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Agreement—Duke University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sponsored research agreement between Unidym and Duke University (“Duke”) are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 Paid</w:t>
            </w:r>
          </w:p>
        </w:tc>
        <w:tc>
          <w:tcPr>
            <w:tcW w:w="20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as</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Sept. 30,</w:t>
            </w: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Research Project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3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Project Cost</w:t>
            </w:r>
          </w:p>
        </w:tc>
        <w:tc>
          <w:tcPr>
            <w:tcW w:w="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94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Electrical Conductivity of Carbon Nanotubes (Dr. Jie Liu)</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 1, 2007 -</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 30, 2010 (3 year)</w:t>
            </w:r>
          </w:p>
        </w:tc>
        <w:tc>
          <w:tcPr>
            <w:tcW w:w="120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$ 431,641</w:t>
            </w:r>
          </w:p>
        </w:tc>
        <w:tc>
          <w:tcPr>
            <w:tcW w:w="1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$ 100,000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$ 341,882</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fiscal 2009, the Duke sponsored research agreement was renegotiated resulting in the annual maximum cost decreasing from $191,375 to $100,000. The current contract expired on November 30, 2010, but is expected to be renewed.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Arrowhead has two plans that provide for equity-based compensation. Under the 2000 Stock Option Plan, 1,532,000 shares of Arrowhead’s Common Stock are reserved for issuance upon exercise of non-qualified stock options. No further grants can be made under the 2000 Stock Option Plan. The 2004 Equity Incentive Plan reserves 9,731,435 shares for the grant of stock options, stock appreciation rights, restricted stock awards and performance unit/share awards by the Board of Directors to employees, consultants and others. As of September 30, 2010, there were options granted and outstanding to purchase 1,532,000 and 6,591,338 shares of Common Stock under the 2000 Stock Option Plan and the 2004 Equity Incentive Plan, respectively. During the year ended September 30, 2010, 5,251,750 options were granted under the 2004 Equity Incentive Plan.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a private offering in fiscal 2009, directors, officers and employees of the Company agreed to forfeit options to purchase 4,005,000 shares of Common Stock with exercise prices ranging from $2.52 to $6.36. In consideration of the forfeiture of the option grants, other existing grants to purchase 450,000 shares were accelerated such that the awards became fully vested on the one year anniversary of the date of grant. The cancellation was effective July 17,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8,007,632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3.24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0.85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(5,566,044)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3.88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3440" w:type="dxa"/>
            <w:vAlign w:val="bottom"/>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1.73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5,251,750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0.69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1.11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3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1.11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8,123,338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1.06</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2,150,078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2010</w:t>
            </w:r>
          </w:p>
        </w:tc>
        <w:tc>
          <w:tcPr>
            <w:tcW w:w="3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4,296,633</w:t>
            </w: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1.47</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8.0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831,656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40" w:type="dxa"/>
            <w:vAlign w:val="bottom"/>
            <w:gridSpan w:val="3"/>
          </w:tcPr>
          <w:p>
            <w:pPr>
              <w:jc w:val="right"/>
              <w:ind w:right="260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Stock-based compensation expense for the years ended September 30, 2010 and 2009 was $1,582,149 and $2,676,170, respectively, and is included in Salary expense in the Company’s consolidated statements of operations. There is no income tax benefit as the company is currently operating at a loss and an actual income tax benefit may not be realized. The result of the loss creates a timing difference, resulting in a deferred tax asset, which is fully reserved by a valuation allowance.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fair value of the options granted by Arrowhead for the years ended September 30, 2010 and 2009 is estimated at $2,939,928 and $258,216, respectively. The aggregate fair value of options granted by Unidym and Calando for the years ended September 30, 2010 and 2009 is estimated at $20,700 and $448,715, respectively. The intrinsic value of the options exercised during fiscal 2009 and 2008 was $4,000 and $69,000, respectively.</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2010, the pre-tax compensation expense for all unvested stock options at Arrowhead in the amount of approximately $2,492,145 will be recognized in our results of operations over a weighted average period of 2.6 years. As of September 30, 2010, the pre-tax compensation expense for all unvested stock options at Unidym and Calando in the amount of approximately $518,876 will be recognized in our results of operations over a weighted average period of 2.2 and 1.5 years,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 The assumptions used to value stock options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7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18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2.00% to 3.42%</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2.34% to</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3.03%</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100%</w:t>
            </w:r>
          </w:p>
        </w:tc>
        <w:tc>
          <w:tcPr>
            <w:tcW w:w="20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81% - 100%</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 to 6.25</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to</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$0.56</w:t>
            </w:r>
          </w:p>
        </w:tc>
        <w:tc>
          <w:tcPr>
            <w:tcW w:w="20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risk-free interest rate is based on the seven-year Treasury bond.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 &amp; DERIVATIVE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fair value measurements at September 30, 2010 for assets and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Level I</w:t>
            </w:r>
          </w:p>
        </w:tc>
        <w:tc>
          <w:tcPr>
            <w:tcW w:w="3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Level II</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6,847,162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$6,847,162</w:t>
            </w:r>
          </w:p>
        </w:tc>
        <w:tc>
          <w:tcPr>
            <w:tcW w:w="100" w:type="dxa"/>
            <w:vAlign w:val="bottom"/>
            <w:shd w:val="clear" w:color="auto" w:fill="CCEEFF"/>
          </w:tcPr>
          <w:p>
            <w:pPr>
              <w:spacing w:after="0"/>
              <w:rPr>
                <w:sz w:val="18"/>
                <w:szCs w:val="18"/>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2,408,522</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$2,408,522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equity financing on June 17, 2010, as described in Note 6, Arrowhead issued 3,296,497 warrants (the “Warrants”) that contain antidilution protection. Under the provisions of the Warrants, if, during the term of the Warrants, the Company issues Common Stock at a price lower than the exercise price of the Warrants, the exercise price of the Warrants would be reduced to the amount equal to the issuance price of the Common Stock. Because the Warrants have this feature,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period from the issuance of the Warrants on June 17, 2010 through September 30, 2010, the Company recorded a gain from the change in fair value of the derivative liability of $1,761,384. The assumptions used in valuing the derivative liability as of September 30, 2010 were as follows:</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life</w:t>
            </w:r>
          </w:p>
        </w:tc>
        <w:tc>
          <w:tcPr>
            <w:tcW w:w="3560" w:type="dxa"/>
            <w:vAlign w:val="bottom"/>
          </w:tcPr>
          <w:p>
            <w:pPr>
              <w:jc w:val="right"/>
              <w:ind w:right="132"/>
              <w:spacing w:after="0"/>
              <w:rPr>
                <w:sz w:val="20"/>
                <w:szCs w:val="20"/>
                <w:color w:val="auto"/>
              </w:rPr>
            </w:pPr>
            <w:r>
              <w:rPr>
                <w:rFonts w:ascii="Arial" w:cs="Arial" w:eastAsia="Arial" w:hAnsi="Arial"/>
                <w:sz w:val="18"/>
                <w:szCs w:val="18"/>
                <w:color w:val="auto"/>
              </w:rPr>
              <w:t>5.2 Years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none</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Volatility</w:t>
            </w:r>
          </w:p>
        </w:tc>
        <w:tc>
          <w:tcPr>
            <w:tcW w:w="35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During 2009, Arrowhead’s subsidiary, Unidym, issued Series D Preferred Stock. The rights of the Preferred Stock necessitate the presentation of the fair value of the conversion feature as a liability as prescribed under ASC 815. These rights include those that protect the holders from decline in Unidym’s stock price, which is considered outside the control of the Company. The derivative liability is marked-to-market each reporting period and changes in fair value are recorded as a non-operating gain or loss in the statement of operations, until they are completely settled. The fair value of the conversion feature is determined each reporting period using an option pricing model, and is affected by changes in inputs to that model including our stock price, expected stock price volatility, interest rates and expected term. The assumptions used in valuing the derivative liability at September 30, 2010 were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Expected life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70"/>
        </w:trPr>
        <w:tc>
          <w:tcPr>
            <w:tcW w:w="7800" w:type="dxa"/>
            <w:vAlign w:val="bottom"/>
            <w:gridSpan w:val="2"/>
          </w:tcPr>
          <w:p>
            <w:pPr>
              <w:spacing w:after="0"/>
              <w:rPr>
                <w:sz w:val="20"/>
                <w:szCs w:val="20"/>
                <w:color w:val="auto"/>
              </w:rPr>
            </w:pPr>
            <w:r>
              <w:rPr>
                <w:rFonts w:ascii="Arial" w:cs="Arial" w:eastAsia="Arial" w:hAnsi="Arial"/>
                <w:sz w:val="18"/>
                <w:szCs w:val="18"/>
                <w:color w:val="auto"/>
                <w:w w:val="94"/>
              </w:rPr>
              <w:t>The following is a reconciliation of the derivative liability for the nine months ended September 30, 2010: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Value at October 1, 2009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4,169,907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(1,761,385)</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settlements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2,408,522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and accounts payable, approximate their respective fair values due to the relatively short-term nature of these instruments.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MEZZANINE FINANCING</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Unidym sold 1,111,111 shares of Series C-1 Preferred Stock for cash proceeds of $2 million in a private financing transaction with TEL Ventures (“TEL”) in November 2008. In connection with the investment, TEL was granted certain contingent rights if Unidym failed to meet a cash flow requirement of $7 million and enter into a joint development agreement with TEL by June 30, 2009. If the contingencies were not satisfied, Unidym was obligated to repurchase the Series C-1 Stock for an aggregate purchase price of $2,000,000 at TEL’s option. Unidym’s contingent buy back obligations were secured by a separate security agreement between Unidym and TEL.</w:t>
      </w:r>
    </w:p>
    <w:p>
      <w:pPr>
        <w:spacing w:after="0" w:line="143"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On June 25, 2009 the Company acquired 833,333 of TEL’s Series C-1 shares in exchange for restricted Common Stock of the Company. This transaction permanently eliminated $1,500,000 of the potential $2,000,000 put option liability. With the elimination of the put option right, $1.5 million was recorded as a reclassification of mezzanine debt to additional paid in capital on the consolidated balance sheet as of June 30, 2009, pursuant to Regulation S-X Rule 5-02.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Also on June 25, 2009, Arrowhead, Unidym and TEL entered into an IP Transfer and Waiver Agreement whereby TEL’s remaining put rights totaling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$500,000 were postponed and modified and the cash flow requirement was reduced from $7 million to $1.5 million. On July 31, 2009, Unidym met the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requirement and the remaining buy back obligation of $500,000 was permanently waived. The remaining $500,000 was reclassified from debt to equity.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years ended September 30, 2010 and 2009, the Company had consolidated net losses of $6,857,038 and $19,308,452, respectively. The losses result in a deferred income tax benefit of approximately $7,650,000 for fiscal 2009 and $10,700,000 for fiscal 2008, offset by an increase in the valuation allowance for the same amount for Arrowhead. Since the Company is a development stage company, management has chosen to take a 100% valuation allowance against the tax benefit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Federal Net Operating Losses (“NOL”) for Arrowhead and entities consolidated for tax purposes for the past 5 fiscal years are $3,748,704 for fiscal 2009, $5,597,836 for fiscal 2008, $4,296,115 for fiscal 2007, $7,487,109 for fiscal 2006 and $2,895,883 for fiscal 2005. The California NOL’s for the last 5 fiscal years are $14,017,613 for fiscal 2009, $8,613,901 for fiscal 2008, $2,096,978 for fiscal 2007, $195,446 for fiscal 2006 and $77,216 for fiscal 2005.</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Management estimates the Federal NOL for Arrowhead and entities consolidated for tax purposes, and the California NOL, for fiscal 2010, will be approximately $4.0 million to $5.0 million.</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Our policy is to include interest and penalties related to unrecognized tax benefits in income tax expense. Interest and penalties totaled $0 for the years ended September 30, 2010 and 2009, respectively, and $0 for the period from May 7, 2003 (date of inception) through September 30, 2010. The Company files income tax returns with the Internal Revenue Service (“IRS”), the state of California and certain other taxing jurisdictions. For jurisdictions in which tax filings are prepared, the Company is no longer subject to income tax examinations by state tax authorities for years through fiscal 2005, and by the IRS for years through fiscal 2006. Our review of prior year tax positions using the criteria and provisions presented by the FASB did not result in a material impact on the Company’s financial position or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Dr. Anzalone owns 1,395,900 shares of Nanotope, Inc. common stock or approximately 14.2% of Nanotope’s outstanding voting securities. Dr. Anzalone does not hold options, warrants or any other rights to acquire securities of Nanotope. Dr. Anzalone has the right to appoint a representative to the board of directors of Nanotope. Dr. Anzalone currently serves on the Nanotope board in a seat reserved for Nanotope’s CEO, and another individual holds the seat designated by Dr. Anzalone.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Dr. Anzalone did not participate on behalf of the Company in the negotiations of the terms of the Nanotope Series B Preferred Stock issued to the Company and did not negotiate on behalf of Nanotope after becoming the Chief Executive Officer and President of the Company. Dr. Anzalone did respond to questions asked of him by the Company’s Board of Directors and management regarding Nanotope’s business plan, operations and the terms of the Series B Stock Purchase Agreement and ancillary agreements.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fiscal 2009, Calando raised $2.5 million through the sale of senior unsecured convertible promissory notes (“New Notes”), to accredited investors, plus $800,000 from Arrowhead. Dr. Anzalone, Arrowhead’s President and CEO, personally participated in the offering by buying $100,000 of the New Notes.</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part of the private placement on December 11, 2009 (see Note 6. Stockholder’s Equity), Dr. Anzalone, Arrowhead’s President and CEO, personally invested $100,000.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i w:val="1"/>
          <w:iCs w:val="1"/>
          <w:color w:val="auto"/>
        </w:rPr>
        <w:t>EMPLOYEE BENEFIT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2005, the Company began sponsoring a defined contribution 401(k) retirement savings plan covering substantially all of its employees. The Plan was administered under the “safe harbor” provision of ERISA. Under the terms of the plan, an eligible employee may elect to contribute a portion of their salary on a pre-tax basis, subject to federal statutory limitations. The plan allowed for a discretionary match in an amount up to 100% of each participant’s first 3% of compensation contributed plus 50% of each participant’s next 2% of compensation contributed.</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years ended September 30, 2010 and 2009, we recorded expenses under these plans of approximately $14,000 and $95,000, respectively and $651,000 since inception of the Company.</w:t>
      </w:r>
    </w:p>
    <w:p>
      <w:pPr>
        <w:spacing w:after="0" w:line="132"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In addition to the employee benefit plans described above, the Company participates in certain customary employee benefits plans, including those which provide health and life insurance benefits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December 7, 2010, Unidym entered into three agreements with Samsung Electronics (“Samsung”) relating to Unidym’s carbon nanotube technologies and intellectual property. Under these agreements, Unidym will receive gross proceeds of $4,500,000, less withholding taxes and university sublicense fees and other expenses.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14, 2010, Arrowhead entered into an agreement with the Board of Regents of the University of Texas whereby it obtained an exclusive world-wide license on certain anti-obesity technology developed by Drs. Wadih Arap and Renata Pasqualini at the MD Anderson Cancer Center. The agreement requires a one-time fee of $2 million, and annual maintenance fees, initially in the amount of $50,000, rising to a maximum annual fee of $100,000 after five years. Milestone payments and royalties may also be due under certain situations.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Agonn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Ablaris Therapeutics, Inc.</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hereby consent to the incorporation by reference in this Annual Report on Form 10-K of Arrowhead Research Corporation for the year ended September 30, 2010 of our report dated December 17, 2010 included in its Registration Statements on Forms S-3 (Nos. 333-148218, 333-144109, 333-137329, 333-132310, 333-124065, and 333-113065) and Forms S-8 (Nos. 333-170252, 333-136225, 333-124066, and 333-120072) relating to the consolidated financial statements of Arrowhead Research Corporation and Subsidiaries for the year ended September 30, 2010.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17, 2010</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2010,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2010,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Kenneth A. Myszkowski</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7"/>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2019-12-10T08:59:59Z</dcterms:created>
  <dcterms:modified xsi:type="dcterms:W3CDTF">2019-12-10T08:59:59Z</dcterms:modified>
</cp:coreProperties>
</file>