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08"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4000"/>
        <w:spacing w:after="0"/>
        <w:tabs>
          <w:tab w:leader="none" w:pos="6620" w:val="left"/>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1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73"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320" w:space="720"/>
            <w:col w:w="3200"/>
          </w:cols>
          <w:pgMar w:left="320" w:top="517" w:right="3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6" w:lineRule="exact"/>
        <w:rPr>
          <w:sz w:val="24"/>
          <w:szCs w:val="24"/>
          <w:color w:val="auto"/>
        </w:rPr>
      </w:pPr>
    </w:p>
    <w:p>
      <w:pPr>
        <w:sectPr>
          <w:pgSz w:w="11900" w:h="16838" w:orient="portrait"/>
          <w:cols w:equalWidth="0" w:num="2">
            <w:col w:w="6660" w:space="720"/>
            <w:col w:w="3860"/>
          </w:cols>
          <w:pgMar w:left="320" w:top="51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177 E. Colorado Blvd,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principal executive offices)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 N/A</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w w:val="98"/>
              </w:rPr>
              <w:t>Securities registered pursuant to Section 12(b) of the Exchange Act:</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26"/>
        </w:trPr>
        <w:tc>
          <w:tcPr>
            <w:tcW w:w="4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ARWR</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56"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3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January 31, 2022 was 105,459,716.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340" w:type="dxa"/>
            <w:vAlign w:val="bottom"/>
            <w:gridSpan w:val="8"/>
            <w:vMerge w:val="restart"/>
          </w:tcPr>
          <w:p>
            <w:pPr>
              <w:spacing w:after="0"/>
              <w:rPr>
                <w:sz w:val="14"/>
                <w:szCs w:val="1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340" w:type="dxa"/>
            <w:vAlign w:val="bottom"/>
            <w:gridSpan w:val="8"/>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1050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5"/>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Consolidated Balance Sheets</w:t>
              </w:r>
            </w:hyperlink>
          </w:p>
        </w:tc>
        <w:tc>
          <w:tcPr>
            <w:tcW w:w="78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12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Consolidated Statements of Operations and Comprehensive Income (Loss)</w:t>
              </w:r>
            </w:hyperlink>
          </w:p>
        </w:tc>
        <w:tc>
          <w:tcPr>
            <w:tcW w:w="49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Stockholders’ Equity</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6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6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8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 MANAGEMENT’S DISCUSSION AND ANALYSIS OF FINANCIAL CONDITION AND RESULTS OF OPERATIONS</w:t>
              </w:r>
            </w:hyperlink>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3"/>
        </w:trPr>
        <w:tc>
          <w:tcPr>
            <w:tcW w:w="10500" w:type="dxa"/>
            <w:vAlign w:val="bottom"/>
            <w:gridSpan w:val="17"/>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6460" w:type="dxa"/>
            <w:vAlign w:val="bottom"/>
            <w:tcBorders>
              <w:top w:val="single" w:sz="8" w:color="0000EE"/>
            </w:tcBorders>
            <w:gridSpan w:val="15"/>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4. CONTROLS AND PROCEDURES</w:t>
              </w:r>
            </w:hyperlink>
          </w:p>
        </w:tc>
        <w:tc>
          <w:tcPr>
            <w:tcW w:w="40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PART II — OTHER INFORMATION</w:t>
              </w:r>
            </w:hyperlink>
          </w:p>
        </w:tc>
        <w:tc>
          <w:tcPr>
            <w:tcW w:w="73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6"/>
              </w:rPr>
            </w:pPr>
            <w:hyperlink w:anchor="page29">
              <w:r>
                <w:rPr>
                  <w:rFonts w:ascii="Arial" w:cs="Arial" w:eastAsia="Arial" w:hAnsi="Arial"/>
                  <w:sz w:val="17"/>
                  <w:szCs w:val="17"/>
                  <w:color w:val="0000EE"/>
                  <w:w w:val="96"/>
                </w:rPr>
                <w:t>ITEM 1. LEGAL PROCEEDINGS</w:t>
              </w:r>
            </w:hyperlink>
          </w:p>
        </w:tc>
        <w:tc>
          <w:tcPr>
            <w:tcW w:w="380" w:type="dxa"/>
            <w:vAlign w:val="bottom"/>
            <w:tcBorders>
              <w:top w:val="single" w:sz="8" w:color="0000EE"/>
            </w:tcBorders>
            <w:gridSpan w:val="2"/>
          </w:tcPr>
          <w:p>
            <w:pPr>
              <w:spacing w:after="0"/>
              <w:rPr>
                <w:sz w:val="24"/>
                <w:szCs w:val="24"/>
                <w:color w:val="auto"/>
              </w:rPr>
            </w:pPr>
          </w:p>
        </w:tc>
        <w:tc>
          <w:tcPr>
            <w:tcW w:w="77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1A. RISK FACTORS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4"/>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3. DEFAULTS UPON SENIOR SECURITIES</w:t>
              </w:r>
            </w:hyperlink>
          </w:p>
        </w:tc>
        <w:tc>
          <w:tcPr>
            <w:tcW w:w="41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29">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3"/>
          </w:tcPr>
          <w:p>
            <w:pPr>
              <w:spacing w:after="0"/>
              <w:rPr>
                <w:sz w:val="24"/>
                <w:szCs w:val="24"/>
                <w:color w:val="auto"/>
              </w:rPr>
            </w:pPr>
          </w:p>
        </w:tc>
        <w:tc>
          <w:tcPr>
            <w:tcW w:w="68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5. OTHER INFORMATION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8"/>
              </w:rPr>
            </w:pPr>
            <w:hyperlink w:anchor="page30">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08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783"/>
        </w:trPr>
        <w:tc>
          <w:tcPr>
            <w:tcW w:w="44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40" w:type="dxa"/>
            <w:vAlign w:val="bottom"/>
          </w:tcPr>
          <w:p>
            <w:pPr>
              <w:jc w:val="center"/>
              <w:ind w:left="293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840" w:type="dxa"/>
            <w:vAlign w:val="bottom"/>
          </w:tcPr>
          <w:p>
            <w:pPr>
              <w:jc w:val="center"/>
              <w:ind w:left="2930"/>
              <w:spacing w:after="0"/>
              <w:rPr>
                <w:sz w:val="20"/>
                <w:szCs w:val="20"/>
                <w:color w:val="auto"/>
              </w:rPr>
            </w:pPr>
            <w:r>
              <w:rPr>
                <w:rFonts w:ascii="Arial" w:cs="Arial" w:eastAsia="Arial" w:hAnsi="Arial"/>
                <w:sz w:val="18"/>
                <w:szCs w:val="18"/>
                <w:b w:val="1"/>
                <w:bCs w:val="1"/>
                <w:color w:val="auto"/>
                <w:w w:val="91"/>
              </w:rPr>
              <w:t>Arrowhead Pharmaceuticals, Inc.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40" w:type="dxa"/>
            <w:vAlign w:val="bottom"/>
          </w:tcPr>
          <w:p>
            <w:pPr>
              <w:jc w:val="center"/>
              <w:ind w:left="291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840" w:type="dxa"/>
            <w:vAlign w:val="bottom"/>
          </w:tcPr>
          <w:p>
            <w:pPr>
              <w:jc w:val="center"/>
              <w:ind w:left="29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 2021</w:t>
            </w:r>
          </w:p>
        </w:tc>
        <w:tc>
          <w:tcPr>
            <w:tcW w:w="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40" w:type="dxa"/>
            <w:vAlign w:val="bottom"/>
            <w:tcBorders>
              <w:top w:val="single" w:sz="8" w:color="CFF0FC"/>
            </w:tcBorders>
            <w:shd w:val="clear" w:color="auto" w:fill="CFF0FC"/>
          </w:tcPr>
          <w:p>
            <w:pPr>
              <w:ind w:left="27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Short term investments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338,278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52,303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Long term investments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217,572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638,539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4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4,068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Accrued payroll and benefits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2,968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108,652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137,032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89"/>
              </w:rPr>
              <w:t>Common stock, $0.001 par value; 145,000 shares authorized; 104,798 and 104,327 shares issued</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and outstanding as of December 31, 2021 and September 30, 2021, respectively</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1,080,035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(707,564)</w:t>
            </w:r>
          </w:p>
        </w:tc>
        <w:tc>
          <w:tcPr>
            <w:tcW w:w="1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(644,692)</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372,560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40" w:type="dxa"/>
            <w:vAlign w:val="bottom"/>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638,539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6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27,439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21,303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90,760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(63,321)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26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(62,872)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(20,732)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(62,872)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(20,732)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6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234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(0.60)</w:t>
            </w:r>
          </w:p>
        </w:tc>
        <w:tc>
          <w:tcPr>
            <w:tcW w:w="1120" w:type="dxa"/>
            <w:vAlign w:val="bottom"/>
            <w:gridSpan w:val="2"/>
          </w:tcPr>
          <w:p>
            <w:pPr>
              <w:jc w:val="right"/>
              <w:ind w:right="947"/>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FF0FC"/>
            </w:tcBorders>
            <w:vMerge w:val="continue"/>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104,534</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102,757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1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104,534</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102,757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1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(62,911)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Additional</w:t>
            </w: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 Other</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0"/>
              </w:rPr>
              <w:t>Amount ($)</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Deficit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Totals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2020</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102,376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965,410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(503,844)</w:t>
            </w: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461,779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840" w:type="dxa"/>
            <w:vAlign w:val="bottom"/>
          </w:tcPr>
          <w:p>
            <w:pPr>
              <w:jc w:val="right"/>
              <w:spacing w:after="0"/>
              <w:rPr>
                <w:sz w:val="20"/>
                <w:szCs w:val="20"/>
                <w:color w:val="auto"/>
              </w:rPr>
            </w:pPr>
            <w:r>
              <w:rPr>
                <w:rFonts w:ascii="Arial" w:cs="Arial" w:eastAsia="Arial" w:hAnsi="Arial"/>
                <w:sz w:val="13"/>
                <w:szCs w:val="13"/>
                <w:color w:val="auto"/>
              </w:rPr>
              <w:t>280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Net income (loss) for the three months ended December 31, 2020</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(20,732)</w:t>
            </w: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(20,732)</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2020</w:t>
            </w: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103,194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978,655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(524,576)</w:t>
            </w: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454,472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Additional</w:t>
            </w:r>
          </w:p>
        </w:tc>
        <w:tc>
          <w:tcPr>
            <w:tcW w:w="13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 Other</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0"/>
              </w:rPr>
              <w:t>Amount ($)</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Deficit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Totals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2021</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104,327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1,053,386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(69)</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(644,692)</w:t>
            </w: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408,822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24,504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840" w:type="dxa"/>
            <w:vAlign w:val="bottom"/>
          </w:tcPr>
          <w:p>
            <w:pPr>
              <w:jc w:val="right"/>
              <w:spacing w:after="0"/>
              <w:rPr>
                <w:sz w:val="20"/>
                <w:szCs w:val="20"/>
                <w:color w:val="auto"/>
              </w:rPr>
            </w:pPr>
            <w:r>
              <w:rPr>
                <w:rFonts w:ascii="Arial" w:cs="Arial" w:eastAsia="Arial" w:hAnsi="Arial"/>
                <w:sz w:val="13"/>
                <w:szCs w:val="13"/>
                <w:color w:val="auto"/>
              </w:rPr>
              <w:t>263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(39)</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3"/>
                <w:szCs w:val="13"/>
                <w:color w:val="auto"/>
              </w:rPr>
              <w:t>Net income (loss) for the three months ended December 31, 2021</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(62,872)</w:t>
            </w: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(62,872)</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2021</w:t>
            </w: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vMerge w:val="continue"/>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104,798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1,080,035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(108)</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(707,564)</w:t>
            </w: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372,560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8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77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(62,872)</w:t>
            </w:r>
          </w:p>
        </w:tc>
        <w:tc>
          <w:tcPr>
            <w:tcW w:w="960" w:type="dxa"/>
            <w:vAlign w:val="bottom"/>
            <w:gridSpan w:val="2"/>
          </w:tcPr>
          <w:p>
            <w:pPr>
              <w:jc w:val="right"/>
              <w:ind w:right="82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(20,732)</w:t>
            </w: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Amortization/(accretion) of note premiums/discounts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w:t>
            </w: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(8,157)</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(3,193)</w:t>
            </w: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(27,439)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(12,547)</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(5,389)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(2,002)</w:t>
            </w: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(1,126)</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r>
      <w:tr>
        <w:trPr>
          <w:trHeight w:val="223"/>
        </w:trPr>
        <w:tc>
          <w:tcPr>
            <w:tcW w:w="7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(61,347)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(38,922)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(5,778)</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(4,271)</w:t>
            </w: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(65,875)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investments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(33,385)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30,158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the exercises of stock options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INCREASE (DECREASE) IN CASH</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(92,847)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184,434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143,583</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139,921</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par value $0.001 per share, (5) the term “Preferred Stock” refers to Arrowhead’s Preferred Stock, par value $0.001 per share, and (6) the term “Stockholder(s)” refers to the holders of Arrowhead’s Common Stock.</w:t>
      </w:r>
    </w:p>
    <w:p>
      <w:pPr>
        <w:spacing w:after="0" w:line="200" w:lineRule="exact"/>
        <w:rPr>
          <w:sz w:val="20"/>
          <w:szCs w:val="20"/>
          <w:color w:val="auto"/>
        </w:rPr>
      </w:pPr>
    </w:p>
    <w:p>
      <w:pPr>
        <w:spacing w:after="0" w:line="299" w:lineRule="exact"/>
        <w:rPr>
          <w:sz w:val="20"/>
          <w:szCs w:val="20"/>
          <w:color w:val="auto"/>
        </w:rPr>
      </w:pPr>
    </w:p>
    <w:p>
      <w:pPr>
        <w:ind w:right="5380"/>
        <w:spacing w:after="0" w:line="40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spacing w:after="0" w:line="58" w:lineRule="exact"/>
        <w:rPr>
          <w:sz w:val="20"/>
          <w:szCs w:val="20"/>
          <w:color w:val="auto"/>
        </w:rPr>
      </w:pPr>
    </w:p>
    <w:p>
      <w:pPr>
        <w:ind w:firstLine="300"/>
        <w:spacing w:after="0" w:line="268"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ARO-ENaC for cystic fibrosis, ARO-HIF2 for renal cell carcinoma, ARO-DUX4 for facioscapulohumeral muscular dystrophy, ARO-LUNG2 for chronic obstructive pulmonary disorder, ARO-COV for the coronavirus that causes COVID-19 and other possible future pulmonary-borne pathogens, ARO-C3 for complement mediated diseases and ARO-RAGE and ARO-MUC5AC for various muco-obstructive or inflammatory pulmonary conditions. ARO-HSD for liver disease was out-licensed to Glaxosmithkline Intellectual Property (No. 3) Limited (“GSK”) in November 2021. ARO-XDH is being developed for uncontrolled gout under a collaboration agreement with Horizon Therapeutics Ireland DAC (“Horizon”). ARO-JNJ2 and ARO-JNJ3 are being developed for undisclosed liver-expressed targets under a collaboration agreement with Janssen Pharmaceuticals, Inc. (“Janssen”). JNJ-75220795 (ARO-JNJ1) is being developed by Janssen as a potential treatment for patients with non-alcoholic steatohepatitis (NASH).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82" w:lineRule="exact"/>
        <w:rPr>
          <w:sz w:val="20"/>
          <w:szCs w:val="20"/>
          <w:color w:val="auto"/>
        </w:rPr>
      </w:pPr>
    </w:p>
    <w:p>
      <w:pPr>
        <w:ind w:right="380" w:firstLine="514"/>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540" w:firstLine="514"/>
        <w:spacing w:after="0" w:line="277" w:lineRule="auto"/>
        <w:rPr>
          <w:sz w:val="20"/>
          <w:szCs w:val="20"/>
          <w:color w:val="auto"/>
        </w:rPr>
      </w:pPr>
      <w:r>
        <w:rPr>
          <w:rFonts w:ascii="Arial" w:cs="Arial" w:eastAsia="Arial" w:hAnsi="Arial"/>
          <w:sz w:val="18"/>
          <w:szCs w:val="18"/>
          <w:color w:val="auto"/>
        </w:rPr>
        <w:t>During the first quarter of fiscal 2022, the Company continued to develop and advance its pipeline and partnered candidates and expanded its facilities to support the Company’s growing pipeline. Several key recent developments include:</w:t>
      </w:r>
    </w:p>
    <w:p>
      <w:pPr>
        <w:spacing w:after="0" w:line="170" w:lineRule="exact"/>
        <w:rPr>
          <w:sz w:val="20"/>
          <w:szCs w:val="20"/>
          <w:color w:val="auto"/>
        </w:rPr>
      </w:pPr>
    </w:p>
    <w:p>
      <w:pPr>
        <w:ind w:left="1260" w:right="100" w:hanging="739"/>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dosed the first patients in its PALISADE study, a phase 3 clinical study to evaluate the safety and efficacy of ARO-APOC3 in adults with familial chylomicronemia syndrome (FCS);</w:t>
      </w:r>
    </w:p>
    <w:p>
      <w:pPr>
        <w:spacing w:after="0" w:line="170" w:lineRule="exact"/>
        <w:rPr>
          <w:rFonts w:ascii="Arial" w:cs="Arial" w:eastAsia="Arial" w:hAnsi="Arial"/>
          <w:sz w:val="18"/>
          <w:szCs w:val="18"/>
          <w:color w:val="auto"/>
        </w:rPr>
      </w:pPr>
    </w:p>
    <w:p>
      <w:pPr>
        <w:ind w:left="1260" w:hanging="739"/>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an exclusive license agreement with GSK for ARO-HSD;</w:t>
      </w:r>
    </w:p>
    <w:p>
      <w:pPr>
        <w:spacing w:after="0" w:line="225" w:lineRule="exact"/>
        <w:rPr>
          <w:rFonts w:ascii="Arial" w:cs="Arial" w:eastAsia="Arial" w:hAnsi="Arial"/>
          <w:sz w:val="18"/>
          <w:szCs w:val="18"/>
          <w:color w:val="auto"/>
        </w:rPr>
      </w:pPr>
    </w:p>
    <w:p>
      <w:pPr>
        <w:ind w:left="1260" w:right="180" w:hanging="739"/>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183" w:lineRule="exact"/>
        <w:rPr>
          <w:rFonts w:ascii="Arial" w:cs="Arial" w:eastAsia="Arial" w:hAnsi="Arial"/>
          <w:sz w:val="18"/>
          <w:szCs w:val="18"/>
          <w:color w:val="auto"/>
        </w:rPr>
      </w:pPr>
    </w:p>
    <w:p>
      <w:pPr>
        <w:ind w:left="1260" w:hanging="739"/>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for regulatory clearance to begin a Phase 1/2a study of ARO-C3;</w:t>
      </w:r>
    </w:p>
    <w:p>
      <w:pPr>
        <w:spacing w:after="0" w:line="225" w:lineRule="exact"/>
        <w:rPr>
          <w:rFonts w:ascii="Arial" w:cs="Arial" w:eastAsia="Arial" w:hAnsi="Arial"/>
          <w:sz w:val="18"/>
          <w:szCs w:val="18"/>
          <w:color w:val="auto"/>
        </w:rPr>
      </w:pPr>
    </w:p>
    <w:p>
      <w:pPr>
        <w:ind w:left="1260" w:hanging="739"/>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additional interim clinical data from AROHSD1001, AROAAT2002, and AROAPOC31001; and</w:t>
      </w:r>
    </w:p>
    <w:p>
      <w:pPr>
        <w:spacing w:after="0" w:line="225" w:lineRule="exact"/>
        <w:rPr>
          <w:rFonts w:ascii="Arial" w:cs="Arial" w:eastAsia="Arial" w:hAnsi="Arial"/>
          <w:sz w:val="18"/>
          <w:szCs w:val="18"/>
          <w:color w:val="auto"/>
        </w:rPr>
      </w:pPr>
    </w:p>
    <w:p>
      <w:pPr>
        <w:ind w:left="1260" w:right="180" w:hanging="739"/>
        <w:spacing w:after="0" w:line="25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purchase of 13 acres of land in the Verona Technology Park in Verona, Wisconsin, which is planned to be the site of an approximately 140,000 square foot laboratory and office facility and entered into a lease agreement for a new 144,000 square foot laboratory and office facility in San Diego, California. Both facilities will provide additional space to support the Company’s continued growth.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40" w:firstLine="300"/>
        <w:spacing w:after="0" w:line="253" w:lineRule="auto"/>
        <w:rPr>
          <w:sz w:val="20"/>
          <w:szCs w:val="20"/>
          <w:color w:val="auto"/>
        </w:rPr>
      </w:pPr>
      <w:r>
        <w:rPr>
          <w:rFonts w:ascii="Arial" w:cs="Arial" w:eastAsia="Arial" w:hAnsi="Arial"/>
          <w:sz w:val="18"/>
          <w:szCs w:val="18"/>
          <w:color w:val="auto"/>
        </w:rPr>
        <w:t>The Company is actively monitoring the ongoing COVID-19 pandemic. The financial results for the three months ended December 31, 2021 were not significantly impacted by COVID-19. Operationally, the Company has experienced delays in its earlier stage programs due to a shortage in non-human primates, which are critical to the Company’s preclinical programs. Additionally, the Company has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including work from home policies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sources of financing have been through the sale of its securities and revenue from its licensing and collaboration agreements.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as well as with the Company’s plans to increase its internal manufacturing capabilities.</w:t>
      </w:r>
    </w:p>
    <w:p>
      <w:pPr>
        <w:spacing w:after="0" w:line="195"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At December 31, 2021, the Company had $91.6 million in cash and cash equivalents (including $3.0 million in restricted cash), $112.5 million in short-term investments, $126.0 million in marketable securities and $217.6 million in long-term investments to fund operations. During the three months ended December 31, 2021, the Company’s cash and investments balance decreased by $65.7 million, which was primarily due to cash being used to fund the Company’s operations.</w:t>
      </w:r>
    </w:p>
    <w:p>
      <w:pPr>
        <w:spacing w:after="0" w:line="18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In total, the Company remains eligible for $6.2 billion in developmental, regulatory and sales milestones and various royalties on net sales from its licensing and collaboration agreements. The revenue recognition for these collaboration agreements is discussed further in Note 2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There have been no recent accounting pronouncements that have significantly impacted this Quarterly Report on Form 10-Q, beyond those disclosed in the Company’s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(the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prior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AMG1, an RNAi therapy for an undisclosed genetically validated cardiovascular target. Under both agreements, Amgen is wholly responsible for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60" w:firstLine="510"/>
        <w:spacing w:after="0" w:line="30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months ended December 31, 2021 and 2020, the Company recognized $0 and $0 of revenue associated with its agreement with Amgen, respectively. As of December 31, 2021, there were $0 in contract assets recorded as accounts receivable and $0 contract liabilities recorded as current deferred revenue on the Company’s Consolidated Balance Sheets.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On October 3, 2018, the Company entered into a License Agreement (the “Janssen License Agreement”) and a Research Collaboration and Option Agreement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$70.0 million, and the Company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9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ind w:right="40" w:firstLine="510"/>
        <w:spacing w:after="0" w:line="290" w:lineRule="auto"/>
        <w:rPr>
          <w:sz w:val="20"/>
          <w:szCs w:val="20"/>
          <w:color w:val="auto"/>
        </w:rPr>
      </w:pPr>
      <w:r>
        <w:rPr>
          <w:rFonts w:ascii="Arial" w:cs="Arial" w:eastAsia="Arial" w:hAnsi="Arial"/>
          <w:sz w:val="16"/>
          <w:szCs w:val="16"/>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During the three months ended December 31, 2021 and 2020, the Company recognized approximately $0 and $12.7 million of revenue associated with this performance obligation, respectively. As of December 31, 2021, there were $0 in contract assets recorded as accounts receivable, and $0 of contract liabilities recorded as current deferred revenue on the Company’s Consolidated Balance Sheets.</w:t>
      </w:r>
    </w:p>
    <w:p>
      <w:pPr>
        <w:spacing w:after="0" w:line="165" w:lineRule="exact"/>
        <w:rPr>
          <w:sz w:val="20"/>
          <w:szCs w:val="20"/>
          <w:color w:val="auto"/>
        </w:rPr>
      </w:pPr>
    </w:p>
    <w:p>
      <w:pPr>
        <w:ind w:firstLine="510"/>
        <w:spacing w:after="0" w:line="265" w:lineRule="auto"/>
        <w:rPr>
          <w:sz w:val="20"/>
          <w:szCs w:val="20"/>
          <w:color w:val="auto"/>
        </w:rPr>
      </w:pPr>
      <w:r>
        <w:rPr>
          <w:rFonts w:ascii="Arial" w:cs="Arial" w:eastAsia="Arial" w:hAnsi="Arial"/>
          <w:sz w:val="18"/>
          <w:szCs w:val="18"/>
          <w:color w:val="auto"/>
        </w:rPr>
        <w:t>The Company has begun to conduct its discovery, optimization and preclinical research and development of JNJ-75220795 (ARO-JNJ1), ARO-JNJ2 and ARO-JNJ3 under the Janssen Collaboration Agreement. All costs and labor hours spent by the Company will be entirely funded by Janssen. During the three months ended December 31, 2021 and 2020, the Company recognized $0 and $0.3 million of revenue associated with these efforts, respectively. As of December 31, 2021, there were $0 of contract assets recorded as accounts receivable and $0 of contract liabilities recorded as current deferred revenue on the Company’s 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On October 7, 2020, the Company entered into an Exclusive License and Co-funding agreement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7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65"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three months ended December 31, 2021 and 2020 was $20.8 million and $8.2 million, respectively. As of December 31, 2021, there were $0 in contract assets recorded as accounts receivable, $82.0 million in contract liabilities recorded as deferred revenue and $106.5 million in contract liabilities recorded as deferred revenue, net of the current portion, and $2.9 million in contract liabilities recorded as accrued expenses. The $2.9 million in accrued expenses was primarily driven by co-development and co-commercialization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June 18, 2021, the Company entered into the Horizon License Agreement with Horizon. Under the Horizon License Agreement, Horizon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for Contracts from Customers. At the inception of the Horizon License Agreement, the Company identified one distinct performance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 The Company determined that the key deliverables included the license and certain R&amp;D services, including the Company’s responsibilities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all activities through the preclinical stages of development of ARO-XDH (the “Horizon R&amp;D Services”). Due to the specialized and unique nature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Horizon R&amp;D Services and their direct relationship with the license, the Company determined that these deliverables represented one distinct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bundle and, thus, one performance obligation. Beyond the Horizon R&amp;D Services, which are the responsibility of the Company, Horizon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managing future clinical development and commercialization of ARO-XDH.</w:t>
      </w:r>
    </w:p>
    <w:p>
      <w:pPr>
        <w:spacing w:after="0" w:line="21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three months ended December 31, 2021 and 2020 was $6.7 million and $0, respectively. As of December 31, 2021, there were $0.1 million in contract assets recorded as accounts receivable, $26.7 million in contract liabilities recorded as deferred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On November 22, 2021, the Company entered into an Exclusive License Agreement (the “GSK License Agreement”) with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will retain rights to develop and commercialize. Beyond the Company’s Phase 1/2 study of (ARO-HSD), which the Company is responsible for completing, GSK is wholly responsible for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68"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The Company has evaluated the GSK License Agreement in accordance with FASB Topics 808 – Collaborative Arrangements and 606 - Revenue for Contracts from Customers. 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these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195" w:lineRule="exact"/>
        <w:rPr>
          <w:sz w:val="20"/>
          <w:szCs w:val="20"/>
          <w:color w:val="auto"/>
        </w:rPr>
      </w:pPr>
    </w:p>
    <w:p>
      <w:pPr>
        <w:ind w:right="40" w:firstLine="300"/>
        <w:spacing w:after="0" w:line="273" w:lineRule="auto"/>
        <w:rPr>
          <w:sz w:val="20"/>
          <w:szCs w:val="20"/>
          <w:color w:val="auto"/>
        </w:rPr>
      </w:pPr>
      <w:r>
        <w:rPr>
          <w:rFonts w:ascii="Arial" w:cs="Arial" w:eastAsia="Arial" w:hAnsi="Arial"/>
          <w:sz w:val="17"/>
          <w:szCs w:val="17"/>
          <w:color w:val="auto"/>
        </w:rPr>
        <w:t>The Company determined the initial transaction price totaled $120.0 million, including the upfront payment.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Revenue will be recognized using a proportional performance method. As of December 31, 2021, no revenue or contract assets or liabilities were recognized as the GSK License Agreement had not yet completed customary closing conditions, including clearance by the relevant competition authorities. This clearance was achieved in January 2022 and the upfront payment of $120.0 million was also received by the Company in January 2022.</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2021</w:t>
            </w:r>
          </w:p>
        </w:tc>
      </w:tr>
      <w:tr>
        <w:trPr>
          <w:trHeight w:val="156"/>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5"/>
          </w:tcPr>
          <w:p>
            <w:pPr>
              <w:jc w:val="right"/>
              <w:ind w:right="127"/>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Computers, software, office equipment and furniture</w:t>
            </w:r>
          </w:p>
        </w:tc>
        <w:tc>
          <w:tcPr>
            <w:tcW w:w="54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Research equipment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gross fixed assets</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71,539</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(22,864)</w:t>
            </w:r>
          </w:p>
        </w:tc>
      </w:tr>
      <w:tr>
        <w:trPr>
          <w:trHeight w:val="223"/>
        </w:trPr>
        <w:tc>
          <w:tcPr>
            <w:tcW w:w="59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52,303</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540" w:type="dxa"/>
            <w:vAlign w:val="bottom"/>
            <w:tcBorders>
              <w:top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48,675</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Depreciation and amortization expense for property and equipment for the three months ended December 31, 2021 and 2020 was $2.1 million and $1.4 million, respectively. Construction in Progress and Land both relate to the Company’s Verona, Wisconsin research facility.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80" w:firstLine="510"/>
        <w:spacing w:after="0" w:line="290" w:lineRule="auto"/>
        <w:rPr>
          <w:sz w:val="20"/>
          <w:szCs w:val="20"/>
          <w:color w:val="auto"/>
        </w:rPr>
      </w:pPr>
      <w:r>
        <w:rPr>
          <w:rFonts w:ascii="Arial" w:cs="Arial" w:eastAsia="Arial" w:hAnsi="Arial"/>
          <w:sz w:val="16"/>
          <w:szCs w:val="16"/>
          <w:color w:val="auto"/>
        </w:rPr>
        <w:t>Investments at December 31, 2021 primarily consisted of corporate bonds that have maturities of less than 36 months, a certificate of deposit and marketable equity securities. The Company’s corporate bonds consist of both short-term and long-term bonds and are classified as “held-to-maturity” on the Company’s Consolidated Balance Sheets. The Company’s certificate of deposit matures in less than 12 months and is classified as “held-to-maturity” on the Company’s Consolidated Balance Sheet. The Company’s marketable equity securities consist of mutual funds that primarily invest in U.S. government bonds, U.S. government agency bonds, corporate bonds and other asset-backed debt securities. Dividends from these funds are automatically re-invested. The Company may also invest excess cash balances in money market accounts, government-sponsored enterprise securities, and/or commercial paper. The Company accounts for its held to maturity investments in accordance with FASB ASC 320, Investments – Debt and Equity Securities and its marketable equity securities in accordance with ASC 321, Investments – Equity Securities.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Company’s short-term and long-term investments and marketable securities as of December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by measurement category: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gridSpan w:val="2"/>
          </w:tcPr>
          <w:p>
            <w:pPr>
              <w:ind w:left="1140"/>
              <w:spacing w:after="0"/>
              <w:rPr>
                <w:sz w:val="20"/>
                <w:szCs w:val="20"/>
                <w:color w:val="auto"/>
              </w:rPr>
            </w:pPr>
            <w:r>
              <w:rPr>
                <w:rFonts w:ascii="Arial" w:cs="Arial" w:eastAsia="Arial" w:hAnsi="Arial"/>
                <w:sz w:val="16"/>
                <w:szCs w:val="16"/>
                <w:b w:val="1"/>
                <w:bCs w:val="1"/>
                <w:i w:val="1"/>
                <w:iCs w:val="1"/>
                <w:color w:val="auto"/>
              </w:rPr>
              <w:t>Held to Maturity</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As of December 31, 2021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63,224</w:t>
            </w:r>
          </w:p>
        </w:tc>
        <w:tc>
          <w:tcPr>
            <w:tcW w:w="80" w:type="dxa"/>
            <w:vAlign w:val="bottom"/>
            <w:tcBorders>
              <w:top w:val="single" w:sz="8" w:color="CFF0FC"/>
            </w:tcBorders>
            <w:shd w:val="clear" w:color="auto" w:fill="CFF0FC"/>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8"/>
              </w:rPr>
              <w:t>Commercial notes (due within one through three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years)</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217,572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216,579</w:t>
            </w: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 (due within one year)</w:t>
            </w:r>
          </w:p>
        </w:tc>
        <w:tc>
          <w:tcPr>
            <w:tcW w:w="4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330,109</w:t>
            </w: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329,803</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As of September 30, 2021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4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57,430</w:t>
            </w:r>
          </w:p>
        </w:tc>
        <w:tc>
          <w:tcPr>
            <w:tcW w:w="80" w:type="dxa"/>
            <w:vAlign w:val="bottom"/>
            <w:shd w:val="clear" w:color="auto" w:fill="CFF0FC"/>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8"/>
              </w:rPr>
              <w:t>Commercial notes (due within one through three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years)</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195,595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196,643</w:t>
            </w: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 (due within two years)</w:t>
            </w:r>
          </w:p>
        </w:tc>
        <w:tc>
          <w:tcPr>
            <w:tcW w:w="4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60" w:type="dxa"/>
            <w:vAlign w:val="bottom"/>
            <w:gridSpan w:val="2"/>
            <w:vMerge w:val="continue"/>
          </w:tcPr>
          <w:p>
            <w:pPr>
              <w:spacing w:after="0"/>
              <w:rPr>
                <w:sz w:val="20"/>
                <w:szCs w:val="20"/>
                <w:color w:val="auto"/>
              </w:rPr>
            </w:pP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302,222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304,073</w:t>
            </w: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93"/>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6"/>
                <w:szCs w:val="16"/>
                <w:b w:val="1"/>
                <w:bCs w:val="1"/>
                <w:i w:val="1"/>
                <w:iCs w:val="1"/>
                <w:color w:val="auto"/>
              </w:rPr>
              <w:t>Fair Value</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4"/>
                <w:szCs w:val="14"/>
                <w:b w:val="1"/>
                <w:bCs w:val="1"/>
                <w:color w:val="auto"/>
                <w:w w:val="92"/>
              </w:rPr>
              <w:t>As of December 31, 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980" w:type="dxa"/>
            <w:vAlign w:val="bottom"/>
            <w:gridSpan w:val="3"/>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60" w:type="dxa"/>
            <w:vAlign w:val="bottom"/>
            <w:tcBorders>
              <w:top w:val="single" w:sz="8" w:color="CFF0FC"/>
            </w:tcBorders>
            <w:shd w:val="clear" w:color="auto" w:fill="CFF0FC"/>
          </w:tcPr>
          <w:p>
            <w:pPr>
              <w:jc w:val="right"/>
              <w:ind w:right="81"/>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126,010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(2,124)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126,010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4"/>
                <w:szCs w:val="14"/>
                <w:b w:val="1"/>
                <w:bCs w:val="1"/>
                <w:color w:val="auto"/>
                <w:w w:val="91"/>
              </w:rPr>
              <w:t>As of September 30, 2021</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980" w:type="dxa"/>
            <w:vAlign w:val="bottom"/>
            <w:gridSpan w:val="3"/>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126,728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(888)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126,728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Realized gains for marketable securities recorded at fair value consist of dividends received and re-invested into the associated fund.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$1.0 million. The patents associated with the Novartis RNAi asset acquisition are being amortized over the estimated life remaining at the time of acquisition, which was 14 years, and the accumulated amortization of the assets is $10.6 million. Amortization expense for the three months ended December 31, 2021 and 2020 was $0.4 million and $0.4 million, respectively. Amortization expense is expected to be $1.3 million for the remainder of fiscal 2022, $1.7 million in 2023, $1.7 million in 2024, $1.7 million in 2025, $1.7 million in 2026 and $5.2 million thereafter.</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Subject to</w:t>
            </w: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r>
      <w:tr>
        <w:trPr>
          <w:trHeight w:val="155"/>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13,238</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At December 31, 2021,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At December 31, 2021, 104,798,186 shares of Common Stock were outstanding. At December 31, 2021, 14,834,548 shares of Common Stock were reserved for issuance upon exercise of options and vesting of restricted stock units granted or available for grant under Arrowhead’s 2004 Equity Incentive Plan, 2013 Incentive Plan, and 2021 Incentive Plan, as well as for inducement grants made to new employees under Rule 5635(c)(4) of the Nasdaq Listing Rules.</w:t>
      </w:r>
    </w:p>
    <w:p>
      <w:pPr>
        <w:spacing w:after="0" w:line="18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August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At December 31, 2021, no shares have been sold under the ATM Agreement.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ind w:firstLine="599"/>
        <w:spacing w:after="0" w:line="272" w:lineRule="auto"/>
        <w:rPr>
          <w:sz w:val="20"/>
          <w:szCs w:val="20"/>
          <w:color w:val="auto"/>
        </w:rPr>
      </w:pPr>
      <w:r>
        <w:rPr>
          <w:rFonts w:ascii="Arial" w:cs="Arial" w:eastAsia="Arial" w:hAnsi="Arial"/>
          <w:sz w:val="17"/>
          <w:szCs w:val="17"/>
          <w:color w:val="auto"/>
        </w:rPr>
        <w:t>On December 20, 2021, the Company completed a purchase of 13 acres of land in the Verona Technology Park in Verona, WI, which is planned to be the site of an approximately 140,000 square foot drug manufacturing facility and an approximately 115,000 square foot laboratory and office facility to support process development and analytical activities. Arrowhead intends to invest between $200 million and $250 million into the buildout of the facilities. As part of this acquisition, the Company also entered into a development agreement with the City of Verona to construct certain infrastructure improvements within the TIF district, and will be reimbursed by the City of Verona by future tax increment revenue generated from the developed property. The total amount of funding that City of Verona will pay as reimbursements under the TIF program for these improvements is not guaranteed and will depend on future tax revenues generated from the developed property.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a new drug application and upon certain sales level milestones. These milestone payments could amount to the mid to upper double-digit millions of dollars. During the three months ended December 31, 2021 and 2020, the Company did not reach any milestones. Under certain agreements, the Company may be required to make mid to high single-digit percentage royalty payments based on a percentage of sales of the relevant products.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4"/>
        <w:spacing w:after="0" w:line="274" w:lineRule="auto"/>
        <w:rPr>
          <w:sz w:val="20"/>
          <w:szCs w:val="20"/>
          <w:color w:val="auto"/>
        </w:rPr>
      </w:pPr>
      <w:r>
        <w:rPr>
          <w:rFonts w:ascii="Arial" w:cs="Arial" w:eastAsia="Arial" w:hAnsi="Arial"/>
          <w:sz w:val="17"/>
          <w:szCs w:val="17"/>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December 31, 2021. On October 23, 2020, the Company entered into a lease expansion to add an additional approximately 24,000 square feet of office space at the same location for its corporate headquarters. Lease payments for the expansion began in July 2021 and the lease for the expansion expires in April 2027. The lease payments for the expansion are expected to total $6.9 million. The Company has paid approximately $4.0 million of leasehold improvements, net of tenant improvement allowances, for the lease expansion. The increased capacity of this additional office space compared to the Company’s current corporate headquarters is intended to accommodate increased personnel as the Company’s pipeline of drug candidates continues to expand and move closer to market.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40" w:firstLine="514"/>
        <w:spacing w:after="0" w:line="290"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and May 2020 to expand the rentable square feet by an additional 40,000 square feet and to extend the lease expiration date to September 30, 2031. Lease payments are estimated to total approximately $26.2 million for the term. The Company incurred approximately $11.0 million of leasehold improvements for the additional 40,000 square feet, net of tenant improvement allowances. The lease contains two options to renew for two terms of five years. The exercise of these options were not determined to be reasonably certain and thus was not included in lease liabilities on the Company’s Consolidated Balance Sheet at December 31,</w:t>
      </w:r>
    </w:p>
    <w:p>
      <w:pPr>
        <w:spacing w:after="0" w:line="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2021. In November 2020 and December 2020, the Company entered into amendments to expand the rentable square space by an additional 10,743 square feet and these amendments added a total of approximately $1.2 million of lease payments for the remainder of the term.</w:t>
      </w:r>
    </w:p>
    <w:p>
      <w:pPr>
        <w:spacing w:after="0" w:line="20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March 2020, the Company entered into a sublease agreement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25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On November 19, 2021, the Company entered into a new lease for a San Diego, California research facility. The 15-year lease is for approximately 144,000 square feet of office and research and development laboratory space to be constructed in San Diego, California. This lease will replace the Company’s current research facility sublease for property located in San Diego, California. The increased capacity of this new facility compared to the Company’s current research facility in San Diego will accommodate increased personnel for the Company’s expanding pipeline of current and future drug candidates. The estimated rent commencement date for the lease is in May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 No lease liabilities have been recorded as of December 31, 2021 as the lease commencement date has not yet occurred.</w:t>
      </w:r>
    </w:p>
    <w:p>
      <w:pPr>
        <w:spacing w:after="0" w:line="18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Operating lease cost during the three months ended December 31, 2021 and 2020 was $1.3 million and $0.9 million, respectively. Variable lease costs for the three months ended December 31, 2021 and 2020 was $0.2 million and $0.2 million, respectively. There was no short-term lease cost during the three months ended December 31, 2021 and 2020.</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December 31, 2021:</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2023</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2025</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2027 and thereafter</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8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66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1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Statements of Cash Flows for the three months ended December 31, 2021 and 2020 was $1.0 million and $0.7 million, respectively. The weighted-average remaining lease term and weighted-average discount rate for all leases as of December 31, 2021 was 7.8 years and 8.5%,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229" w:lineRule="exact"/>
        <w:rPr>
          <w:sz w:val="20"/>
          <w:szCs w:val="20"/>
          <w:color w:val="auto"/>
        </w:rPr>
      </w:pPr>
    </w:p>
    <w:p>
      <w:pPr>
        <w:ind w:firstLine="300"/>
        <w:spacing w:after="0" w:line="289" w:lineRule="auto"/>
        <w:rPr>
          <w:sz w:val="20"/>
          <w:szCs w:val="20"/>
          <w:color w:val="auto"/>
        </w:rPr>
      </w:pPr>
      <w:r>
        <w:rPr>
          <w:rFonts w:ascii="Arial" w:cs="Arial" w:eastAsia="Arial" w:hAnsi="Arial"/>
          <w:sz w:val="16"/>
          <w:szCs w:val="16"/>
          <w:color w:val="auto"/>
        </w:rPr>
        <w:t>Arrowhead has three plans that provide for equity-based compensation. Under the 2004 Equity Incentive Plan and the 2013 Incentive Plan, as of December 31, 2021, 376,301 and 4,904,814 shares, respectively, of Arrowhead’s Common Stock are reserved for the grant of stock options, stock appreciation rights, and restricted stock unit awards to employees, consultants and others. No further grants may be made under the 2004 Equity Incentive Plan. As of December 31, 2021, there were options granted and outstanding to purchase 376,301 and 1,948,814 shares of Common Stock under the 2004 Equity Incentive Plan and the 2013 Incentive Plan, respectively, and there were 2,956,000 restricted stock units granted and outstanding under the 2013 Incentive Plan. Also, as of December 31, 2021, there were 889,890 shares reserved for options and 651,000 shares reserved for restricted stock units issued as inducement grants to new employees outside of equity compensation plans. Under the 2021 Incentive Plan, as of December 31, 2021, 3,000 shares of Common Stock and 76,400 restricted stock units were granted and outstanding under the 2021 Incentive Plan. As of December 31, 2021, the total number of authorized shares under the 2021 Incentive Plan was 8,012,543 shares, which includes 91,943 shares that were forfeited under the 2013 Incentive Plan.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3,456,239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(30,420)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(207,814)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3,218,005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w w:val="86"/>
              </w:rPr>
              <w:t>5.4 years</w:t>
            </w:r>
          </w:p>
        </w:tc>
        <w:tc>
          <w:tcPr>
            <w:tcW w:w="11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$ 149,311,699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2,460,188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w w:val="86"/>
              </w:rPr>
              <w:t>4.6 years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$ 129,520,403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Stock-based compensation expense related to stock options for the three months ended December 31, 2021 and 2020 was $3.0 million and $3.1 million, respectively. For non-qualified stock options, the expense creates a timing difference, resulting in a deferred tax asset, which is fully reserved by a valuation allowance.</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grant date fair value of the options granted by the Company for the three months ended December 31, 2021 and 2020 was $0 and $6.8 million, respectively.</w:t>
      </w:r>
    </w:p>
    <w:p>
      <w:pPr>
        <w:spacing w:after="0" w:line="17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intrinsic value of the options exercised during the three months ended December 31, 2021 and 2020 was $12.5 million and $32.0 million, respectively.</w:t>
      </w:r>
    </w:p>
    <w:p>
      <w:pPr>
        <w:spacing w:after="0" w:line="17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As of December 31, 2021, the pre-tax compensation expense for all outstanding unvested stock options in the amount of $22.4 million will be recognized in the Company’s results of operations over a weighted average period of 2.2 years.</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2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Three Months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608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69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 – 0.6%</w:t>
            </w: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6"/>
              </w:rPr>
              <w:t>90.0 – 90.4%</w:t>
            </w:r>
          </w:p>
        </w:tc>
      </w:tr>
      <w:tr>
        <w:trPr>
          <w:trHeight w:val="229"/>
        </w:trPr>
        <w:tc>
          <w:tcPr>
            <w:tcW w:w="696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7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Restricted stock units (“RSUs”), including time-based, market condition-based, and performance condition-based awards, have been granted under the Company’s 2013 Incentive Plan, 2021 Incentive Plan, and as inducements grants granted outside of the Company’s equity-based compensation plans under Rule 5635(c)(4) of the Nasdaq Listing Rules.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3,731,850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122,500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(263,700)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During the three months ended December 31, 2021 and 2020, the Company recorded $21.5 million and $5.0 million of expense related to RSUs, respectively. Such expense is included in stock-based compensation expense in the Company’s Consolidated Statements of Operations and Comprehensive Income (Loss). For RSUs, the expense creates a timing difference, resulting in a deferred tax asset, which is fully reserved by a valuation allowance.</w:t>
      </w:r>
    </w:p>
    <w:p>
      <w:pPr>
        <w:spacing w:after="0" w:line="149" w:lineRule="exact"/>
        <w:rPr>
          <w:sz w:val="20"/>
          <w:szCs w:val="20"/>
          <w:color w:val="auto"/>
        </w:rPr>
      </w:pPr>
    </w:p>
    <w:p>
      <w:pPr>
        <w:jc w:val="both"/>
        <w:ind w:right="300" w:firstLine="510"/>
        <w:spacing w:after="0" w:line="286"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 The grant date fair value of the RSUs granted by the Company for the three months ended December 31, 2021 and 2020 was $7.7 million and $7.4 million, respectively.</w:t>
      </w:r>
    </w:p>
    <w:p>
      <w:pPr>
        <w:spacing w:after="0" w:line="165"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December 31, 2021, the pre-tax compensation expense for all unvested RSUs in the amount of $139.7 million will be recognized in the Company’s results of operations over a weighted average period of 2.6 years.</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During the three months ended December 31, 2021, certain performance condition-based awards were modified to either add an additional market condition component, or to replace performance conditions with market conditions entirely. The Company assessed the modification date fair value based on a monte carlo simulation model. The fair value of market condition-based awards is expensed ratably over the service period and is not adjusted for actual achievement.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December 31, 2021 and September 30, 2021 for assets and liabilities measured at fair value on a recurring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December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91,587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126,010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126,010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113,224</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113,224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216,579</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216,579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459"/>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September 30, 2021:</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184,434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184,434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126,728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126,728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57,430</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246,643</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246,643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89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exacerbated by the COVID-19 pandemic and any worsening of the global business and economic environment as a result. As such, our actual results may differ materially from those expressed in any forward-looking statements. Readers should carefully review the factors identified in our most recent Annual Report on Form 10-K under the caption “Risk Factors” as well as the additional risks and uncertainties described in other documents we file from time to time with the Securities and Exchange Commission (“SEC”), including this Quarterly Report on Form 10-Q for the quarter ended December 31, 2021.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par value $0.001 per share, (5) the term “Preferred Stock” refers to Arrowhead’s Preferred Stock, par value $0.001 per share, and (6) the term “Stockholder(s)” refers to the holders of Arrowhead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ARO-ENaC for cystic fibrosis, ARO-HIF2 for renal cell carcinoma, ARO-DUX4 for facioscapulohumeral muscular dystrophy, ARO-LUNG2 for chronic obstructive pulmonary disorder, ARO-COV for the coronavirus that causes COVID-19 and other possible future pulmonary-borne pathogens, ARO-C3 for complement mediated diseases and ARO-RAGE and ARO-MUC5AC for various muco-obstructive or inflammatory pulmonary conditions. ARO-HSD for liver disease was out-licensed to Glaxosmithkline Intellectual Property (No. 3) Limited (“GSK”) in November 2021. ARO-XDH is being developed for uncontrolled gout under a collaboration agreement with Horizon Therapeutics Ireland DAC (“Horizon”). ARO-JNJ2 and ARO-JNJ3 are being developed for undisclosed liver-expressed targets under a collaboration agreement with Janssen Pharmaceuticals, Inc. (“Janssen”). JNJ-75220795 (ARO-JNJ1) is being developed by Janssen as a potential treatment for patients with non-alcoholic steatohepatitis (NASH).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82" w:lineRule="exact"/>
        <w:rPr>
          <w:sz w:val="20"/>
          <w:szCs w:val="20"/>
          <w:color w:val="auto"/>
        </w:rPr>
      </w:pPr>
    </w:p>
    <w:p>
      <w:pPr>
        <w:ind w:right="380" w:firstLine="514"/>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480" w:firstLine="510"/>
        <w:spacing w:after="0" w:line="277" w:lineRule="auto"/>
        <w:rPr>
          <w:sz w:val="20"/>
          <w:szCs w:val="20"/>
          <w:color w:val="auto"/>
        </w:rPr>
      </w:pPr>
      <w:r>
        <w:rPr>
          <w:rFonts w:ascii="Arial" w:cs="Arial" w:eastAsia="Arial" w:hAnsi="Arial"/>
          <w:sz w:val="18"/>
          <w:szCs w:val="18"/>
          <w:color w:val="auto"/>
        </w:rPr>
        <w:t>During the first quarter of fiscal 2022, the Company continued to develop and advance its pipeline and partnered candidates and expanded its facilities to support the Company’s growing pipeline. Several key recent developments include:</w:t>
      </w:r>
    </w:p>
    <w:p>
      <w:pPr>
        <w:spacing w:after="0" w:line="170" w:lineRule="exact"/>
        <w:rPr>
          <w:sz w:val="20"/>
          <w:szCs w:val="20"/>
          <w:color w:val="auto"/>
        </w:rPr>
      </w:pPr>
    </w:p>
    <w:p>
      <w:pPr>
        <w:ind w:left="1500" w:right="160" w:hanging="750"/>
        <w:spacing w:after="0" w:line="277"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dosed the first patients in its PALISADE study, a phase 3 clinical study to evaluate the safety and efficacy of ARO-APOC3 in adults with familial chylomicronemia syndrome (FCS);</w:t>
      </w:r>
    </w:p>
    <w:p>
      <w:pPr>
        <w:spacing w:after="0" w:line="170" w:lineRule="exact"/>
        <w:rPr>
          <w:rFonts w:ascii="Arial" w:cs="Arial" w:eastAsia="Arial" w:hAnsi="Arial"/>
          <w:sz w:val="18"/>
          <w:szCs w:val="18"/>
          <w:color w:val="auto"/>
        </w:rPr>
      </w:pPr>
    </w:p>
    <w:p>
      <w:pPr>
        <w:ind w:left="1500" w:hanging="750"/>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an exclusive license agreement with GSK for ARO-HSD;</w:t>
      </w:r>
    </w:p>
    <w:p>
      <w:pPr>
        <w:spacing w:after="0" w:line="225" w:lineRule="exact"/>
        <w:rPr>
          <w:rFonts w:ascii="Arial" w:cs="Arial" w:eastAsia="Arial" w:hAnsi="Arial"/>
          <w:sz w:val="18"/>
          <w:szCs w:val="18"/>
          <w:color w:val="auto"/>
        </w:rPr>
      </w:pPr>
    </w:p>
    <w:p>
      <w:pPr>
        <w:jc w:val="both"/>
        <w:ind w:left="1500" w:right="300" w:hanging="750"/>
        <w:spacing w:after="0" w:line="263"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183" w:lineRule="exact"/>
        <w:rPr>
          <w:rFonts w:ascii="Arial" w:cs="Arial" w:eastAsia="Arial" w:hAnsi="Arial"/>
          <w:sz w:val="18"/>
          <w:szCs w:val="18"/>
          <w:color w:val="auto"/>
        </w:rPr>
      </w:pPr>
    </w:p>
    <w:p>
      <w:pPr>
        <w:ind w:left="1500" w:hanging="750"/>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for regulatory clearance to begin a Phase 1/2a study of ARO-C3;</w:t>
      </w:r>
    </w:p>
    <w:p>
      <w:pPr>
        <w:spacing w:after="0" w:line="225" w:lineRule="exact"/>
        <w:rPr>
          <w:rFonts w:ascii="Arial" w:cs="Arial" w:eastAsia="Arial" w:hAnsi="Arial"/>
          <w:sz w:val="18"/>
          <w:szCs w:val="18"/>
          <w:color w:val="auto"/>
        </w:rPr>
      </w:pPr>
    </w:p>
    <w:p>
      <w:pPr>
        <w:ind w:left="1500" w:hanging="750"/>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additional interim clinical data from AROHSD1001, AROAAT2002, and AROAPOC31001; and</w:t>
      </w:r>
    </w:p>
    <w:p>
      <w:pPr>
        <w:spacing w:after="0" w:line="225" w:lineRule="exact"/>
        <w:rPr>
          <w:rFonts w:ascii="Arial" w:cs="Arial" w:eastAsia="Arial" w:hAnsi="Arial"/>
          <w:sz w:val="18"/>
          <w:szCs w:val="18"/>
          <w:color w:val="auto"/>
        </w:rPr>
      </w:pPr>
    </w:p>
    <w:p>
      <w:pPr>
        <w:ind w:left="1500" w:right="80" w:hanging="750"/>
        <w:spacing w:after="0" w:line="259"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purchase of 13 acres of land in the Verona Technology Park in Verona, Wisconsin, which is planned to be the site of an approximately 140,000 square foot laboratory and office facility and entered into a lease agreement for a new 144,000 square foot laboratory and office facility in San Diego, California. Both facilities will provide additional space to support the Company’s continued growth.</w:t>
      </w:r>
    </w:p>
    <w:p>
      <w:pPr>
        <w:spacing w:after="0" w:line="18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Company is actively monitoring the ongoing COVID-19 pandemic. The financial results for the three months ended December 31, 2021 were not significantly impacted by COVID-19. Operationally, the Company has experienced delays in its earlier stage programs due to a shortage in non-human primates, which are critical to the Company’s preclinical programs. Additionally, the Company has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including work from home policies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19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Net losses were $62.9 million for the three months ended December 31, 2021 as compared to net losses of $20.7 million for the three months ended December 31, 2020. Net losses per share-diluted were $0.60 for the three months ended December 31, 2021 as compared to net losses per share-diluted of $0.20 for the three months ended December 31, 2020. The increase in net losses for the three months ended December 31, 2021 was due to an increase in research and development and general and administrative expenses as Company’s pipeline of candidates has expanded and progressed through clinical trial phases, partially offset by an increase in revenue from the Company’s license and collaboration agreements, primarily from the Takeda License Agreement (as defined below) and Horizon License Agreement (as defined below).</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strengthened its liquidity and financial position through upfront and milestone payments received under its collaboration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agreements, as well as equity financings. Under the terms of the Company’s agreements with Janssen, taken together, the Company has received $175.0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as an upfront payment, $75.0 million in the form of an equity investment by JJDC in Arrowhead Common Stock, and four milestone payments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totaling $70.0 million. Under the terms of the Company’s agreements with Amgen, the Company has received $35.0 million in upfront payments, $21.5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form of an equity investment by Amgen in the Company’s Common Stock and $30.0 million in milestone payments. The Takeda License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resulted in a $300.0 million upfront payment, and the Horizon License Agreement resulted in a $40.0 million upfront payment. Finally,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GSK License Agreement (as defined below) resulted in an upfront payment of $120.0 million, which was received in January 2022.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$91.6 million of cash and cash equivalents, $126.0 million of marketable securities, $112.5 million in short-term investments, $217.6 million of long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 $638.5 million of total assets as of December 31, 2021, as compared to $184.4 million of cash and cash equivalents, $126.7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$56.6 million in short-term investments, $245.6 million of long term investments and $710.1 million of total assets as of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2021. Based upon the Company’s current cash and investment resources and operating plan, the Company expects to have sufficient liquidity to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at least the next twelve months.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have been no changes to the significant accounting policies disclosed in the Company’s most recent Annual Report on Form 10-K.</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156"/>
        </w:trPr>
        <w:tc>
          <w:tcPr>
            <w:tcW w:w="4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33"/>
        </w:trPr>
        <w:tc>
          <w:tcPr>
            <w:tcW w:w="43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3"/>
          </w:tcPr>
          <w:p>
            <w:pPr>
              <w:jc w:val="center"/>
              <w:ind w:right="114"/>
              <w:spacing w:after="0" w:line="133" w:lineRule="exact"/>
              <w:rPr>
                <w:sz w:val="20"/>
                <w:szCs w:val="20"/>
                <w:color w:val="auto"/>
              </w:rPr>
            </w:pPr>
            <w:r>
              <w:rPr>
                <w:rFonts w:ascii="Arial" w:cs="Arial" w:eastAsia="Arial" w:hAnsi="Arial"/>
                <w:sz w:val="14"/>
                <w:szCs w:val="14"/>
                <w:b w:val="1"/>
                <w:bCs w:val="1"/>
                <w:color w:val="auto"/>
                <w:w w:val="90"/>
              </w:rPr>
              <w:t>(in thousands, except per share</w:t>
            </w:r>
          </w:p>
        </w:tc>
        <w:tc>
          <w:tcPr>
            <w:tcW w:w="80" w:type="dxa"/>
            <w:vAlign w:val="bottom"/>
          </w:tcPr>
          <w:p>
            <w:pPr>
              <w:spacing w:after="0"/>
              <w:rPr>
                <w:sz w:val="11"/>
                <w:szCs w:val="11"/>
                <w:color w:val="auto"/>
              </w:rPr>
            </w:pPr>
          </w:p>
        </w:tc>
      </w:tr>
      <w:tr>
        <w:trPr>
          <w:trHeight w:val="171"/>
        </w:trPr>
        <w:tc>
          <w:tcPr>
            <w:tcW w:w="4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91"/>
              </w:rPr>
              <w:t>amounts)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27,439</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21,303</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(63,321)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(24,054)</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(62,872)</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(20,732)</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r>
    </w:tbl>
    <w:p>
      <w:pPr>
        <w:spacing w:after="0" w:line="241"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increase in revenue for the three months ended December 31, 2021 compared to the three months ended December 31, 2020 was driven by the revenue recognized from the Takeda License Agreement and the Horizon License Agreement. The increase in net losses during the three months ended December 31, 2021 compared to the three months ended December 31, 2020 was driven by an increase in research and development and general and administrative expenses as our pipeline of clinical candidates has continued to increase and progress through clinical trial phases, partially offset by an increase in revenue from the Takeda License Agreement and the Horizon License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Total revenue for the three months ended December 31, 2021 and 2020 was $27.4 million and $21.3 million, respectively. Revenue for the three months ended December 31, 2021 is primarily related to the recognition of $20.8 million of revenue associated with the Takeda License Agreement and the recognition of $6.7 million of revenue associated with the Horizon License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(the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prior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AMG1, an RNAi therapy for an undisclosed genetically validated cardiovascular target. Under both agreements, Amgen is wholly responsible for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60" w:firstLine="510"/>
        <w:spacing w:after="0" w:line="30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months ended December 31, 2021 and 2020, the Company recognized $0 and $0 of revenue associated with its agreement with Amgen, respectively. As of December 31, 2021, there were $0 in contract assets recorded as accounts receivable and $0 contract liabilities recorded as current deferred revenue on the Company’s Consolidated Balance Sheets.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On October 3, 2018, the Company entered into a License Agreement (the “Janssen License Agreement”) and a Research Collaboration and Option Agreement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$70.0 million, and the Company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9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During the three months ended December 31, 2021 and 2020, the Company recognized approximately $0 and $12.7 million of revenue associated with this performance obligation, respectively. As of December 31, 2021, there were $0 in contract assets recorded as accounts receivable, and $0 of contract liabilities recorded as current deferred revenue on the Company’s Consolidated Balance Sheets.</w:t>
      </w:r>
    </w:p>
    <w:p>
      <w:pPr>
        <w:spacing w:after="0" w:line="165" w:lineRule="exact"/>
        <w:rPr>
          <w:sz w:val="20"/>
          <w:szCs w:val="20"/>
          <w:color w:val="auto"/>
        </w:rPr>
      </w:pPr>
    </w:p>
    <w:p>
      <w:pPr>
        <w:ind w:firstLine="510"/>
        <w:spacing w:after="0" w:line="265" w:lineRule="auto"/>
        <w:rPr>
          <w:sz w:val="20"/>
          <w:szCs w:val="20"/>
          <w:color w:val="auto"/>
        </w:rPr>
      </w:pPr>
      <w:r>
        <w:rPr>
          <w:rFonts w:ascii="Arial" w:cs="Arial" w:eastAsia="Arial" w:hAnsi="Arial"/>
          <w:sz w:val="18"/>
          <w:szCs w:val="18"/>
          <w:color w:val="auto"/>
        </w:rPr>
        <w:t>The Company has begun to conduct its discovery, optimization and preclinical research and development of JNJ-75220795 (ARO-JNJ1), ARO-JNJ2 and ARO-JNJ3 under the Janssen Collaboration Agreement. All costs and labor hours spent by the Company will be entirely funded by Janssen. During the three months ended December 31, 2021 and 2020, the Company recognized $0 and $0.3 million of revenue associated with these efforts, respectively. As of December 31, 2021, there were $0 of contract assets recorded as accounts receivable and $0 of contract liabilities recorded as current deferred revenue on the Company’s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On October 7, 2020, the Company entered into an Exclusive License and Co-funding agreement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40" w:firstLine="510"/>
        <w:spacing w:after="0" w:line="291"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65" w:lineRule="exact"/>
        <w:rPr>
          <w:sz w:val="20"/>
          <w:szCs w:val="20"/>
          <w:color w:val="auto"/>
        </w:rPr>
      </w:pPr>
    </w:p>
    <w:p>
      <w:pPr>
        <w:ind w:right="160" w:firstLine="300"/>
        <w:spacing w:after="0" w:line="271" w:lineRule="auto"/>
        <w:rPr>
          <w:sz w:val="20"/>
          <w:szCs w:val="20"/>
          <w:color w:val="auto"/>
        </w:rPr>
      </w:pPr>
      <w:r>
        <w:rPr>
          <w:rFonts w:ascii="Arial" w:cs="Arial" w:eastAsia="Arial" w:hAnsi="Arial"/>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three months ended December 31, 2021 and 2020 was $20.8 million and $8.2, respectively. As of December 31, 2021, there were $0 in contract assets recorded as accounts receivable, $82.0 million in contract liabilities recorded as deferred revenue and $106.5 million in contract liabilities recorded as deferred revenue, net of the current portion, and $2.9 million in contract liabilities recorded as accrued expenses. The $2.9 million in accrued expenses was primarily driven by co-development and co-commercialization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On June 18, 2021, the Company entered into the Horizon License Agreement with Horizon. Under the Horizon License Agreement, Horizon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for Contracts from Customers. At the inception of the Horizon License Agreement, the Company identified one distinct performance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 The Company determined that the key deliverables included the license and certain R&amp;D services, including the Company’s responsibilities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all activities through the preclinical stages of development of ARO-XDH (the “Horizon R&amp;D Services”). Due to the specialized and unique nature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Horizon R&amp;D Services and their direct relationship with the license, the Company determined that these deliverables represented one distinct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bundle and, thus, one performance obligation. Beyond the Horizon R&amp;D Services, which are the responsibility of the Company, Horizon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managing future clinical development and commercialization of ARO-XDH.</w:t>
      </w:r>
    </w:p>
    <w:p>
      <w:pPr>
        <w:spacing w:after="0" w:line="21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three months ended December 31, 2021 and 2020 was $6.7 million and $0, respectively. As of December 31, 2021, there were $0.1 million in contract assets recorded as accounts receivable, $26.7 million in contract liabilities recorded as deferred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w:t>
      </w:r>
    </w:p>
    <w:p>
      <w:pPr>
        <w:spacing w:after="0" w:line="22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On November 22, 2021, the Company entered into an Exclusive License Agreement (the “GSK License Agreement”) with GSK. Under the GSK License Agreement, GSK has received an exclusive license for ARO-HSD, the Company’s investigational RNAi therapeutic being developed as a treatment for patients with alcohol-related and nonalcohol related liver diseases, such 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7"/>
          <w:szCs w:val="17"/>
          <w:color w:val="auto"/>
        </w:rPr>
        <w:t>nonalcoholic steatohepatitis (NASH). The exclusive license is worldwide with the exception of greater China, for which the Company will retain rights to develop and commercialize. Beyond the Company’s Phase 1/2 study of (ARO-HSD), which the Company is responsible for completing, GSK is wholly responsible for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78"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Company has evaluated the GSK License Agreement in accordance with FASB Topics 808 – Collaborative Arrangements and 606 - Revenue for Contracts from Customers. 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these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195" w:lineRule="exact"/>
        <w:rPr>
          <w:sz w:val="20"/>
          <w:szCs w:val="20"/>
          <w:color w:val="auto"/>
        </w:rPr>
      </w:pPr>
    </w:p>
    <w:p>
      <w:pPr>
        <w:ind w:firstLine="300"/>
        <w:spacing w:after="0" w:line="273" w:lineRule="auto"/>
        <w:rPr>
          <w:sz w:val="20"/>
          <w:szCs w:val="20"/>
          <w:color w:val="auto"/>
        </w:rPr>
      </w:pPr>
      <w:r>
        <w:rPr>
          <w:rFonts w:ascii="Arial" w:cs="Arial" w:eastAsia="Arial" w:hAnsi="Arial"/>
          <w:sz w:val="17"/>
          <w:szCs w:val="17"/>
          <w:color w:val="auto"/>
        </w:rPr>
        <w:t>The Company determined the initial transaction price totaled $120.0 million, including the upfront payment.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Revenue will be recognized using a proportional performance method. As of December 31, 2021, no revenue or contract assets or liabilities were recognized as the GSK License Agreement had not yet completed customary closing conditions, including clearance by the relevant competition authorities. This clearance was achieved in January 2022 and the upfront payment of $120.0 million was also received by the Company in January 2022.</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months ended December 31, 2021 and 2020 are shown in the tables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consist of depreciation on lab equipment and leasehold improvements at our research facilities. We do not separately track R&amp;D expenses by individual research and development projects, including by individual drug candidates. The Company operates in a cross-functional manner across projects and does not separately allocate facilities-related costs, candidate costs, discovery costs, compensation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4" w:name="page25"/>
    <w:bookmarkEnd w:id="24"/>
    <w:p>
      <w:pPr>
        <w:ind w:right="380"/>
        <w:spacing w:after="0" w:line="277" w:lineRule="auto"/>
        <w:rPr>
          <w:sz w:val="20"/>
          <w:szCs w:val="20"/>
          <w:color w:val="auto"/>
        </w:rPr>
      </w:pPr>
      <w:r>
        <w:rPr>
          <w:rFonts w:ascii="Arial" w:cs="Arial" w:eastAsia="Arial" w:hAnsi="Arial"/>
          <w:sz w:val="18"/>
          <w:szCs w:val="18"/>
          <w:color w:val="auto"/>
        </w:rPr>
        <w:t>expenses, depreciation and amortization expenses, and other expenses for research and development activities. The following table provides details of research and development expenses for the periods indicated: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10,994</w:t>
            </w:r>
          </w:p>
        </w:tc>
        <w:tc>
          <w:tcPr>
            <w:tcW w:w="2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Facilities related</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32,345</w:t>
            </w:r>
          </w:p>
        </w:tc>
        <w:tc>
          <w:tcPr>
            <w:tcW w:w="2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17,328</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R&amp;D discovery costs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4,711</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6,289</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8"/>
              </w:rPr>
              <w:t>Total research and development expense, excluding non-</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56,377</w:t>
            </w:r>
          </w:p>
        </w:tc>
        <w:tc>
          <w:tcPr>
            <w:tcW w:w="2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29,379</w:t>
            </w:r>
          </w:p>
        </w:tc>
        <w:tc>
          <w:tcPr>
            <w:tcW w:w="22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26,998</w:t>
            </w:r>
          </w:p>
        </w:tc>
        <w:tc>
          <w:tcPr>
            <w:tcW w:w="220" w:type="dxa"/>
            <w:vAlign w:val="bottom"/>
            <w:shd w:val="clear" w:color="auto" w:fill="CFF0FC"/>
          </w:tcPr>
          <w:p>
            <w:pPr>
              <w:spacing w:after="0"/>
              <w:rPr>
                <w:sz w:val="18"/>
                <w:szCs w:val="18"/>
                <w:color w:val="auto"/>
              </w:rPr>
            </w:pPr>
          </w:p>
        </w:tc>
        <w:tc>
          <w:tcPr>
            <w:tcW w:w="10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expense</w:t>
            </w:r>
          </w:p>
        </w:tc>
        <w:tc>
          <w:tcPr>
            <w:tcW w:w="14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7,218</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5,486</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65,765</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36,555</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29,210</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Salaries expense increased by $2,821,000 from $8,173,000 during the three months ended December 31, 2020 to $10,994,000 during the current period. This increase is primarily due to an increase in R&amp;D headcount that has occurred as the Company has expanded its pipeline of candidates. We anticipate this expense to continue to increase as we continue to expand our pipeline of candidates and increase headcount to support our discovery efforts to identify new drug candidates.</w:t>
      </w:r>
    </w:p>
    <w:p>
      <w:pPr>
        <w:spacing w:after="0" w:line="18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Facilities expense increased by $560,000 from $1,478,000 during the three months ended December 31, 2020 to $2,038,000 during the current period. This category includes rental costs for our research and development facilities in Madison, Wisconsin and San Diego, California. We expect this expense to continue to increase as we continue to build out our manufacturing capabilities to support our discovery efforts to identify new drug candidates.</w:t>
      </w:r>
    </w:p>
    <w:p>
      <w:pPr>
        <w:spacing w:after="0" w:line="149"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Candidate costs increased by $17,328,000 from $15,017,000 during the three months ended December 31, 2020 to $32,345,000 during the current period. This increase is primarily due to the progression of our pipeline of candidates into and through clinical trials, which results in higher outsourced clinical trial, toxicity study and manufacturing costs. For example, our cardiometabolic candidates, ARO-ANG3 and ARO-APOC3, have advanced into phase 2 and phase 3 clinical trials. We anticipate these expenses to continue to increase as our pipeline of candidates grows and progresses to later phase clinical trials.</w:t>
      </w:r>
    </w:p>
    <w:p>
      <w:pPr>
        <w:spacing w:after="0" w:line="18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R&amp;D discovery costs increased by $6,289,000 from $4,711,000 during the three months ended December 31, 2020 to $11,000,000 in the current period. This increase is primarily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6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Stock compensation expense, a non-cash expense, increased by $1,732,000 from $5,486,000 during the three months ended December 31, 2020 to $7,218,000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in the current period is primarily due to the increased headcount discussed above and a mix of higher grant date fair values of awards amortizing during the current period due to the Company’s stock price at the time of the grants. We generally expect future stock compensation expense to continue to increase as our headcount continues to increase to support our clinical pipeline.</w:t>
      </w:r>
    </w:p>
    <w:p>
      <w:pPr>
        <w:spacing w:after="0" w:line="16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Depreciation and amortization expense, a non-cash expense, increased by $480,000 from $1,690,000 during the three months ended December 31, 2020 to $2,170,000 during the current period. The majority of depreciation and amortization expense relates to depreciation on lab equipment and leasehold improvements at our Madison and San Diego research facilities. The increase in depreciation and amortization expense is due to an increase in laboratory equipment and leasehold improvements. We expect this amount to increase in the future as we continue to purchase additional lab equipment to support our growing pipeline.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Three</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7,305</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5,990</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1,315</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17,287</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2,658</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14,629</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24,995</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8,802</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16,193</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540" w:firstLine="510"/>
        <w:spacing w:after="0" w:line="286" w:lineRule="auto"/>
        <w:rPr>
          <w:sz w:val="20"/>
          <w:szCs w:val="20"/>
          <w:color w:val="auto"/>
        </w:rPr>
      </w:pPr>
      <w:r>
        <w:rPr>
          <w:rFonts w:ascii="Arial" w:cs="Arial" w:eastAsia="Arial" w:hAnsi="Arial"/>
          <w:sz w:val="17"/>
          <w:szCs w:val="17"/>
          <w:color w:val="auto"/>
        </w:rPr>
        <w:t>Salaries expense increased by $846,000 from $2,584,000 during the three months ended December 31, 2020 to $3,430,000 during the current period. This increase is primarily due to an increase in G&amp;A headcount that has occurred as the Company has grown. We expect salaries expense to continue to increase as our headcount continues to increase to support our expanding clinical pipeline.</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Professional/outside services include legal, accounting, consulting, patent expenses, business insurance expenses and other outside services retained by the Company. Professional/outside services expense increased by $195,000 from $1,982,000 during the three months ended December 31, 2020 to $2,177,000 during the current period. The increase in professional/outside services expense is primarily related to the timing of certain patent-related expenses.</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Facilities-related expense increased by $259,000 from $421,000 during the three months ended December 31, 2020 to $680,000 during the current period. This category primarily includes rental costs for our corporate headquarters in Pasadena, California. We expect future facilities-related expense to increase as we continue to increase our headcount to support our discovery efforts.</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Other G&amp;A expense increased by $15,000 from $1,003,000 during the three months ended December 31, 2020 to $1,018,000 during the current period. This category consists primarily of travel, communication and technology, office expenses, and franchise and property tax expenses. The increase is due to increased information technology costs to support the Company’s increased headcount.</w:t>
      </w:r>
    </w:p>
    <w:p>
      <w:pPr>
        <w:spacing w:after="0" w:line="184" w:lineRule="exact"/>
        <w:rPr>
          <w:sz w:val="20"/>
          <w:szCs w:val="20"/>
          <w:color w:val="auto"/>
        </w:rPr>
      </w:pPr>
    </w:p>
    <w:p>
      <w:pPr>
        <w:ind w:right="100" w:firstLine="300"/>
        <w:spacing w:after="0" w:line="272" w:lineRule="auto"/>
        <w:rPr>
          <w:sz w:val="20"/>
          <w:szCs w:val="20"/>
          <w:color w:val="auto"/>
        </w:rPr>
      </w:pPr>
      <w:r>
        <w:rPr>
          <w:rFonts w:ascii="Arial" w:cs="Arial" w:eastAsia="Arial" w:hAnsi="Arial"/>
          <w:sz w:val="17"/>
          <w:szCs w:val="17"/>
          <w:color w:val="auto"/>
        </w:rPr>
        <w:t>Stock compensation expense, a non-cash expense, increased by $14,629,000 from $2,658,000 during the three months ended December 31, 2020 to $17,287,000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current period is due to a performance award that was achieved earlier than anticipated, as well as a modification of certain performance awards to include market conditions. The fair value of market condition-based awards is expensed ratably over the service period and is not adjusted for actual achievement. We generally expect future stock compensation expense to continue to increase as our headcount continues to increase to support our clinical pipeline.</w:t>
      </w:r>
    </w:p>
    <w:p>
      <w:pPr>
        <w:spacing w:after="0" w:line="177"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Depreciation and amortization expense, a noncash expense, increased by $249,000 from $154,000 during the three months ended December 31, 2020 to $403,000 during the current period. The increase is primarily related to amortization of leasehold improvements for our corporate headquarters.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Other income/expense was $3,322,000 during the three months ended December 31, 2020 compared to $449,000 during the current period. Other income is primarily related to interest income and realized and unrealized gain/loss on our marketable securities. The decrease in other income/expense is due to lower yields on more recently purchased bonds.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Arrowhead has historically financed its operations through the sale of its equity securities and revenue from its collaboration agreements.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Company’s plans to expand its facilities with its purchase of land in Verona, Wisconsin, and its entry into a new lease in San Diego, California. Each of these expansions is designed to increase the Company’s internal manufacturing and discovery capabilities, and each will require significant capital investment.</w:t>
      </w:r>
    </w:p>
    <w:p>
      <w:pPr>
        <w:spacing w:after="0" w:line="16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At December 31, 2021, the Company had cash on hand of approximately $91.6 million as compared to $184.4 million at September 30, 2021. Cash invested in short-term fixed income securities and marketable securities was $238.5 million at December 31, 2021, compared to $183.4 million at September 30, 2021. Cash invested in long-term fixed income securities was $217.6 million at December 31, 2021, compared to $245.6 million at September 30, 2021. The Company also entered into an Open Market Sale Agreement (the “ATM Agreement”) in August 2020, pursuant to which the Company may, from time to time, sell up to $250,000,000 in shares of the Company’s Common Stock through Jefferies LLC. As of December 31, 2021, no shares have been sold under the ATM Agreement. The Company believes its current financial resources are sufficient to fund its operations through at least the next twelve months.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three months ended December 31, 2021 and 2020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240" w:type="dxa"/>
            <w:vAlign w:val="bottom"/>
          </w:tcPr>
          <w:p>
            <w:pPr>
              <w:spacing w:after="0"/>
              <w:rPr>
                <w:sz w:val="14"/>
                <w:szCs w:val="14"/>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2021</w:t>
            </w:r>
          </w:p>
        </w:tc>
        <w:tc>
          <w:tcPr>
            <w:tcW w:w="1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5240" w:type="dxa"/>
            <w:vAlign w:val="bottom"/>
          </w:tcPr>
          <w:p>
            <w:pPr>
              <w:spacing w:after="0"/>
              <w:rPr>
                <w:sz w:val="13"/>
                <w:szCs w:val="13"/>
                <w:color w:val="auto"/>
              </w:rPr>
            </w:pPr>
          </w:p>
        </w:tc>
        <w:tc>
          <w:tcPr>
            <w:tcW w:w="3660" w:type="dxa"/>
            <w:vAlign w:val="bottom"/>
            <w:tcBorders>
              <w:top w:val="single" w:sz="8" w:color="auto"/>
            </w:tcBorders>
            <w:gridSpan w:val="3"/>
          </w:tcPr>
          <w:p>
            <w:pPr>
              <w:jc w:val="right"/>
              <w:ind w:right="131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activities</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(61,347)</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(38,922)</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(33,385)</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30,158</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(92,847)</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184,434</w:t>
            </w:r>
          </w:p>
        </w:tc>
        <w:tc>
          <w:tcPr>
            <w:tcW w:w="22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91,587</w:t>
            </w:r>
          </w:p>
        </w:tc>
        <w:tc>
          <w:tcPr>
            <w:tcW w:w="2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139,921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During the three months ended December 31, 2021, cash flow used by operating activities was $61.3 million, which was primarily due to ongoing expenses related to the Company’s research and development programs and general and administrative expenses. Cash used in investing activities was $33.4 million, which was primarily related to the purchase of property and equipment of $5.8 million and net purchase of investments of $27.6 million. Cash provided by financing activities of $1.9 million was related to cash received from stock option exercises.</w:t>
      </w:r>
    </w:p>
    <w:p>
      <w:pPr>
        <w:spacing w:after="0" w:line="19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During the three months ended December 31, 2020, the Company used $38.9 million in cash from operating activities, which was primarily related to the ongoing expenses of the Company’s research and development programs and general and administrative expenses. Cash provided in investing activities was $30.2 million, which was primarily related to the sale of marketable securities of $34.4 million, partially offset by the purchase of property and equipment of $4.3 million. Cash provided by financing activities of $5.1 million was related to cash received from stock option exercises.</w:t>
      </w:r>
    </w:p>
    <w:p>
      <w:pPr>
        <w:spacing w:after="0" w:line="265" w:lineRule="exact"/>
        <w:rPr>
          <w:sz w:val="20"/>
          <w:szCs w:val="20"/>
          <w:color w:val="auto"/>
        </w:rPr>
      </w:pPr>
    </w:p>
    <w:p>
      <w:pPr>
        <w:ind w:firstLine="599"/>
        <w:spacing w:after="0" w:line="272" w:lineRule="auto"/>
        <w:rPr>
          <w:sz w:val="20"/>
          <w:szCs w:val="20"/>
          <w:color w:val="auto"/>
        </w:rPr>
      </w:pPr>
      <w:r>
        <w:rPr>
          <w:rFonts w:ascii="Arial" w:cs="Arial" w:eastAsia="Arial" w:hAnsi="Arial"/>
          <w:sz w:val="17"/>
          <w:szCs w:val="17"/>
          <w:color w:val="auto"/>
        </w:rPr>
        <w:t>On December 20, 2021, the Company completed a purchase of 13 acres of land in the Verona Technology Park in Verona, WI, which is planned to be the site of an approximately 140,000 square foot drug manufacturing facility and an approximately 115,000 square foot laboratory and office facility to support process development and analytical activities. Arrowhead intends to invest between $200 million and $250 million into the buildout of the facilities. As part of this acquisition, the Company also entered into a development agreement with the City of Verona to construct certain infrastructure improvements within the TIF district, and will be reimbursed by the City of Verona by future tax increment revenue generated from the developed property. The total amount of funding that City of Verona will pay as reimbursements under the TIF program for these improvements is not guaranteed and will depend on future tax revenues generated from the developed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2021.</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7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Rules 13a-15(f) and 15d-15(f) of the Exchange Act) occurred during the Company’s most recent fiscal quarter that has materially affected, or is reasonably likely to materially affect, our internal control over financial reporting.</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There have been no material developments in the legal proceedings that we disclosed in Part I, Item 3 of our Annual Report on Form 10-K for the year ended September 30, 2021.</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2021. Please carefully consider the information set forth in this Quarterly Report on Form 10-Q and the risk factors discussed in Part I, “Item 1A. Risk Factors” in our Annual Report on Form 10-K for the year ended September 30, 2021,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00" w:type="dxa"/>
            <w:vAlign w:val="bottom"/>
          </w:tcPr>
          <w:p>
            <w:pPr>
              <w:spacing w:after="0"/>
              <w:rPr>
                <w:sz w:val="20"/>
                <w:szCs w:val="20"/>
                <w:color w:val="auto"/>
              </w:rPr>
            </w:pPr>
          </w:p>
        </w:tc>
        <w:tc>
          <w:tcPr>
            <w:tcW w:w="10080" w:type="dxa"/>
            <w:vAlign w:val="bottom"/>
            <w:gridSpan w:val="16"/>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60" w:type="dxa"/>
            <w:vAlign w:val="bottom"/>
            <w:gridSpan w:val="12"/>
            <w:vMerge w:val="restart"/>
          </w:tcPr>
          <w:p>
            <w:pPr>
              <w:ind w:left="15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726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9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Collaboration and License Agreement by and between Arrowhead Pharmaceuticals, Inc. and Glaxosmithkline Intellectual Property, dated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November 22,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8"/>
                <w:szCs w:val="18"/>
                <w:color w:val="0000EE"/>
                <w:w w:val="96"/>
              </w:rPr>
            </w:pPr>
            <w:hyperlink w:anchor="page138">
              <w:r>
                <w:rPr>
                  <w:rFonts w:ascii="Arial" w:cs="Arial" w:eastAsia="Arial" w:hAnsi="Arial"/>
                  <w:sz w:val="18"/>
                  <w:szCs w:val="18"/>
                  <w:color w:val="0000EE"/>
                  <w:w w:val="96"/>
                </w:rPr>
                <w:t>Lease Agreement by and between Arrowhead Pharmaceuticals, Inc. and ARE-SD Region No. 72, LLC, dated November 19,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8"/>
                <w:szCs w:val="18"/>
                <w:color w:val="0000EE"/>
                <w:w w:val="93"/>
              </w:rPr>
            </w:pPr>
            <w:hyperlink r:id="rId48">
              <w:r>
                <w:rPr>
                  <w:rFonts w:ascii="Arial" w:cs="Arial" w:eastAsia="Arial" w:hAnsi="Arial"/>
                  <w:sz w:val="18"/>
                  <w:szCs w:val="18"/>
                  <w:color w:val="0000EE"/>
                  <w:w w:val="93"/>
                </w:rPr>
                <w:t>Form of RSU Agreement for Officers and Certain Other Employees (Arrowhead Pharmaceuticals, Inc. 2021 Incentive Plan- Inducement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Award) (incorporated by reference from Exhibit 99.1 of the Company’s Form S-8 filed on December 22, 2021).</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9680" w:type="dxa"/>
            <w:vAlign w:val="bottom"/>
            <w:tcBorders>
              <w:bottom w:val="single" w:sz="8" w:color="0000EE"/>
            </w:tcBorders>
            <w:gridSpan w:val="10"/>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Form of RSU Agreement for Employees (Arrowhead Pharmaceuticals, Inc. 2021 Incentive Plan- Inducement Award) (incorporated by</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gridSpan w:val="16"/>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reference from Exhibit 99.2 of the Company’s Form S-8 filed on December 22,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2"/>
                <w:szCs w:val="22"/>
                <w:color w:val="auto"/>
              </w:rPr>
            </w:pPr>
          </w:p>
        </w:tc>
        <w:tc>
          <w:tcPr>
            <w:tcW w:w="10080" w:type="dxa"/>
            <w:vAlign w:val="bottom"/>
            <w:gridSpan w:val="16"/>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Form of Stock Option Grant (Arrowhead Pharmaceuticals, Inc. 2021 Incentive Plan- Inducement Award) (incorporated by reference from</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Exhibit 99.3 of the Company’s Form S-8 filed on December 22, 2021).</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Separation and Release of Claims Agreement between Arrowhead Pharmaceuticals, Inc. and James Hassard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940" w:type="dxa"/>
            <w:vAlign w:val="bottom"/>
            <w:gridSpan w:val="3"/>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0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00">
              <w:r>
                <w:rPr>
                  <w:rFonts w:ascii="Arial" w:cs="Arial" w:eastAsia="Arial" w:hAnsi="Arial"/>
                  <w:sz w:val="18"/>
                  <w:szCs w:val="18"/>
                  <w:color w:val="0000EE"/>
                  <w:w w:val="91"/>
                </w:rPr>
                <w:t>Certification of Chief Executive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gridSpan w:val="16"/>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302 of the Sarbanes-Oxley Act of 2002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Certification of Chief Financial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302 of the Sarbanes-Oxley Act of 2002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8"/>
                <w:szCs w:val="18"/>
                <w:color w:val="0000EE"/>
                <w:w w:val="93"/>
              </w:rPr>
            </w:pPr>
            <w:hyperlink w:anchor="page202">
              <w:r>
                <w:rPr>
                  <w:rFonts w:ascii="Arial" w:cs="Arial" w:eastAsia="Arial" w:hAnsi="Arial"/>
                  <w:sz w:val="18"/>
                  <w:szCs w:val="18"/>
                  <w:color w:val="0000EE"/>
                  <w:w w:val="93"/>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02">
              <w:r>
                <w:rPr>
                  <w:rFonts w:ascii="Arial" w:cs="Arial" w:eastAsia="Arial" w:hAnsi="Arial"/>
                  <w:sz w:val="18"/>
                  <w:szCs w:val="18"/>
                  <w:color w:val="0000EE"/>
                  <w:w w:val="92"/>
                </w:rPr>
                <w:t>Act of 2002</w:t>
              </w:r>
            </w:hyperlink>
          </w:p>
        </w:tc>
        <w:tc>
          <w:tcPr>
            <w:tcW w:w="8920" w:type="dxa"/>
            <w:vAlign w:val="bottom"/>
            <w:tcBorders>
              <w:top w:val="single" w:sz="8" w:color="0000EE"/>
            </w:tcBorders>
            <w:gridSpan w:val="9"/>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03">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of 2002</w:t>
              </w:r>
            </w:hyperlink>
          </w:p>
        </w:tc>
        <w:tc>
          <w:tcPr>
            <w:tcW w:w="9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212529"/>
              </w:rPr>
              <w:t>Inline XBRL Taxonomy Extension Calculation Linkbase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212529"/>
              </w:rPr>
              <w:t>Inline XBRL Taxonomy Extension Label Linkbase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18"/>
                <w:szCs w:val="18"/>
                <w:color w:val="212529"/>
              </w:rPr>
              <w:t>Inline XBRL Taxonomy Extension Presentation Linkbase Document</w:t>
            </w:r>
          </w:p>
        </w:tc>
        <w:tc>
          <w:tcPr>
            <w:tcW w:w="0" w:type="dxa"/>
            <w:vAlign w:val="bottom"/>
          </w:tcPr>
          <w:p>
            <w:pPr>
              <w:spacing w:after="0"/>
              <w:rPr>
                <w:sz w:val="1"/>
                <w:szCs w:val="1"/>
                <w:color w:val="auto"/>
              </w:rPr>
            </w:pPr>
          </w:p>
        </w:tc>
      </w:tr>
      <w:tr>
        <w:trPr>
          <w:trHeight w:val="375"/>
        </w:trPr>
        <w:tc>
          <w:tcPr>
            <w:tcW w:w="960" w:type="dxa"/>
            <w:vAlign w:val="bottom"/>
          </w:tcPr>
          <w:p>
            <w:pPr>
              <w:spacing w:after="0"/>
              <w:rPr>
                <w:sz w:val="20"/>
                <w:szCs w:val="20"/>
                <w:color w:val="auto"/>
              </w:rPr>
            </w:pPr>
            <w:r>
              <w:rPr>
                <w:rFonts w:ascii="Arial" w:cs="Arial" w:eastAsia="Arial" w:hAnsi="Arial"/>
                <w:sz w:val="22"/>
                <w:szCs w:val="22"/>
                <w:color w:val="auto"/>
                <w:w w:val="98"/>
              </w:rPr>
              <w:t>101.DEF*</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22"/>
                <w:szCs w:val="22"/>
                <w:color w:val="212529"/>
              </w:rPr>
              <w:t>Inline XBRL Taxonomy Extension Definition Linkbase Document</w:t>
            </w:r>
          </w:p>
        </w:tc>
        <w:tc>
          <w:tcPr>
            <w:tcW w:w="0" w:type="dxa"/>
            <w:vAlign w:val="bottom"/>
          </w:tcPr>
          <w:p>
            <w:pPr>
              <w:spacing w:after="0"/>
              <w:rPr>
                <w:sz w:val="1"/>
                <w:szCs w:val="1"/>
                <w:color w:val="auto"/>
              </w:rPr>
            </w:pPr>
          </w:p>
        </w:tc>
      </w:tr>
      <w:tr>
        <w:trPr>
          <w:trHeight w:val="364"/>
        </w:trPr>
        <w:tc>
          <w:tcPr>
            <w:tcW w:w="960" w:type="dxa"/>
            <w:vAlign w:val="bottom"/>
          </w:tcPr>
          <w:p>
            <w:pPr>
              <w:spacing w:after="0"/>
              <w:rPr>
                <w:sz w:val="20"/>
                <w:szCs w:val="20"/>
                <w:color w:val="auto"/>
              </w:rPr>
            </w:pPr>
            <w:r>
              <w:rPr>
                <w:rFonts w:ascii="Arial" w:cs="Arial" w:eastAsia="Arial" w:hAnsi="Arial"/>
                <w:sz w:val="22"/>
                <w:szCs w:val="22"/>
                <w:color w:val="auto"/>
              </w:rPr>
              <w:t>104*</w:t>
            </w:r>
          </w:p>
        </w:tc>
        <w:tc>
          <w:tcPr>
            <w:tcW w:w="20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22"/>
                <w:szCs w:val="22"/>
                <w:color w:val="212529"/>
                <w:w w:val="95"/>
              </w:rPr>
              <w:t>The cover page from this Quarterly Report on Form 10-Q,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951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right="500" w:hanging="492"/>
        <w:spacing w:after="0" w:line="26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2022</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w:t>
      </w:r>
    </w:p>
    <w:p>
      <w:pPr>
        <w:spacing w:after="0" w:line="23" w:lineRule="exact"/>
        <w:rPr>
          <w:sz w:val="20"/>
          <w:szCs w:val="20"/>
          <w:color w:val="auto"/>
        </w:rPr>
      </w:pPr>
    </w:p>
    <w:p>
      <w:pPr>
        <w:ind w:left="9360"/>
        <w:spacing w:after="0"/>
        <w:rPr>
          <w:sz w:val="20"/>
          <w:szCs w:val="20"/>
          <w:color w:val="auto"/>
        </w:rPr>
      </w:pPr>
      <w:r>
        <w:rPr>
          <w:rFonts w:ascii="Arial" w:cs="Arial" w:eastAsia="Arial" w:hAnsi="Arial"/>
          <w:sz w:val="20"/>
          <w:szCs w:val="20"/>
          <w:b w:val="1"/>
          <w:bCs w:val="1"/>
          <w:color w:val="auto"/>
        </w:rPr>
        <w:t>10.1</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 CERTAIN CONFIDENTIAL INFORMATION CONTAINED IN THIS DOCUMENT, MARKED BY BRACKETS, HAS BEEN OMITTED BECAUSE THE INFORMATION (I) IS NOT MATERIAL AND (II) WOULD BE COMPETITIVELY HARMFUL IF PUBLICLY DISCLOSED.</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EXCLUSIVE LICENSE AGREEMENT</w:t>
      </w:r>
    </w:p>
    <w:p>
      <w:pPr>
        <w:spacing w:after="0" w:line="18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BY AND BETWEEN</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ARROWHEAD PHARMACEUTICALS, INC.</w:t>
      </w:r>
    </w:p>
    <w:p>
      <w:pPr>
        <w:spacing w:after="0" w:line="20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GLAXOSMITHKLINE INTELLECTUAL PROPERTY (NO. 3) LIMITED</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DATED AS OF 22 NOVEMBER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937260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115" w:right="559" w:bottom="1440" w:gutter="0" w:footer="0" w:header="0"/>
        </w:sectPr>
      </w:pPr>
    </w:p>
    <w:bookmarkStart w:id="32" w:name="page33"/>
    <w:bookmarkEnd w:id="32"/>
    <w:p>
      <w:pPr>
        <w:ind w:right="260" w:firstLine="8"/>
        <w:spacing w:after="0" w:line="266" w:lineRule="auto"/>
        <w:tabs>
          <w:tab w:leader="none" w:pos="4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w:t>
      </w:r>
      <w:r>
        <w:rPr>
          <w:rFonts w:ascii="Arial" w:cs="Arial" w:eastAsia="Arial" w:hAnsi="Arial"/>
          <w:sz w:val="14"/>
          <w:szCs w:val="14"/>
          <w:u w:val="single" w:color="auto"/>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-154940</wp:posOffset>
            </wp:positionV>
            <wp:extent cx="2185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86"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1 DEFINITIONS</w:t>
      </w:r>
      <w:hyperlink w:anchor="page37">
        <w:r>
          <w:rPr>
            <w:rFonts w:ascii="Arial" w:cs="Arial" w:eastAsia="Arial" w:hAnsi="Arial"/>
            <w:sz w:val="22"/>
            <w:szCs w:val="22"/>
            <w:u w:val="single" w:color="auto"/>
            <w:color w:val="0000EE"/>
          </w:rPr>
          <w:t>1</w:t>
        </w:r>
      </w:hyperlink>
    </w:p>
    <w:p>
      <w:pPr>
        <w:spacing w:after="0" w:line="206"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2 LICENSE GRANTS; EXCLUSIVITY</w:t>
      </w:r>
      <w:hyperlink w:anchor="page59">
        <w:r>
          <w:rPr>
            <w:rFonts w:ascii="Arial" w:cs="Arial" w:eastAsia="Arial" w:hAnsi="Arial"/>
            <w:sz w:val="22"/>
            <w:szCs w:val="22"/>
            <w:u w:val="single" w:color="auto"/>
            <w:color w:val="0000EE"/>
          </w:rPr>
          <w:t>23</w:t>
        </w:r>
      </w:hyperlink>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ind w:left="940"/>
              <w:spacing w:after="0"/>
              <w:rPr>
                <w:sz w:val="20"/>
                <w:szCs w:val="20"/>
                <w:color w:val="auto"/>
              </w:rPr>
            </w:pPr>
            <w:r>
              <w:rPr>
                <w:rFonts w:ascii="Arial" w:cs="Arial" w:eastAsia="Arial" w:hAnsi="Arial"/>
                <w:sz w:val="22"/>
                <w:szCs w:val="22"/>
                <w:color w:val="auto"/>
              </w:rPr>
              <w:t>2.1</w:t>
            </w:r>
          </w:p>
        </w:tc>
        <w:tc>
          <w:tcPr>
            <w:tcW w:w="2140" w:type="dxa"/>
            <w:vAlign w:val="bottom"/>
            <w:tcBorders>
              <w:bottom w:val="single" w:sz="8" w:color="0000EE"/>
            </w:tcBorders>
            <w:gridSpan w:val="17"/>
          </w:tcPr>
          <w:p>
            <w:pPr>
              <w:spacing w:after="0"/>
              <w:rPr>
                <w:rFonts w:ascii="Arial" w:cs="Arial" w:eastAsia="Arial" w:hAnsi="Arial"/>
                <w:sz w:val="22"/>
                <w:szCs w:val="22"/>
                <w:color w:val="0000EE"/>
                <w:w w:val="88"/>
              </w:rPr>
            </w:pPr>
            <w:hyperlink w:anchor="page59">
              <w:r>
                <w:rPr>
                  <w:rFonts w:ascii="Arial" w:cs="Arial" w:eastAsia="Arial" w:hAnsi="Arial"/>
                  <w:sz w:val="22"/>
                  <w:szCs w:val="22"/>
                  <w:color w:val="0000EE"/>
                  <w:w w:val="88"/>
                </w:rPr>
                <w:t>License Grant to GSK23</w:t>
              </w:r>
            </w:hyperlink>
          </w:p>
        </w:tc>
        <w:tc>
          <w:tcPr>
            <w:tcW w:w="50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2.2</w:t>
            </w:r>
          </w:p>
        </w:tc>
        <w:tc>
          <w:tcPr>
            <w:tcW w:w="2080" w:type="dxa"/>
            <w:vAlign w:val="bottom"/>
            <w:tcBorders>
              <w:bottom w:val="single" w:sz="8" w:color="0000EE"/>
            </w:tcBorders>
            <w:gridSpan w:val="15"/>
          </w:tcPr>
          <w:p>
            <w:pPr>
              <w:spacing w:after="0" w:line="223" w:lineRule="exact"/>
              <w:rPr>
                <w:rFonts w:ascii="Arial" w:cs="Arial" w:eastAsia="Arial" w:hAnsi="Arial"/>
                <w:sz w:val="22"/>
                <w:szCs w:val="22"/>
                <w:color w:val="0000EE"/>
                <w:w w:val="89"/>
              </w:rPr>
            </w:pPr>
            <w:hyperlink w:anchor="page59">
              <w:r>
                <w:rPr>
                  <w:rFonts w:ascii="Arial" w:cs="Arial" w:eastAsia="Arial" w:hAnsi="Arial"/>
                  <w:sz w:val="22"/>
                  <w:szCs w:val="22"/>
                  <w:color w:val="0000EE"/>
                  <w:w w:val="89"/>
                </w:rPr>
                <w:t>Sublicensing by GSK23</w:t>
              </w:r>
            </w:hyperlink>
          </w:p>
        </w:tc>
        <w:tc>
          <w:tcPr>
            <w:tcW w:w="510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2.3</w:t>
            </w:r>
          </w:p>
        </w:tc>
        <w:tc>
          <w:tcPr>
            <w:tcW w:w="2620" w:type="dxa"/>
            <w:vAlign w:val="bottom"/>
            <w:tcBorders>
              <w:bottom w:val="single" w:sz="8" w:color="0000EE"/>
            </w:tcBorders>
            <w:gridSpan w:val="21"/>
          </w:tcPr>
          <w:p>
            <w:pPr>
              <w:spacing w:after="0" w:line="223" w:lineRule="exact"/>
              <w:rPr>
                <w:rFonts w:ascii="Arial" w:cs="Arial" w:eastAsia="Arial" w:hAnsi="Arial"/>
                <w:sz w:val="22"/>
                <w:szCs w:val="22"/>
                <w:color w:val="0000EE"/>
                <w:w w:val="88"/>
              </w:rPr>
            </w:pPr>
            <w:hyperlink w:anchor="page60">
              <w:r>
                <w:rPr>
                  <w:rFonts w:ascii="Arial" w:cs="Arial" w:eastAsia="Arial" w:hAnsi="Arial"/>
                  <w:sz w:val="22"/>
                  <w:szCs w:val="22"/>
                  <w:color w:val="0000EE"/>
                  <w:w w:val="88"/>
                </w:rPr>
                <w:t>Arrowhead Retained Rights24</w:t>
              </w:r>
            </w:hyperlink>
          </w:p>
        </w:tc>
        <w:tc>
          <w:tcPr>
            <w:tcW w:w="45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2.4</w:t>
            </w:r>
          </w:p>
        </w:tc>
        <w:tc>
          <w:tcPr>
            <w:tcW w:w="7180" w:type="dxa"/>
            <w:vAlign w:val="bottom"/>
            <w:gridSpan w:val="30"/>
          </w:tcPr>
          <w:p>
            <w:pPr>
              <w:spacing w:after="0" w:line="223" w:lineRule="exact"/>
              <w:rPr>
                <w:rFonts w:ascii="Arial" w:cs="Arial" w:eastAsia="Arial" w:hAnsi="Arial"/>
                <w:sz w:val="22"/>
                <w:szCs w:val="22"/>
                <w:color w:val="0000EE"/>
              </w:rPr>
            </w:pPr>
            <w:hyperlink w:anchor="page60">
              <w:r>
                <w:rPr>
                  <w:rFonts w:ascii="Arial" w:cs="Arial" w:eastAsia="Arial" w:hAnsi="Arial"/>
                  <w:sz w:val="22"/>
                  <w:szCs w:val="22"/>
                  <w:color w:val="0000EE"/>
                </w:rPr>
                <w:t>Technology Transfer24</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2.5</w:t>
            </w: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7180" w:type="dxa"/>
            <w:vAlign w:val="bottom"/>
            <w:gridSpan w:val="30"/>
          </w:tcPr>
          <w:p>
            <w:pPr>
              <w:spacing w:after="0" w:line="223" w:lineRule="exact"/>
              <w:rPr>
                <w:rFonts w:ascii="Arial" w:cs="Arial" w:eastAsia="Arial" w:hAnsi="Arial"/>
                <w:sz w:val="22"/>
                <w:szCs w:val="22"/>
                <w:color w:val="0000EE"/>
              </w:rPr>
            </w:pPr>
            <w:hyperlink w:anchor="page61">
              <w:r>
                <w:rPr>
                  <w:rFonts w:ascii="Arial" w:cs="Arial" w:eastAsia="Arial" w:hAnsi="Arial"/>
                  <w:sz w:val="22"/>
                  <w:szCs w:val="22"/>
                  <w:color w:val="0000EE"/>
                </w:rPr>
                <w:t>Retained Rights; No Implied Licenses25</w:t>
              </w:r>
            </w:hyperlink>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2.6</w:t>
            </w:r>
          </w:p>
        </w:tc>
        <w:tc>
          <w:tcPr>
            <w:tcW w:w="2160" w:type="dxa"/>
            <w:vAlign w:val="bottom"/>
            <w:tcBorders>
              <w:top w:val="single" w:sz="8" w:color="0000EE"/>
              <w:bottom w:val="single" w:sz="8" w:color="0000EE"/>
            </w:tcBorders>
            <w:gridSpan w:val="18"/>
          </w:tcPr>
          <w:p>
            <w:pPr>
              <w:spacing w:after="0" w:line="223" w:lineRule="exact"/>
              <w:rPr>
                <w:rFonts w:ascii="Arial" w:cs="Arial" w:eastAsia="Arial" w:hAnsi="Arial"/>
                <w:sz w:val="22"/>
                <w:szCs w:val="22"/>
                <w:color w:val="0000EE"/>
                <w:w w:val="88"/>
              </w:rPr>
            </w:pPr>
            <w:hyperlink w:anchor="page61">
              <w:r>
                <w:rPr>
                  <w:rFonts w:ascii="Arial" w:cs="Arial" w:eastAsia="Arial" w:hAnsi="Arial"/>
                  <w:sz w:val="22"/>
                  <w:szCs w:val="22"/>
                  <w:color w:val="0000EE"/>
                  <w:w w:val="88"/>
                </w:rPr>
                <w:t>Combination Products25</w:t>
              </w:r>
            </w:hyperlink>
          </w:p>
        </w:tc>
        <w:tc>
          <w:tcPr>
            <w:tcW w:w="1340" w:type="dxa"/>
            <w:vAlign w:val="bottom"/>
            <w:tcBorders>
              <w:top w:val="single" w:sz="8" w:color="0000EE"/>
            </w:tcBorders>
            <w:gridSpan w:val="5"/>
          </w:tcPr>
          <w:p>
            <w:pPr>
              <w:spacing w:after="0"/>
              <w:rPr>
                <w:sz w:val="19"/>
                <w:szCs w:val="19"/>
                <w:color w:val="auto"/>
              </w:rPr>
            </w:pPr>
          </w:p>
        </w:tc>
        <w:tc>
          <w:tcPr>
            <w:tcW w:w="36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2.7</w:t>
            </w:r>
          </w:p>
        </w:tc>
        <w:tc>
          <w:tcPr>
            <w:tcW w:w="1200" w:type="dxa"/>
            <w:vAlign w:val="bottom"/>
            <w:tcBorders>
              <w:bottom w:val="single" w:sz="8" w:color="0000EE"/>
            </w:tcBorders>
            <w:gridSpan w:val="4"/>
          </w:tcPr>
          <w:p>
            <w:pPr>
              <w:spacing w:after="0" w:line="223" w:lineRule="exact"/>
              <w:rPr>
                <w:rFonts w:ascii="Arial" w:cs="Arial" w:eastAsia="Arial" w:hAnsi="Arial"/>
                <w:sz w:val="22"/>
                <w:szCs w:val="22"/>
                <w:color w:val="0000EE"/>
                <w:w w:val="92"/>
              </w:rPr>
            </w:pPr>
            <w:hyperlink w:anchor="page61">
              <w:r>
                <w:rPr>
                  <w:rFonts w:ascii="Arial" w:cs="Arial" w:eastAsia="Arial" w:hAnsi="Arial"/>
                  <w:sz w:val="22"/>
                  <w:szCs w:val="22"/>
                  <w:color w:val="0000EE"/>
                  <w:w w:val="92"/>
                </w:rPr>
                <w:t>Exclusivity26</w:t>
              </w:r>
            </w:hyperlink>
          </w:p>
        </w:tc>
        <w:tc>
          <w:tcPr>
            <w:tcW w:w="598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2.8</w:t>
            </w:r>
          </w:p>
        </w:tc>
        <w:tc>
          <w:tcPr>
            <w:tcW w:w="6920" w:type="dxa"/>
            <w:vAlign w:val="bottom"/>
            <w:tcBorders>
              <w:bottom w:val="single" w:sz="8" w:color="0000EE"/>
            </w:tcBorders>
            <w:gridSpan w:val="28"/>
          </w:tcPr>
          <w:p>
            <w:pPr>
              <w:spacing w:after="0" w:line="223" w:lineRule="exact"/>
              <w:rPr>
                <w:rFonts w:ascii="Arial" w:cs="Arial" w:eastAsia="Arial" w:hAnsi="Arial"/>
                <w:sz w:val="22"/>
                <w:szCs w:val="22"/>
                <w:color w:val="0000EE"/>
                <w:w w:val="89"/>
              </w:rPr>
            </w:pPr>
            <w:hyperlink w:anchor="page63">
              <w:r>
                <w:rPr>
                  <w:rFonts w:ascii="Arial" w:cs="Arial" w:eastAsia="Arial" w:hAnsi="Arial"/>
                  <w:sz w:val="22"/>
                  <w:szCs w:val="22"/>
                  <w:color w:val="0000EE"/>
                  <w:w w:val="89"/>
                </w:rPr>
                <w:t>License Grant to Arrowhead; Arrowhead Sublicensing; GSK Retained Rights27</w:t>
              </w:r>
            </w:hyperlink>
          </w:p>
        </w:tc>
        <w:tc>
          <w:tcPr>
            <w:tcW w:w="2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2.9</w:t>
            </w:r>
          </w:p>
        </w:tc>
        <w:tc>
          <w:tcPr>
            <w:tcW w:w="3160" w:type="dxa"/>
            <w:vAlign w:val="bottom"/>
            <w:tcBorders>
              <w:bottom w:val="single" w:sz="8" w:color="0000EE"/>
            </w:tcBorders>
            <w:gridSpan w:val="22"/>
          </w:tcPr>
          <w:p>
            <w:pPr>
              <w:spacing w:after="0" w:line="223" w:lineRule="exact"/>
              <w:rPr>
                <w:rFonts w:ascii="Arial" w:cs="Arial" w:eastAsia="Arial" w:hAnsi="Arial"/>
                <w:sz w:val="22"/>
                <w:szCs w:val="22"/>
                <w:color w:val="0000EE"/>
                <w:w w:val="88"/>
              </w:rPr>
            </w:pPr>
            <w:hyperlink w:anchor="page64">
              <w:r>
                <w:rPr>
                  <w:rFonts w:ascii="Arial" w:cs="Arial" w:eastAsia="Arial" w:hAnsi="Arial"/>
                  <w:sz w:val="22"/>
                  <w:szCs w:val="22"/>
                  <w:color w:val="0000EE"/>
                  <w:w w:val="88"/>
                </w:rPr>
                <w:t>Third Party In-Licenses Payments28</w:t>
              </w:r>
            </w:hyperlink>
          </w:p>
        </w:tc>
        <w:tc>
          <w:tcPr>
            <w:tcW w:w="40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2.10</w:t>
            </w:r>
          </w:p>
        </w:tc>
        <w:tc>
          <w:tcPr>
            <w:tcW w:w="7180" w:type="dxa"/>
            <w:vAlign w:val="bottom"/>
            <w:gridSpan w:val="30"/>
          </w:tcPr>
          <w:p>
            <w:pPr>
              <w:spacing w:after="0" w:line="223" w:lineRule="exact"/>
              <w:rPr>
                <w:rFonts w:ascii="Arial" w:cs="Arial" w:eastAsia="Arial" w:hAnsi="Arial"/>
                <w:sz w:val="22"/>
                <w:szCs w:val="22"/>
                <w:color w:val="0000EE"/>
              </w:rPr>
            </w:pPr>
            <w:hyperlink w:anchor="page65">
              <w:r>
                <w:rPr>
                  <w:rFonts w:ascii="Arial" w:cs="Arial" w:eastAsia="Arial" w:hAnsi="Arial"/>
                  <w:sz w:val="22"/>
                  <w:szCs w:val="22"/>
                  <w:color w:val="0000EE"/>
                </w:rPr>
                <w:t>GSK Opt-In Right29</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60" w:type="dxa"/>
            <w:vAlign w:val="bottom"/>
            <w:gridSpan w:val="31"/>
          </w:tcPr>
          <w:p>
            <w:pPr>
              <w:spacing w:after="0"/>
              <w:rPr>
                <w:rFonts w:ascii="Arial" w:cs="Arial" w:eastAsia="Arial" w:hAnsi="Arial"/>
                <w:sz w:val="22"/>
                <w:szCs w:val="22"/>
                <w:color w:val="auto"/>
                <w:w w:val="95"/>
              </w:rPr>
            </w:pPr>
            <w:r>
              <w:rPr>
                <w:rFonts w:ascii="Arial" w:cs="Arial" w:eastAsia="Arial" w:hAnsi="Arial"/>
                <w:sz w:val="22"/>
                <w:szCs w:val="22"/>
                <w:color w:val="auto"/>
                <w:w w:val="95"/>
              </w:rPr>
              <w:t>ARTICLE 3 DEVELOPMENT, MANUFACTURE AND COMMERCIALIZATION OF PRODUCTS</w:t>
            </w:r>
            <w:hyperlink w:anchor="page67">
              <w:r>
                <w:rPr>
                  <w:rFonts w:ascii="Arial" w:cs="Arial" w:eastAsia="Arial" w:hAnsi="Arial"/>
                  <w:sz w:val="22"/>
                  <w:szCs w:val="22"/>
                  <w:color w:val="0000EE"/>
                  <w:w w:val="95"/>
                </w:rPr>
                <w:t>32</w:t>
              </w:r>
            </w:hyperlink>
          </w:p>
        </w:tc>
        <w:tc>
          <w:tcPr>
            <w:tcW w:w="0" w:type="dxa"/>
            <w:vAlign w:val="bottom"/>
          </w:tcPr>
          <w:p>
            <w:pPr>
              <w:spacing w:after="0"/>
              <w:rPr>
                <w:sz w:val="1"/>
                <w:szCs w:val="1"/>
                <w:color w:val="auto"/>
              </w:rPr>
            </w:pPr>
          </w:p>
        </w:tc>
      </w:tr>
      <w:tr>
        <w:trPr>
          <w:trHeight w:val="331"/>
        </w:trPr>
        <w:tc>
          <w:tcPr>
            <w:tcW w:w="1880" w:type="dxa"/>
            <w:vAlign w:val="bottom"/>
          </w:tcPr>
          <w:p>
            <w:pPr>
              <w:ind w:left="940"/>
              <w:spacing w:after="0"/>
              <w:rPr>
                <w:sz w:val="20"/>
                <w:szCs w:val="20"/>
                <w:color w:val="auto"/>
              </w:rPr>
            </w:pPr>
            <w:r>
              <w:rPr>
                <w:rFonts w:ascii="Arial" w:cs="Arial" w:eastAsia="Arial" w:hAnsi="Arial"/>
                <w:sz w:val="22"/>
                <w:szCs w:val="22"/>
                <w:color w:val="auto"/>
              </w:rPr>
              <w:t>3.1</w:t>
            </w:r>
          </w:p>
        </w:tc>
        <w:tc>
          <w:tcPr>
            <w:tcW w:w="138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67">
              <w:r>
                <w:rPr>
                  <w:rFonts w:ascii="Arial" w:cs="Arial" w:eastAsia="Arial" w:hAnsi="Arial"/>
                  <w:sz w:val="22"/>
                  <w:szCs w:val="22"/>
                  <w:color w:val="0000EE"/>
                  <w:w w:val="88"/>
                </w:rPr>
                <w:t>Development32</w:t>
              </w:r>
            </w:hyperlink>
          </w:p>
        </w:tc>
        <w:tc>
          <w:tcPr>
            <w:tcW w:w="5600" w:type="dxa"/>
            <w:vAlign w:val="bottom"/>
            <w:gridSpan w:val="23"/>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3.2</w:t>
            </w:r>
          </w:p>
        </w:tc>
        <w:tc>
          <w:tcPr>
            <w:tcW w:w="1900" w:type="dxa"/>
            <w:vAlign w:val="bottom"/>
            <w:tcBorders>
              <w:bottom w:val="single" w:sz="8" w:color="0000EE"/>
            </w:tcBorders>
            <w:gridSpan w:val="12"/>
          </w:tcPr>
          <w:p>
            <w:pPr>
              <w:spacing w:after="0" w:line="223" w:lineRule="exact"/>
              <w:rPr>
                <w:rFonts w:ascii="Arial" w:cs="Arial" w:eastAsia="Arial" w:hAnsi="Arial"/>
                <w:sz w:val="22"/>
                <w:szCs w:val="22"/>
                <w:color w:val="0000EE"/>
                <w:w w:val="91"/>
              </w:rPr>
            </w:pPr>
            <w:hyperlink w:anchor="page68">
              <w:r>
                <w:rPr>
                  <w:rFonts w:ascii="Arial" w:cs="Arial" w:eastAsia="Arial" w:hAnsi="Arial"/>
                  <w:sz w:val="22"/>
                  <w:szCs w:val="22"/>
                  <w:color w:val="0000EE"/>
                  <w:w w:val="91"/>
                </w:rPr>
                <w:t>Commercialization32</w:t>
              </w:r>
            </w:hyperlink>
          </w:p>
        </w:tc>
        <w:tc>
          <w:tcPr>
            <w:tcW w:w="528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3.3</w:t>
            </w:r>
          </w:p>
        </w:tc>
        <w:tc>
          <w:tcPr>
            <w:tcW w:w="5060" w:type="dxa"/>
            <w:vAlign w:val="bottom"/>
            <w:tcBorders>
              <w:bottom w:val="single" w:sz="8" w:color="0000EE"/>
            </w:tcBorders>
            <w:gridSpan w:val="25"/>
          </w:tcPr>
          <w:p>
            <w:pPr>
              <w:spacing w:after="0" w:line="223" w:lineRule="exact"/>
              <w:rPr>
                <w:rFonts w:ascii="Arial" w:cs="Arial" w:eastAsia="Arial" w:hAnsi="Arial"/>
                <w:sz w:val="22"/>
                <w:szCs w:val="22"/>
                <w:color w:val="0000EE"/>
                <w:w w:val="91"/>
              </w:rPr>
            </w:pPr>
            <w:hyperlink w:anchor="page68">
              <w:r>
                <w:rPr>
                  <w:rFonts w:ascii="Arial" w:cs="Arial" w:eastAsia="Arial" w:hAnsi="Arial"/>
                  <w:sz w:val="22"/>
                  <w:szCs w:val="22"/>
                  <w:color w:val="0000EE"/>
                  <w:w w:val="91"/>
                </w:rPr>
                <w:t>Clinical Manufacturing and Commercial Manufacturing32</w:t>
              </w:r>
            </w:hyperlink>
          </w:p>
        </w:tc>
        <w:tc>
          <w:tcPr>
            <w:tcW w:w="21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3.4</w:t>
            </w:r>
          </w:p>
        </w:tc>
        <w:tc>
          <w:tcPr>
            <w:tcW w:w="6640" w:type="dxa"/>
            <w:vAlign w:val="bottom"/>
            <w:tcBorders>
              <w:bottom w:val="single" w:sz="8" w:color="0000EE"/>
            </w:tcBorders>
            <w:gridSpan w:val="27"/>
          </w:tcPr>
          <w:p>
            <w:pPr>
              <w:spacing w:after="0" w:line="223" w:lineRule="exact"/>
              <w:rPr>
                <w:rFonts w:ascii="Arial" w:cs="Arial" w:eastAsia="Arial" w:hAnsi="Arial"/>
                <w:sz w:val="22"/>
                <w:szCs w:val="22"/>
                <w:color w:val="0000EE"/>
                <w:w w:val="90"/>
              </w:rPr>
            </w:pPr>
            <w:hyperlink w:anchor="page69">
              <w:r>
                <w:rPr>
                  <w:rFonts w:ascii="Arial" w:cs="Arial" w:eastAsia="Arial" w:hAnsi="Arial"/>
                  <w:sz w:val="22"/>
                  <w:szCs w:val="22"/>
                  <w:color w:val="0000EE"/>
                  <w:w w:val="90"/>
                </w:rPr>
                <w:t>Ongoing Phase I Clinical Trial; Support in Development, Manufacturing and</w:t>
              </w:r>
            </w:hyperlink>
          </w:p>
        </w:tc>
        <w:tc>
          <w:tcPr>
            <w:tcW w:w="5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vMerge w:val="restart"/>
          </w:tcPr>
          <w:p>
            <w:pPr>
              <w:ind w:left="940"/>
              <w:spacing w:after="0"/>
              <w:rPr>
                <w:sz w:val="20"/>
                <w:szCs w:val="20"/>
                <w:color w:val="auto"/>
              </w:rPr>
            </w:pPr>
            <w:r>
              <w:rPr>
                <w:rFonts w:ascii="Arial" w:cs="Arial" w:eastAsia="Arial" w:hAnsi="Arial"/>
                <w:sz w:val="22"/>
                <w:szCs w:val="22"/>
                <w:color w:val="auto"/>
              </w:rPr>
              <w:t>3.5</w:t>
            </w:r>
          </w:p>
        </w:tc>
        <w:tc>
          <w:tcPr>
            <w:tcW w:w="1900" w:type="dxa"/>
            <w:vAlign w:val="bottom"/>
            <w:tcBorders>
              <w:bottom w:val="single" w:sz="8" w:color="0000EE"/>
            </w:tcBorders>
            <w:gridSpan w:val="12"/>
          </w:tcPr>
          <w:p>
            <w:pPr>
              <w:spacing w:after="0" w:line="223" w:lineRule="exact"/>
              <w:rPr>
                <w:rFonts w:ascii="Arial" w:cs="Arial" w:eastAsia="Arial" w:hAnsi="Arial"/>
                <w:sz w:val="22"/>
                <w:szCs w:val="22"/>
                <w:color w:val="0000EE"/>
                <w:w w:val="91"/>
              </w:rPr>
            </w:pPr>
            <w:hyperlink w:anchor="page69">
              <w:r>
                <w:rPr>
                  <w:rFonts w:ascii="Arial" w:cs="Arial" w:eastAsia="Arial" w:hAnsi="Arial"/>
                  <w:sz w:val="22"/>
                  <w:szCs w:val="22"/>
                  <w:color w:val="0000EE"/>
                  <w:w w:val="91"/>
                </w:rPr>
                <w:t>Commercialization34</w:t>
              </w:r>
            </w:hyperlink>
          </w:p>
        </w:tc>
        <w:tc>
          <w:tcPr>
            <w:tcW w:w="528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7180" w:type="dxa"/>
            <w:vAlign w:val="bottom"/>
            <w:gridSpan w:val="30"/>
          </w:tcPr>
          <w:p>
            <w:pPr>
              <w:spacing w:after="0" w:line="223" w:lineRule="exact"/>
              <w:rPr>
                <w:rFonts w:ascii="Arial" w:cs="Arial" w:eastAsia="Arial" w:hAnsi="Arial"/>
                <w:sz w:val="22"/>
                <w:szCs w:val="22"/>
                <w:color w:val="0000EE"/>
              </w:rPr>
            </w:pPr>
            <w:hyperlink w:anchor="page70">
              <w:r>
                <w:rPr>
                  <w:rFonts w:ascii="Arial" w:cs="Arial" w:eastAsia="Arial" w:hAnsi="Arial"/>
                  <w:sz w:val="22"/>
                  <w:szCs w:val="22"/>
                  <w:color w:val="0000EE"/>
                </w:rPr>
                <w:t>Diligence Obligations34</w:t>
              </w:r>
            </w:hyperlink>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3.6</w:t>
            </w:r>
          </w:p>
        </w:tc>
        <w:tc>
          <w:tcPr>
            <w:tcW w:w="1520" w:type="dxa"/>
            <w:vAlign w:val="bottom"/>
            <w:tcBorders>
              <w:top w:val="single" w:sz="8" w:color="0000EE"/>
              <w:bottom w:val="single" w:sz="8" w:color="0000EE"/>
            </w:tcBorders>
            <w:gridSpan w:val="7"/>
          </w:tcPr>
          <w:p>
            <w:pPr>
              <w:spacing w:after="0" w:line="223" w:lineRule="exact"/>
              <w:rPr>
                <w:rFonts w:ascii="Arial" w:cs="Arial" w:eastAsia="Arial" w:hAnsi="Arial"/>
                <w:sz w:val="22"/>
                <w:szCs w:val="22"/>
                <w:color w:val="0000EE"/>
                <w:w w:val="87"/>
              </w:rPr>
            </w:pPr>
            <w:hyperlink w:anchor="page70">
              <w:r>
                <w:rPr>
                  <w:rFonts w:ascii="Arial" w:cs="Arial" w:eastAsia="Arial" w:hAnsi="Arial"/>
                  <w:sz w:val="22"/>
                  <w:szCs w:val="22"/>
                  <w:color w:val="0000EE"/>
                  <w:w w:val="87"/>
                </w:rPr>
                <w:t>Subcontracting34</w:t>
              </w:r>
            </w:hyperlink>
          </w:p>
        </w:tc>
        <w:tc>
          <w:tcPr>
            <w:tcW w:w="580" w:type="dxa"/>
            <w:vAlign w:val="bottom"/>
            <w:tcBorders>
              <w:top w:val="single" w:sz="8" w:color="0000EE"/>
            </w:tcBorders>
            <w:gridSpan w:val="9"/>
          </w:tcPr>
          <w:p>
            <w:pPr>
              <w:spacing w:after="0"/>
              <w:rPr>
                <w:sz w:val="19"/>
                <w:szCs w:val="19"/>
                <w:color w:val="auto"/>
              </w:rPr>
            </w:pPr>
          </w:p>
        </w:tc>
        <w:tc>
          <w:tcPr>
            <w:tcW w:w="50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3.7</w:t>
            </w:r>
          </w:p>
        </w:tc>
        <w:tc>
          <w:tcPr>
            <w:tcW w:w="1240" w:type="dxa"/>
            <w:vAlign w:val="bottom"/>
            <w:tcBorders>
              <w:bottom w:val="single" w:sz="8" w:color="0000EE"/>
            </w:tcBorders>
            <w:gridSpan w:val="5"/>
          </w:tcPr>
          <w:p>
            <w:pPr>
              <w:spacing w:after="0" w:line="223" w:lineRule="exact"/>
              <w:rPr>
                <w:rFonts w:ascii="Arial" w:cs="Arial" w:eastAsia="Arial" w:hAnsi="Arial"/>
                <w:sz w:val="22"/>
                <w:szCs w:val="22"/>
                <w:color w:val="0000EE"/>
                <w:w w:val="85"/>
              </w:rPr>
            </w:pPr>
            <w:hyperlink w:anchor="page71">
              <w:r>
                <w:rPr>
                  <w:rFonts w:ascii="Arial" w:cs="Arial" w:eastAsia="Arial" w:hAnsi="Arial"/>
                  <w:sz w:val="22"/>
                  <w:szCs w:val="22"/>
                  <w:color w:val="0000EE"/>
                  <w:w w:val="85"/>
                </w:rPr>
                <w:t>Trademarks35</w:t>
              </w:r>
            </w:hyperlink>
          </w:p>
        </w:tc>
        <w:tc>
          <w:tcPr>
            <w:tcW w:w="594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3.8</w:t>
            </w:r>
          </w:p>
        </w:tc>
        <w:tc>
          <w:tcPr>
            <w:tcW w:w="1880" w:type="dxa"/>
            <w:vAlign w:val="bottom"/>
            <w:tcBorders>
              <w:bottom w:val="single" w:sz="8" w:color="0000EE"/>
            </w:tcBorders>
            <w:gridSpan w:val="11"/>
          </w:tcPr>
          <w:p>
            <w:pPr>
              <w:spacing w:after="0" w:line="223" w:lineRule="exact"/>
              <w:rPr>
                <w:rFonts w:ascii="Arial" w:cs="Arial" w:eastAsia="Arial" w:hAnsi="Arial"/>
                <w:sz w:val="22"/>
                <w:szCs w:val="22"/>
                <w:color w:val="0000EE"/>
                <w:w w:val="91"/>
              </w:rPr>
            </w:pPr>
            <w:hyperlink w:anchor="page71">
              <w:r>
                <w:rPr>
                  <w:rFonts w:ascii="Arial" w:cs="Arial" w:eastAsia="Arial" w:hAnsi="Arial"/>
                  <w:sz w:val="22"/>
                  <w:szCs w:val="22"/>
                  <w:color w:val="0000EE"/>
                  <w:w w:val="91"/>
                </w:rPr>
                <w:t>Information Rights35</w:t>
              </w:r>
            </w:hyperlink>
          </w:p>
        </w:tc>
        <w:tc>
          <w:tcPr>
            <w:tcW w:w="530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3.9</w:t>
            </w:r>
          </w:p>
        </w:tc>
        <w:tc>
          <w:tcPr>
            <w:tcW w:w="7180" w:type="dxa"/>
            <w:vAlign w:val="bottom"/>
            <w:gridSpan w:val="30"/>
          </w:tcPr>
          <w:p>
            <w:pPr>
              <w:spacing w:after="0" w:line="223" w:lineRule="exact"/>
              <w:rPr>
                <w:rFonts w:ascii="Arial" w:cs="Arial" w:eastAsia="Arial" w:hAnsi="Arial"/>
                <w:sz w:val="22"/>
                <w:szCs w:val="22"/>
                <w:color w:val="0000EE"/>
              </w:rPr>
            </w:pPr>
            <w:hyperlink w:anchor="page72">
              <w:r>
                <w:rPr>
                  <w:rFonts w:ascii="Arial" w:cs="Arial" w:eastAsia="Arial" w:hAnsi="Arial"/>
                  <w:sz w:val="22"/>
                  <w:szCs w:val="22"/>
                  <w:color w:val="0000EE"/>
                </w:rPr>
                <w:t>Alliance Managers36</w:t>
              </w:r>
            </w:hyperlink>
          </w:p>
        </w:tc>
        <w:tc>
          <w:tcPr>
            <w:tcW w:w="0" w:type="dxa"/>
            <w:vAlign w:val="bottom"/>
          </w:tcPr>
          <w:p>
            <w:pPr>
              <w:spacing w:after="0"/>
              <w:rPr>
                <w:sz w:val="1"/>
                <w:szCs w:val="1"/>
                <w:color w:val="auto"/>
              </w:rPr>
            </w:pPr>
          </w:p>
        </w:tc>
      </w:tr>
      <w:tr>
        <w:trPr>
          <w:trHeight w:val="20"/>
        </w:trPr>
        <w:tc>
          <w:tcPr>
            <w:tcW w:w="188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3.10</w:t>
            </w: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2220" w:type="dxa"/>
            <w:vAlign w:val="bottom"/>
            <w:tcBorders>
              <w:bottom w:val="single" w:sz="8" w:color="0000EE"/>
            </w:tcBorders>
            <w:gridSpan w:val="19"/>
          </w:tcPr>
          <w:p>
            <w:pPr>
              <w:spacing w:after="0" w:line="223" w:lineRule="exact"/>
              <w:rPr>
                <w:rFonts w:ascii="Arial" w:cs="Arial" w:eastAsia="Arial" w:hAnsi="Arial"/>
                <w:sz w:val="22"/>
                <w:szCs w:val="22"/>
                <w:color w:val="0000EE"/>
                <w:w w:val="90"/>
              </w:rPr>
            </w:pPr>
            <w:hyperlink w:anchor="page72">
              <w:r>
                <w:rPr>
                  <w:rFonts w:ascii="Arial" w:cs="Arial" w:eastAsia="Arial" w:hAnsi="Arial"/>
                  <w:sz w:val="22"/>
                  <w:szCs w:val="22"/>
                  <w:color w:val="0000EE"/>
                  <w:w w:val="90"/>
                </w:rPr>
                <w:t>Compliance with Laws37</w:t>
              </w:r>
            </w:hyperlink>
          </w:p>
        </w:tc>
        <w:tc>
          <w:tcPr>
            <w:tcW w:w="49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9060" w:type="dxa"/>
            <w:vAlign w:val="bottom"/>
            <w:gridSpan w:val="31"/>
          </w:tcPr>
          <w:p>
            <w:pPr>
              <w:spacing w:after="0"/>
              <w:rPr>
                <w:rFonts w:ascii="Arial" w:cs="Arial" w:eastAsia="Arial" w:hAnsi="Arial"/>
                <w:sz w:val="22"/>
                <w:szCs w:val="22"/>
                <w:color w:val="auto"/>
              </w:rPr>
            </w:pPr>
            <w:r>
              <w:rPr>
                <w:rFonts w:ascii="Arial" w:cs="Arial" w:eastAsia="Arial" w:hAnsi="Arial"/>
                <w:sz w:val="22"/>
                <w:szCs w:val="22"/>
                <w:color w:val="auto"/>
              </w:rPr>
              <w:t>ARTICLE 4 REGULATORY ACTIVITIES</w:t>
            </w:r>
            <w:hyperlink w:anchor="page74">
              <w:r>
                <w:rPr>
                  <w:rFonts w:ascii="Arial" w:cs="Arial" w:eastAsia="Arial" w:hAnsi="Arial"/>
                  <w:sz w:val="22"/>
                  <w:szCs w:val="22"/>
                  <w:color w:val="0000EE"/>
                </w:rPr>
                <w:t>38</w:t>
              </w:r>
            </w:hyperlink>
          </w:p>
        </w:tc>
        <w:tc>
          <w:tcPr>
            <w:tcW w:w="0" w:type="dxa"/>
            <w:vAlign w:val="bottom"/>
          </w:tcPr>
          <w:p>
            <w:pPr>
              <w:spacing w:after="0"/>
              <w:rPr>
                <w:sz w:val="1"/>
                <w:szCs w:val="1"/>
                <w:color w:val="auto"/>
              </w:rPr>
            </w:pPr>
          </w:p>
        </w:tc>
      </w:tr>
      <w:tr>
        <w:trPr>
          <w:trHeight w:val="331"/>
        </w:trPr>
        <w:tc>
          <w:tcPr>
            <w:tcW w:w="1880" w:type="dxa"/>
            <w:vAlign w:val="bottom"/>
          </w:tcPr>
          <w:p>
            <w:pPr>
              <w:ind w:left="940"/>
              <w:spacing w:after="0"/>
              <w:rPr>
                <w:sz w:val="20"/>
                <w:szCs w:val="20"/>
                <w:color w:val="auto"/>
              </w:rPr>
            </w:pPr>
            <w:r>
              <w:rPr>
                <w:rFonts w:ascii="Arial" w:cs="Arial" w:eastAsia="Arial" w:hAnsi="Arial"/>
                <w:sz w:val="22"/>
                <w:szCs w:val="22"/>
                <w:color w:val="auto"/>
              </w:rPr>
              <w:t>4.1</w:t>
            </w:r>
          </w:p>
        </w:tc>
        <w:tc>
          <w:tcPr>
            <w:tcW w:w="1920" w:type="dxa"/>
            <w:vAlign w:val="bottom"/>
            <w:gridSpan w:val="13"/>
          </w:tcPr>
          <w:p>
            <w:pPr>
              <w:spacing w:after="0"/>
              <w:rPr>
                <w:rFonts w:ascii="Arial" w:cs="Arial" w:eastAsia="Arial" w:hAnsi="Arial"/>
                <w:sz w:val="22"/>
                <w:szCs w:val="22"/>
                <w:color w:val="0000EE"/>
                <w:w w:val="94"/>
              </w:rPr>
            </w:pPr>
            <w:hyperlink w:anchor="page74">
              <w:r>
                <w:rPr>
                  <w:rFonts w:ascii="Arial" w:cs="Arial" w:eastAsia="Arial" w:hAnsi="Arial"/>
                  <w:sz w:val="22"/>
                  <w:szCs w:val="22"/>
                  <w:color w:val="0000EE"/>
                  <w:w w:val="94"/>
                </w:rPr>
                <w:t>Regulatory Filings38</w:t>
              </w:r>
            </w:hyperlink>
          </w:p>
        </w:tc>
        <w:tc>
          <w:tcPr>
            <w:tcW w:w="220" w:type="dxa"/>
            <w:vAlign w:val="bottom"/>
            <w:tcBorders>
              <w:top w:val="single" w:sz="8" w:color="0000EE"/>
            </w:tcBorders>
            <w:gridSpan w:val="4"/>
          </w:tcPr>
          <w:p>
            <w:pPr>
              <w:spacing w:after="0"/>
              <w:rPr>
                <w:sz w:val="24"/>
                <w:szCs w:val="24"/>
                <w:color w:val="auto"/>
              </w:rPr>
            </w:pPr>
          </w:p>
        </w:tc>
        <w:tc>
          <w:tcPr>
            <w:tcW w:w="50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4.2</w:t>
            </w: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7180" w:type="dxa"/>
            <w:vAlign w:val="bottom"/>
            <w:gridSpan w:val="30"/>
          </w:tcPr>
          <w:p>
            <w:pPr>
              <w:spacing w:after="0" w:line="223" w:lineRule="exact"/>
              <w:rPr>
                <w:rFonts w:ascii="Arial" w:cs="Arial" w:eastAsia="Arial" w:hAnsi="Arial"/>
                <w:sz w:val="22"/>
                <w:szCs w:val="22"/>
                <w:color w:val="0000EE"/>
              </w:rPr>
            </w:pPr>
            <w:hyperlink w:anchor="page74">
              <w:r>
                <w:rPr>
                  <w:rFonts w:ascii="Arial" w:cs="Arial" w:eastAsia="Arial" w:hAnsi="Arial"/>
                  <w:sz w:val="22"/>
                  <w:szCs w:val="22"/>
                  <w:color w:val="0000EE"/>
                </w:rPr>
                <w:t>Communications with Regulatory Authorities38</w:t>
              </w:r>
            </w:hyperlink>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4.3</w:t>
            </w:r>
          </w:p>
        </w:tc>
        <w:tc>
          <w:tcPr>
            <w:tcW w:w="114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5"/>
              </w:rPr>
            </w:pPr>
            <w:hyperlink w:anchor="page75">
              <w:r>
                <w:rPr>
                  <w:rFonts w:ascii="Arial" w:cs="Arial" w:eastAsia="Arial" w:hAnsi="Arial"/>
                  <w:sz w:val="22"/>
                  <w:szCs w:val="22"/>
                  <w:color w:val="0000EE"/>
                  <w:w w:val="85"/>
                </w:rPr>
                <w:t>Assistance40</w:t>
              </w:r>
            </w:hyperlink>
          </w:p>
        </w:tc>
        <w:tc>
          <w:tcPr>
            <w:tcW w:w="3020" w:type="dxa"/>
            <w:vAlign w:val="bottom"/>
            <w:tcBorders>
              <w:top w:val="single" w:sz="8" w:color="0000EE"/>
            </w:tcBorders>
            <w:gridSpan w:val="21"/>
          </w:tcPr>
          <w:p>
            <w:pPr>
              <w:spacing w:after="0"/>
              <w:rPr>
                <w:sz w:val="19"/>
                <w:szCs w:val="19"/>
                <w:color w:val="auto"/>
              </w:rPr>
            </w:pPr>
          </w:p>
        </w:tc>
        <w:tc>
          <w:tcPr>
            <w:tcW w:w="30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4.4</w:t>
            </w:r>
          </w:p>
        </w:tc>
        <w:tc>
          <w:tcPr>
            <w:tcW w:w="1880" w:type="dxa"/>
            <w:vAlign w:val="bottom"/>
            <w:tcBorders>
              <w:bottom w:val="single" w:sz="8" w:color="0000EE"/>
            </w:tcBorders>
            <w:gridSpan w:val="11"/>
          </w:tcPr>
          <w:p>
            <w:pPr>
              <w:spacing w:after="0" w:line="223" w:lineRule="exact"/>
              <w:rPr>
                <w:rFonts w:ascii="Arial" w:cs="Arial" w:eastAsia="Arial" w:hAnsi="Arial"/>
                <w:sz w:val="22"/>
                <w:szCs w:val="22"/>
                <w:color w:val="0000EE"/>
                <w:w w:val="88"/>
              </w:rPr>
            </w:pPr>
            <w:hyperlink w:anchor="page76">
              <w:r>
                <w:rPr>
                  <w:rFonts w:ascii="Arial" w:cs="Arial" w:eastAsia="Arial" w:hAnsi="Arial"/>
                  <w:sz w:val="22"/>
                  <w:szCs w:val="22"/>
                  <w:color w:val="0000EE"/>
                  <w:w w:val="88"/>
                </w:rPr>
                <w:t>Pharmacovigilance40</w:t>
              </w:r>
            </w:hyperlink>
          </w:p>
        </w:tc>
        <w:tc>
          <w:tcPr>
            <w:tcW w:w="530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4.5</w:t>
            </w:r>
          </w:p>
        </w:tc>
        <w:tc>
          <w:tcPr>
            <w:tcW w:w="1860" w:type="dxa"/>
            <w:vAlign w:val="bottom"/>
            <w:tcBorders>
              <w:bottom w:val="single" w:sz="8" w:color="0000EE"/>
            </w:tcBorders>
            <w:gridSpan w:val="10"/>
          </w:tcPr>
          <w:p>
            <w:pPr>
              <w:spacing w:after="0" w:line="223" w:lineRule="exact"/>
              <w:rPr>
                <w:rFonts w:ascii="Arial" w:cs="Arial" w:eastAsia="Arial" w:hAnsi="Arial"/>
                <w:sz w:val="22"/>
                <w:szCs w:val="22"/>
                <w:color w:val="0000EE"/>
                <w:w w:val="88"/>
              </w:rPr>
            </w:pPr>
            <w:hyperlink w:anchor="page76">
              <w:r>
                <w:rPr>
                  <w:rFonts w:ascii="Arial" w:cs="Arial" w:eastAsia="Arial" w:hAnsi="Arial"/>
                  <w:sz w:val="22"/>
                  <w:szCs w:val="22"/>
                  <w:color w:val="0000EE"/>
                  <w:w w:val="88"/>
                </w:rPr>
                <w:t>Right of Reference40</w:t>
              </w:r>
            </w:hyperlink>
          </w:p>
        </w:tc>
        <w:tc>
          <w:tcPr>
            <w:tcW w:w="532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4.6</w:t>
            </w:r>
          </w:p>
        </w:tc>
        <w:tc>
          <w:tcPr>
            <w:tcW w:w="7180" w:type="dxa"/>
            <w:vAlign w:val="bottom"/>
            <w:gridSpan w:val="30"/>
          </w:tcPr>
          <w:p>
            <w:pPr>
              <w:spacing w:after="0" w:line="223" w:lineRule="exact"/>
              <w:rPr>
                <w:rFonts w:ascii="Arial" w:cs="Arial" w:eastAsia="Arial" w:hAnsi="Arial"/>
                <w:sz w:val="22"/>
                <w:szCs w:val="22"/>
                <w:color w:val="0000EE"/>
              </w:rPr>
            </w:pPr>
            <w:hyperlink w:anchor="page77">
              <w:r>
                <w:rPr>
                  <w:rFonts w:ascii="Arial" w:cs="Arial" w:eastAsia="Arial" w:hAnsi="Arial"/>
                  <w:sz w:val="22"/>
                  <w:szCs w:val="22"/>
                  <w:color w:val="0000EE"/>
                </w:rPr>
                <w:t>Recalls41</w:t>
              </w:r>
            </w:hyperlink>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60" w:type="dxa"/>
            <w:vAlign w:val="bottom"/>
            <w:gridSpan w:val="31"/>
          </w:tcPr>
          <w:p>
            <w:pPr>
              <w:spacing w:after="0"/>
              <w:rPr>
                <w:rFonts w:ascii="Arial" w:cs="Arial" w:eastAsia="Arial" w:hAnsi="Arial"/>
                <w:sz w:val="22"/>
                <w:szCs w:val="22"/>
                <w:color w:val="auto"/>
              </w:rPr>
            </w:pPr>
            <w:r>
              <w:rPr>
                <w:rFonts w:ascii="Arial" w:cs="Arial" w:eastAsia="Arial" w:hAnsi="Arial"/>
                <w:sz w:val="22"/>
                <w:szCs w:val="22"/>
                <w:color w:val="auto"/>
              </w:rPr>
              <w:t>ARTICLE 5 FINANCIAL PROVISIONS</w:t>
            </w:r>
            <w:hyperlink w:anchor="page77">
              <w:r>
                <w:rPr>
                  <w:rFonts w:ascii="Arial" w:cs="Arial" w:eastAsia="Arial" w:hAnsi="Arial"/>
                  <w:sz w:val="22"/>
                  <w:szCs w:val="22"/>
                  <w:color w:val="0000EE"/>
                </w:rPr>
                <w:t>41</w:t>
              </w:r>
            </w:hyperlink>
          </w:p>
        </w:tc>
        <w:tc>
          <w:tcPr>
            <w:tcW w:w="0" w:type="dxa"/>
            <w:vAlign w:val="bottom"/>
          </w:tcPr>
          <w:p>
            <w:pPr>
              <w:spacing w:after="0"/>
              <w:rPr>
                <w:sz w:val="1"/>
                <w:szCs w:val="1"/>
                <w:color w:val="auto"/>
              </w:rPr>
            </w:pPr>
          </w:p>
        </w:tc>
      </w:tr>
      <w:tr>
        <w:trPr>
          <w:trHeight w:val="331"/>
        </w:trPr>
        <w:tc>
          <w:tcPr>
            <w:tcW w:w="1880" w:type="dxa"/>
            <w:vAlign w:val="bottom"/>
          </w:tcPr>
          <w:p>
            <w:pPr>
              <w:ind w:left="940"/>
              <w:spacing w:after="0"/>
              <w:rPr>
                <w:sz w:val="20"/>
                <w:szCs w:val="20"/>
                <w:color w:val="auto"/>
              </w:rPr>
            </w:pPr>
            <w:r>
              <w:rPr>
                <w:rFonts w:ascii="Arial" w:cs="Arial" w:eastAsia="Arial" w:hAnsi="Arial"/>
                <w:sz w:val="22"/>
                <w:szCs w:val="22"/>
                <w:color w:val="auto"/>
              </w:rPr>
              <w:t>5.1</w:t>
            </w:r>
          </w:p>
        </w:tc>
        <w:tc>
          <w:tcPr>
            <w:tcW w:w="1800" w:type="dxa"/>
            <w:vAlign w:val="bottom"/>
            <w:gridSpan w:val="9"/>
          </w:tcPr>
          <w:p>
            <w:pPr>
              <w:spacing w:after="0"/>
              <w:rPr>
                <w:rFonts w:ascii="Arial" w:cs="Arial" w:eastAsia="Arial" w:hAnsi="Arial"/>
                <w:sz w:val="22"/>
                <w:szCs w:val="22"/>
                <w:color w:val="0000EE"/>
                <w:w w:val="92"/>
              </w:rPr>
            </w:pPr>
            <w:hyperlink w:anchor="page77">
              <w:r>
                <w:rPr>
                  <w:rFonts w:ascii="Arial" w:cs="Arial" w:eastAsia="Arial" w:hAnsi="Arial"/>
                  <w:sz w:val="22"/>
                  <w:szCs w:val="22"/>
                  <w:color w:val="0000EE"/>
                  <w:w w:val="92"/>
                </w:rPr>
                <w:t>Upfront Payment41</w:t>
              </w:r>
            </w:hyperlink>
          </w:p>
        </w:tc>
        <w:tc>
          <w:tcPr>
            <w:tcW w:w="200" w:type="dxa"/>
            <w:vAlign w:val="bottom"/>
            <w:tcBorders>
              <w:top w:val="single" w:sz="8" w:color="0000EE"/>
            </w:tcBorders>
            <w:gridSpan w:val="5"/>
          </w:tcPr>
          <w:p>
            <w:pPr>
              <w:spacing w:after="0"/>
              <w:rPr>
                <w:sz w:val="24"/>
                <w:szCs w:val="24"/>
                <w:color w:val="auto"/>
              </w:rPr>
            </w:pPr>
          </w:p>
        </w:tc>
        <w:tc>
          <w:tcPr>
            <w:tcW w:w="51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5.2</w:t>
            </w:r>
          </w:p>
        </w:tc>
        <w:tc>
          <w:tcPr>
            <w:tcW w:w="102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6"/>
            <w:shd w:val="clear" w:color="auto" w:fill="0000EE"/>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2380" w:type="dxa"/>
            <w:vAlign w:val="bottom"/>
            <w:tcBorders>
              <w:bottom w:val="single" w:sz="8" w:color="0000EE"/>
            </w:tcBorders>
            <w:gridSpan w:val="20"/>
          </w:tcPr>
          <w:p>
            <w:pPr>
              <w:spacing w:after="0" w:line="223" w:lineRule="exact"/>
              <w:rPr>
                <w:rFonts w:ascii="Arial" w:cs="Arial" w:eastAsia="Arial" w:hAnsi="Arial"/>
                <w:sz w:val="22"/>
                <w:szCs w:val="22"/>
                <w:color w:val="0000EE"/>
                <w:w w:val="88"/>
              </w:rPr>
            </w:pPr>
            <w:hyperlink w:anchor="page77">
              <w:r>
                <w:rPr>
                  <w:rFonts w:ascii="Arial" w:cs="Arial" w:eastAsia="Arial" w:hAnsi="Arial"/>
                  <w:sz w:val="22"/>
                  <w:szCs w:val="22"/>
                  <w:color w:val="0000EE"/>
                  <w:w w:val="88"/>
                </w:rPr>
                <w:t>Development Milestones41</w:t>
              </w:r>
            </w:hyperlink>
          </w:p>
        </w:tc>
        <w:tc>
          <w:tcPr>
            <w:tcW w:w="480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5.3</w:t>
            </w:r>
          </w:p>
        </w:tc>
        <w:tc>
          <w:tcPr>
            <w:tcW w:w="7180" w:type="dxa"/>
            <w:vAlign w:val="bottom"/>
            <w:gridSpan w:val="30"/>
          </w:tcPr>
          <w:p>
            <w:pPr>
              <w:spacing w:after="0" w:line="223" w:lineRule="exact"/>
              <w:rPr>
                <w:rFonts w:ascii="Arial" w:cs="Arial" w:eastAsia="Arial" w:hAnsi="Arial"/>
                <w:sz w:val="22"/>
                <w:szCs w:val="22"/>
                <w:color w:val="0000EE"/>
              </w:rPr>
            </w:pPr>
            <w:hyperlink w:anchor="page78">
              <w:r>
                <w:rPr>
                  <w:rFonts w:ascii="Arial" w:cs="Arial" w:eastAsia="Arial" w:hAnsi="Arial"/>
                  <w:sz w:val="22"/>
                  <w:szCs w:val="22"/>
                  <w:color w:val="0000EE"/>
                </w:rPr>
                <w:t>Sales Milestones42</w:t>
              </w:r>
            </w:hyperlink>
          </w:p>
        </w:tc>
        <w:tc>
          <w:tcPr>
            <w:tcW w:w="0" w:type="dxa"/>
            <w:vAlign w:val="bottom"/>
          </w:tcPr>
          <w:p>
            <w:pPr>
              <w:spacing w:after="0"/>
              <w:rPr>
                <w:sz w:val="1"/>
                <w:szCs w:val="1"/>
                <w:color w:val="auto"/>
              </w:rPr>
            </w:pPr>
          </w:p>
        </w:tc>
      </w:tr>
      <w:tr>
        <w:trPr>
          <w:trHeight w:val="223"/>
        </w:trPr>
        <w:tc>
          <w:tcPr>
            <w:tcW w:w="1880" w:type="dxa"/>
            <w:vAlign w:val="bottom"/>
          </w:tcPr>
          <w:p>
            <w:pPr>
              <w:ind w:left="940"/>
              <w:spacing w:after="0" w:line="223" w:lineRule="exact"/>
              <w:rPr>
                <w:sz w:val="20"/>
                <w:szCs w:val="20"/>
                <w:color w:val="auto"/>
              </w:rPr>
            </w:pPr>
            <w:r>
              <w:rPr>
                <w:rFonts w:ascii="Arial" w:cs="Arial" w:eastAsia="Arial" w:hAnsi="Arial"/>
                <w:sz w:val="22"/>
                <w:szCs w:val="22"/>
                <w:color w:val="auto"/>
              </w:rPr>
              <w:t>5.4</w:t>
            </w:r>
          </w:p>
        </w:tc>
        <w:tc>
          <w:tcPr>
            <w:tcW w:w="1700" w:type="dxa"/>
            <w:vAlign w:val="bottom"/>
            <w:tcBorders>
              <w:top w:val="single" w:sz="8" w:color="0000EE"/>
            </w:tcBorders>
            <w:gridSpan w:val="8"/>
          </w:tcPr>
          <w:p>
            <w:pPr>
              <w:spacing w:after="0" w:line="223" w:lineRule="exact"/>
              <w:rPr>
                <w:rFonts w:ascii="Arial" w:cs="Arial" w:eastAsia="Arial" w:hAnsi="Arial"/>
                <w:sz w:val="22"/>
                <w:szCs w:val="22"/>
                <w:color w:val="0000EE"/>
              </w:rPr>
            </w:pPr>
            <w:hyperlink w:anchor="page79">
              <w:r>
                <w:rPr>
                  <w:rFonts w:ascii="Arial" w:cs="Arial" w:eastAsia="Arial" w:hAnsi="Arial"/>
                  <w:sz w:val="22"/>
                  <w:szCs w:val="22"/>
                  <w:color w:val="0000EE"/>
                </w:rPr>
                <w:t>Royalties43</w:t>
              </w:r>
            </w:hyperlink>
          </w:p>
        </w:tc>
        <w:tc>
          <w:tcPr>
            <w:tcW w:w="548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5.5</w:t>
            </w:r>
          </w:p>
        </w:tc>
        <w:tc>
          <w:tcPr>
            <w:tcW w:w="1020" w:type="dxa"/>
            <w:vAlign w:val="bottom"/>
            <w:gridSpan w:val="2"/>
            <w:shd w:val="clear" w:color="auto" w:fill="0000EE"/>
          </w:tcPr>
          <w:p>
            <w:pPr>
              <w:spacing w:after="0" w:line="20" w:lineRule="exact"/>
              <w:rPr>
                <w:sz w:val="1"/>
                <w:szCs w:val="1"/>
                <w:color w:val="auto"/>
              </w:rPr>
            </w:pPr>
          </w:p>
        </w:tc>
        <w:tc>
          <w:tcPr>
            <w:tcW w:w="4200" w:type="dxa"/>
            <w:vAlign w:val="bottom"/>
            <w:gridSpan w:val="24"/>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5220" w:type="dxa"/>
            <w:vAlign w:val="bottom"/>
            <w:tcBorders>
              <w:bottom w:val="single" w:sz="8" w:color="0000EE"/>
            </w:tcBorders>
            <w:gridSpan w:val="26"/>
          </w:tcPr>
          <w:p>
            <w:pPr>
              <w:spacing w:after="0" w:line="223" w:lineRule="exact"/>
              <w:rPr>
                <w:rFonts w:ascii="Arial" w:cs="Arial" w:eastAsia="Arial" w:hAnsi="Arial"/>
                <w:sz w:val="22"/>
                <w:szCs w:val="22"/>
                <w:color w:val="0000EE"/>
                <w:w w:val="88"/>
              </w:rPr>
            </w:pPr>
            <w:hyperlink w:anchor="page81">
              <w:r>
                <w:rPr>
                  <w:rFonts w:ascii="Arial" w:cs="Arial" w:eastAsia="Arial" w:hAnsi="Arial"/>
                  <w:sz w:val="22"/>
                  <w:szCs w:val="22"/>
                  <w:color w:val="0000EE"/>
                  <w:w w:val="88"/>
                </w:rPr>
                <w:t>Mode of Payment and Currency; Invoices; Late Payments45</w:t>
              </w:r>
            </w:hyperlink>
          </w:p>
        </w:tc>
        <w:tc>
          <w:tcPr>
            <w:tcW w:w="19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80"/>
        <w:spacing w:after="0"/>
        <w:rPr>
          <w:sz w:val="20"/>
          <w:szCs w:val="20"/>
          <w:color w:val="auto"/>
        </w:rPr>
      </w:pPr>
      <w:r>
        <w:rPr>
          <w:rFonts w:ascii="Arial" w:cs="Arial" w:eastAsia="Arial" w:hAnsi="Arial"/>
          <w:sz w:val="40"/>
          <w:szCs w:val="4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firstLine="8"/>
        <w:spacing w:after="0" w:line="266" w:lineRule="auto"/>
        <w:tabs>
          <w:tab w:leader="none" w:pos="4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5.6</w:t>
      </w:r>
      <w:r>
        <w:rPr>
          <w:sz w:val="20"/>
          <w:szCs w:val="20"/>
          <w:color w:val="auto"/>
        </w:rPr>
        <w:tab/>
      </w:r>
      <w:hyperlink w:anchor="page81">
        <w:r>
          <w:rPr>
            <w:rFonts w:ascii="Arial" w:cs="Arial" w:eastAsia="Arial" w:hAnsi="Arial"/>
            <w:sz w:val="19"/>
            <w:szCs w:val="19"/>
            <w:u w:val="single" w:color="auto"/>
            <w:color w:val="0000EE"/>
          </w:rPr>
          <w:t>Records; Audits46</w:t>
        </w:r>
      </w:hyperlink>
    </w:p>
    <w:p>
      <w:pPr>
        <w:spacing w:after="0" w:line="8" w:lineRule="exact"/>
        <w:rPr>
          <w:sz w:val="20"/>
          <w:szCs w:val="20"/>
          <w:color w:val="auto"/>
        </w:rPr>
      </w:pPr>
    </w:p>
    <w:p>
      <w:pPr>
        <w:ind w:left="940"/>
        <w:spacing w:after="0"/>
        <w:tabs>
          <w:tab w:leader="none" w:pos="1860" w:val="left"/>
        </w:tabs>
        <w:rPr>
          <w:rFonts w:ascii="Arial" w:cs="Arial" w:eastAsia="Arial" w:hAnsi="Arial"/>
          <w:sz w:val="18"/>
          <w:szCs w:val="18"/>
          <w:u w:val="single" w:color="auto"/>
          <w:color w:val="0000EE"/>
        </w:rPr>
      </w:pPr>
      <w:r>
        <w:rPr>
          <w:rFonts w:ascii="Arial" w:cs="Arial" w:eastAsia="Arial" w:hAnsi="Arial"/>
          <w:sz w:val="22"/>
          <w:szCs w:val="22"/>
          <w:color w:val="auto"/>
        </w:rPr>
        <w:t>5.7</w:t>
      </w:r>
      <w:r>
        <w:rPr>
          <w:sz w:val="20"/>
          <w:szCs w:val="20"/>
          <w:color w:val="auto"/>
        </w:rPr>
        <w:tab/>
      </w:r>
      <w:hyperlink w:anchor="page82">
        <w:r>
          <w:rPr>
            <w:rFonts w:ascii="Arial" w:cs="Arial" w:eastAsia="Arial" w:hAnsi="Arial"/>
            <w:sz w:val="18"/>
            <w:szCs w:val="18"/>
            <w:u w:val="single" w:color="auto"/>
            <w:color w:val="0000EE"/>
          </w:rPr>
          <w:t>Taxes47</w:t>
        </w:r>
      </w:hyperlink>
    </w:p>
    <w:p>
      <w:pPr>
        <w:spacing w:after="0" w:line="80"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6 INTELLECTUAL PROPERTY</w:t>
      </w:r>
      <w:hyperlink w:anchor="page83">
        <w:r>
          <w:rPr>
            <w:rFonts w:ascii="Arial" w:cs="Arial" w:eastAsia="Arial" w:hAnsi="Arial"/>
            <w:sz w:val="22"/>
            <w:szCs w:val="22"/>
            <w:u w:val="single" w:color="auto"/>
            <w:color w:val="0000EE"/>
          </w:rPr>
          <w:t>48</w:t>
        </w:r>
      </w:hyperlink>
    </w:p>
    <w:p>
      <w:pPr>
        <w:spacing w:after="0" w:line="69"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940" w:type="dxa"/>
            <w:vAlign w:val="bottom"/>
          </w:tcPr>
          <w:p>
            <w:pPr>
              <w:jc w:val="right"/>
              <w:ind w:right="572"/>
              <w:spacing w:after="0"/>
              <w:rPr>
                <w:sz w:val="20"/>
                <w:szCs w:val="20"/>
                <w:color w:val="auto"/>
              </w:rPr>
            </w:pPr>
            <w:r>
              <w:rPr>
                <w:rFonts w:ascii="Arial" w:cs="Arial" w:eastAsia="Arial" w:hAnsi="Arial"/>
                <w:sz w:val="22"/>
                <w:szCs w:val="22"/>
                <w:color w:val="auto"/>
                <w:w w:val="78"/>
              </w:rPr>
              <w:t>6.1</w:t>
            </w:r>
          </w:p>
        </w:tc>
        <w:tc>
          <w:tcPr>
            <w:tcW w:w="1120" w:type="dxa"/>
            <w:vAlign w:val="bottom"/>
            <w:tcBorders>
              <w:bottom w:val="single" w:sz="8" w:color="0000EE"/>
            </w:tcBorders>
          </w:tcPr>
          <w:p>
            <w:pPr>
              <w:spacing w:after="0"/>
              <w:rPr>
                <w:rFonts w:ascii="Arial" w:cs="Arial" w:eastAsia="Arial" w:hAnsi="Arial"/>
                <w:sz w:val="22"/>
                <w:szCs w:val="22"/>
                <w:color w:val="0000EE"/>
                <w:w w:val="88"/>
              </w:rPr>
            </w:pPr>
            <w:hyperlink w:anchor="page83">
              <w:r>
                <w:rPr>
                  <w:rFonts w:ascii="Arial" w:cs="Arial" w:eastAsia="Arial" w:hAnsi="Arial"/>
                  <w:sz w:val="22"/>
                  <w:szCs w:val="22"/>
                  <w:color w:val="0000EE"/>
                  <w:w w:val="88"/>
                </w:rPr>
                <w:t>Inventions48</w:t>
              </w:r>
            </w:hyperlink>
          </w:p>
        </w:tc>
        <w:tc>
          <w:tcPr>
            <w:tcW w:w="35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6.2</w:t>
            </w:r>
          </w:p>
        </w:tc>
        <w:tc>
          <w:tcPr>
            <w:tcW w:w="2160" w:type="dxa"/>
            <w:vAlign w:val="bottom"/>
            <w:tcBorders>
              <w:bottom w:val="single" w:sz="8" w:color="0000EE"/>
            </w:tcBorders>
            <w:gridSpan w:val="3"/>
          </w:tcPr>
          <w:p>
            <w:pPr>
              <w:spacing w:after="0" w:line="223" w:lineRule="exact"/>
              <w:rPr>
                <w:rFonts w:ascii="Arial" w:cs="Arial" w:eastAsia="Arial" w:hAnsi="Arial"/>
                <w:sz w:val="22"/>
                <w:szCs w:val="22"/>
                <w:color w:val="0000EE"/>
                <w:w w:val="88"/>
              </w:rPr>
            </w:pPr>
            <w:hyperlink w:anchor="page84">
              <w:r>
                <w:rPr>
                  <w:rFonts w:ascii="Arial" w:cs="Arial" w:eastAsia="Arial" w:hAnsi="Arial"/>
                  <w:sz w:val="22"/>
                  <w:szCs w:val="22"/>
                  <w:color w:val="0000EE"/>
                  <w:w w:val="88"/>
                </w:rPr>
                <w:t>Patent Working Group49</w:t>
              </w:r>
            </w:hyperlink>
          </w:p>
        </w:tc>
        <w:tc>
          <w:tcPr>
            <w:tcW w:w="25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6.3</w:t>
            </w:r>
          </w:p>
        </w:tc>
        <w:tc>
          <w:tcPr>
            <w:tcW w:w="4700" w:type="dxa"/>
            <w:vAlign w:val="bottom"/>
            <w:tcBorders>
              <w:bottom w:val="single" w:sz="8" w:color="0000EE"/>
            </w:tcBorders>
            <w:gridSpan w:val="7"/>
          </w:tcPr>
          <w:p>
            <w:pPr>
              <w:spacing w:after="0" w:line="223" w:lineRule="exact"/>
              <w:rPr>
                <w:rFonts w:ascii="Arial" w:cs="Arial" w:eastAsia="Arial" w:hAnsi="Arial"/>
                <w:sz w:val="22"/>
                <w:szCs w:val="22"/>
                <w:color w:val="0000EE"/>
                <w:w w:val="87"/>
              </w:rPr>
            </w:pPr>
            <w:hyperlink w:anchor="page85">
              <w:r>
                <w:rPr>
                  <w:rFonts w:ascii="Arial" w:cs="Arial" w:eastAsia="Arial" w:hAnsi="Arial"/>
                  <w:sz w:val="22"/>
                  <w:szCs w:val="22"/>
                  <w:color w:val="0000EE"/>
                  <w:w w:val="87"/>
                </w:rPr>
                <w:t>Prosecution and Maintenance of Arrowhead Patents50</w:t>
              </w:r>
            </w:hyperlink>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6.4</w:t>
            </w:r>
          </w:p>
        </w:tc>
        <w:tc>
          <w:tcPr>
            <w:tcW w:w="4700" w:type="dxa"/>
            <w:vAlign w:val="bottom"/>
            <w:gridSpan w:val="7"/>
          </w:tcPr>
          <w:p>
            <w:pPr>
              <w:spacing w:after="0" w:line="223" w:lineRule="exact"/>
              <w:rPr>
                <w:rFonts w:ascii="Arial" w:cs="Arial" w:eastAsia="Arial" w:hAnsi="Arial"/>
                <w:sz w:val="22"/>
                <w:szCs w:val="22"/>
                <w:color w:val="0000EE"/>
              </w:rPr>
            </w:pPr>
            <w:hyperlink w:anchor="page87">
              <w:r>
                <w:rPr>
                  <w:rFonts w:ascii="Arial" w:cs="Arial" w:eastAsia="Arial" w:hAnsi="Arial"/>
                  <w:sz w:val="22"/>
                  <w:szCs w:val="22"/>
                  <w:color w:val="0000EE"/>
                </w:rPr>
                <w:t>Enforcement52</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572"/>
              <w:spacing w:after="0" w:line="243" w:lineRule="exact"/>
              <w:rPr>
                <w:sz w:val="20"/>
                <w:szCs w:val="20"/>
                <w:color w:val="auto"/>
              </w:rPr>
            </w:pPr>
            <w:r>
              <w:rPr>
                <w:rFonts w:ascii="Arial" w:cs="Arial" w:eastAsia="Arial" w:hAnsi="Arial"/>
                <w:sz w:val="22"/>
                <w:szCs w:val="22"/>
                <w:color w:val="auto"/>
                <w:w w:val="78"/>
              </w:rPr>
              <w:t>6.5</w:t>
            </w:r>
          </w:p>
        </w:tc>
        <w:tc>
          <w:tcPr>
            <w:tcW w:w="132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continue"/>
          </w:tcPr>
          <w:p>
            <w:pPr>
              <w:spacing w:after="0"/>
              <w:rPr>
                <w:sz w:val="19"/>
                <w:szCs w:val="19"/>
                <w:color w:val="auto"/>
              </w:rPr>
            </w:pPr>
          </w:p>
        </w:tc>
        <w:tc>
          <w:tcPr>
            <w:tcW w:w="4700" w:type="dxa"/>
            <w:vAlign w:val="bottom"/>
            <w:gridSpan w:val="7"/>
          </w:tcPr>
          <w:p>
            <w:pPr>
              <w:spacing w:after="0" w:line="223" w:lineRule="exact"/>
              <w:rPr>
                <w:rFonts w:ascii="Arial" w:cs="Arial" w:eastAsia="Arial" w:hAnsi="Arial"/>
                <w:sz w:val="22"/>
                <w:szCs w:val="22"/>
                <w:color w:val="0000EE"/>
              </w:rPr>
            </w:pPr>
            <w:hyperlink w:anchor="page89">
              <w:r>
                <w:rPr>
                  <w:rFonts w:ascii="Arial" w:cs="Arial" w:eastAsia="Arial" w:hAnsi="Arial"/>
                  <w:sz w:val="22"/>
                  <w:szCs w:val="22"/>
                  <w:color w:val="0000EE"/>
                </w:rPr>
                <w:t>Defense of Third Party Enforcement Actions54</w:t>
              </w:r>
            </w:hyperlink>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6.6</w:t>
            </w:r>
          </w:p>
        </w:tc>
        <w:tc>
          <w:tcPr>
            <w:tcW w:w="4080" w:type="dxa"/>
            <w:vAlign w:val="bottom"/>
            <w:tcBorders>
              <w:top w:val="single" w:sz="8" w:color="0000EE"/>
            </w:tcBorders>
            <w:gridSpan w:val="6"/>
          </w:tcPr>
          <w:p>
            <w:pPr>
              <w:spacing w:after="0" w:line="223" w:lineRule="exact"/>
              <w:rPr>
                <w:rFonts w:ascii="Arial" w:cs="Arial" w:eastAsia="Arial" w:hAnsi="Arial"/>
                <w:sz w:val="22"/>
                <w:szCs w:val="22"/>
                <w:color w:val="0000EE"/>
              </w:rPr>
            </w:pPr>
            <w:hyperlink w:anchor="page90">
              <w:r>
                <w:rPr>
                  <w:rFonts w:ascii="Arial" w:cs="Arial" w:eastAsia="Arial" w:hAnsi="Arial"/>
                  <w:sz w:val="22"/>
                  <w:szCs w:val="22"/>
                  <w:color w:val="0000EE"/>
                </w:rPr>
                <w:t>Common Interest Agreement55</w:t>
              </w:r>
            </w:hyperlink>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572"/>
              <w:spacing w:after="0" w:line="243" w:lineRule="exact"/>
              <w:rPr>
                <w:sz w:val="20"/>
                <w:szCs w:val="20"/>
                <w:color w:val="auto"/>
              </w:rPr>
            </w:pPr>
            <w:r>
              <w:rPr>
                <w:rFonts w:ascii="Arial" w:cs="Arial" w:eastAsia="Arial" w:hAnsi="Arial"/>
                <w:sz w:val="22"/>
                <w:szCs w:val="22"/>
                <w:color w:val="auto"/>
                <w:w w:val="78"/>
              </w:rPr>
              <w:t>6.7</w:t>
            </w:r>
          </w:p>
        </w:tc>
        <w:tc>
          <w:tcPr>
            <w:tcW w:w="272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continue"/>
          </w:tcPr>
          <w:p>
            <w:pPr>
              <w:spacing w:after="0"/>
              <w:rPr>
                <w:sz w:val="19"/>
                <w:szCs w:val="19"/>
                <w:color w:val="auto"/>
              </w:rPr>
            </w:pPr>
          </w:p>
        </w:tc>
        <w:tc>
          <w:tcPr>
            <w:tcW w:w="334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90">
              <w:r>
                <w:rPr>
                  <w:rFonts w:ascii="Arial" w:cs="Arial" w:eastAsia="Arial" w:hAnsi="Arial"/>
                  <w:sz w:val="22"/>
                  <w:szCs w:val="22"/>
                  <w:color w:val="0000EE"/>
                  <w:w w:val="87"/>
                </w:rPr>
                <w:t>Maintenance of Freedom to Operate55</w:t>
              </w:r>
            </w:hyperlink>
          </w:p>
        </w:tc>
        <w:tc>
          <w:tcPr>
            <w:tcW w:w="1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7 CONFIDENTIALITY</w:t>
      </w:r>
      <w:hyperlink w:anchor="page90">
        <w:r>
          <w:rPr>
            <w:rFonts w:ascii="Arial" w:cs="Arial" w:eastAsia="Arial" w:hAnsi="Arial"/>
            <w:sz w:val="22"/>
            <w:szCs w:val="22"/>
            <w:u w:val="single" w:color="auto"/>
            <w:color w:val="0000EE"/>
          </w:rPr>
          <w:t>56</w:t>
        </w:r>
      </w:hyperlink>
    </w:p>
    <w:p>
      <w:pPr>
        <w:spacing w:after="0" w:line="69"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940" w:type="dxa"/>
            <w:vAlign w:val="bottom"/>
          </w:tcPr>
          <w:p>
            <w:pPr>
              <w:jc w:val="right"/>
              <w:ind w:right="572"/>
              <w:spacing w:after="0"/>
              <w:rPr>
                <w:sz w:val="20"/>
                <w:szCs w:val="20"/>
                <w:color w:val="auto"/>
              </w:rPr>
            </w:pPr>
            <w:r>
              <w:rPr>
                <w:rFonts w:ascii="Arial" w:cs="Arial" w:eastAsia="Arial" w:hAnsi="Arial"/>
                <w:sz w:val="22"/>
                <w:szCs w:val="22"/>
                <w:color w:val="auto"/>
                <w:w w:val="78"/>
              </w:rPr>
              <w:t>7.1</w:t>
            </w:r>
          </w:p>
        </w:tc>
        <w:tc>
          <w:tcPr>
            <w:tcW w:w="2580" w:type="dxa"/>
            <w:vAlign w:val="bottom"/>
            <w:tcBorders>
              <w:bottom w:val="single" w:sz="8" w:color="0000EE"/>
            </w:tcBorders>
            <w:gridSpan w:val="5"/>
          </w:tcPr>
          <w:p>
            <w:pPr>
              <w:spacing w:after="0"/>
              <w:rPr>
                <w:rFonts w:ascii="Arial" w:cs="Arial" w:eastAsia="Arial" w:hAnsi="Arial"/>
                <w:sz w:val="22"/>
                <w:szCs w:val="22"/>
                <w:color w:val="0000EE"/>
                <w:w w:val="91"/>
              </w:rPr>
            </w:pPr>
            <w:hyperlink w:anchor="page90">
              <w:r>
                <w:rPr>
                  <w:rFonts w:ascii="Arial" w:cs="Arial" w:eastAsia="Arial" w:hAnsi="Arial"/>
                  <w:sz w:val="22"/>
                  <w:szCs w:val="22"/>
                  <w:color w:val="0000EE"/>
                  <w:w w:val="91"/>
                </w:rPr>
                <w:t>Confidentiality Obligations56</w:t>
              </w:r>
            </w:hyperlink>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7.2</w:t>
            </w:r>
          </w:p>
        </w:tc>
        <w:tc>
          <w:tcPr>
            <w:tcW w:w="4540" w:type="dxa"/>
            <w:vAlign w:val="bottom"/>
            <w:gridSpan w:val="6"/>
          </w:tcPr>
          <w:p>
            <w:pPr>
              <w:spacing w:after="0" w:line="223" w:lineRule="exact"/>
              <w:rPr>
                <w:rFonts w:ascii="Arial" w:cs="Arial" w:eastAsia="Arial" w:hAnsi="Arial"/>
                <w:sz w:val="22"/>
                <w:szCs w:val="22"/>
                <w:color w:val="0000EE"/>
              </w:rPr>
            </w:pPr>
            <w:hyperlink w:anchor="page91">
              <w:r>
                <w:rPr>
                  <w:rFonts w:ascii="Arial" w:cs="Arial" w:eastAsia="Arial" w:hAnsi="Arial"/>
                  <w:sz w:val="22"/>
                  <w:szCs w:val="22"/>
                  <w:color w:val="0000EE"/>
                </w:rPr>
                <w:t>Use Restrictions56</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572"/>
              <w:spacing w:after="0" w:line="243" w:lineRule="exact"/>
              <w:rPr>
                <w:sz w:val="20"/>
                <w:szCs w:val="20"/>
                <w:color w:val="auto"/>
              </w:rPr>
            </w:pPr>
            <w:r>
              <w:rPr>
                <w:rFonts w:ascii="Arial" w:cs="Arial" w:eastAsia="Arial" w:hAnsi="Arial"/>
                <w:sz w:val="22"/>
                <w:szCs w:val="22"/>
                <w:color w:val="auto"/>
                <w:w w:val="78"/>
              </w:rPr>
              <w:t>7.3</w:t>
            </w: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continue"/>
          </w:tcPr>
          <w:p>
            <w:pPr>
              <w:spacing w:after="0"/>
              <w:rPr>
                <w:sz w:val="19"/>
                <w:szCs w:val="19"/>
                <w:color w:val="auto"/>
              </w:rPr>
            </w:pPr>
          </w:p>
        </w:tc>
        <w:tc>
          <w:tcPr>
            <w:tcW w:w="1980" w:type="dxa"/>
            <w:vAlign w:val="bottom"/>
            <w:tcBorders>
              <w:bottom w:val="single" w:sz="8" w:color="0000EE"/>
            </w:tcBorders>
            <w:gridSpan w:val="4"/>
          </w:tcPr>
          <w:p>
            <w:pPr>
              <w:spacing w:after="0" w:line="223" w:lineRule="exact"/>
              <w:rPr>
                <w:rFonts w:ascii="Arial" w:cs="Arial" w:eastAsia="Arial" w:hAnsi="Arial"/>
                <w:sz w:val="22"/>
                <w:szCs w:val="22"/>
                <w:color w:val="0000EE"/>
                <w:w w:val="88"/>
              </w:rPr>
            </w:pPr>
            <w:hyperlink w:anchor="page92">
              <w:r>
                <w:rPr>
                  <w:rFonts w:ascii="Arial" w:cs="Arial" w:eastAsia="Arial" w:hAnsi="Arial"/>
                  <w:sz w:val="22"/>
                  <w:szCs w:val="22"/>
                  <w:color w:val="0000EE"/>
                  <w:w w:val="88"/>
                </w:rPr>
                <w:t>Required Disclosure57</w:t>
              </w:r>
            </w:hyperlink>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7.4</w:t>
            </w:r>
          </w:p>
        </w:tc>
        <w:tc>
          <w:tcPr>
            <w:tcW w:w="1280" w:type="dxa"/>
            <w:vAlign w:val="bottom"/>
            <w:tcBorders>
              <w:bottom w:val="single" w:sz="8" w:color="0000EE"/>
            </w:tcBorders>
          </w:tcPr>
          <w:p>
            <w:pPr>
              <w:spacing w:after="0" w:line="223" w:lineRule="exact"/>
              <w:rPr>
                <w:rFonts w:ascii="Arial" w:cs="Arial" w:eastAsia="Arial" w:hAnsi="Arial"/>
                <w:sz w:val="22"/>
                <w:szCs w:val="22"/>
                <w:color w:val="0000EE"/>
                <w:w w:val="88"/>
              </w:rPr>
            </w:pPr>
            <w:hyperlink w:anchor="page92">
              <w:r>
                <w:rPr>
                  <w:rFonts w:ascii="Arial" w:cs="Arial" w:eastAsia="Arial" w:hAnsi="Arial"/>
                  <w:sz w:val="22"/>
                  <w:szCs w:val="22"/>
                  <w:color w:val="0000EE"/>
                  <w:w w:val="88"/>
                </w:rPr>
                <w:t>Publications58</w:t>
              </w:r>
            </w:hyperlink>
          </w:p>
        </w:tc>
        <w:tc>
          <w:tcPr>
            <w:tcW w:w="32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7.5</w:t>
            </w:r>
          </w:p>
        </w:tc>
        <w:tc>
          <w:tcPr>
            <w:tcW w:w="4540" w:type="dxa"/>
            <w:vAlign w:val="bottom"/>
            <w:gridSpan w:val="6"/>
          </w:tcPr>
          <w:p>
            <w:pPr>
              <w:spacing w:after="0" w:line="223" w:lineRule="exact"/>
              <w:rPr>
                <w:rFonts w:ascii="Arial" w:cs="Arial" w:eastAsia="Arial" w:hAnsi="Arial"/>
                <w:sz w:val="22"/>
                <w:szCs w:val="22"/>
                <w:color w:val="0000EE"/>
              </w:rPr>
            </w:pPr>
            <w:hyperlink w:anchor="page93">
              <w:r>
                <w:rPr>
                  <w:rFonts w:ascii="Arial" w:cs="Arial" w:eastAsia="Arial" w:hAnsi="Arial"/>
                  <w:sz w:val="22"/>
                  <w:szCs w:val="22"/>
                  <w:color w:val="0000EE"/>
                </w:rPr>
                <w:t>Public Disclosures58</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ind w:right="572"/>
              <w:spacing w:after="0" w:line="243" w:lineRule="exact"/>
              <w:rPr>
                <w:sz w:val="20"/>
                <w:szCs w:val="20"/>
                <w:color w:val="auto"/>
              </w:rPr>
            </w:pPr>
            <w:r>
              <w:rPr>
                <w:rFonts w:ascii="Arial" w:cs="Arial" w:eastAsia="Arial" w:hAnsi="Arial"/>
                <w:sz w:val="22"/>
                <w:szCs w:val="22"/>
                <w:color w:val="auto"/>
                <w:w w:val="78"/>
              </w:rPr>
              <w:t>7.6</w:t>
            </w:r>
          </w:p>
        </w:tc>
        <w:tc>
          <w:tcPr>
            <w:tcW w:w="1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continue"/>
          </w:tcPr>
          <w:p>
            <w:pPr>
              <w:spacing w:after="0"/>
              <w:rPr>
                <w:sz w:val="19"/>
                <w:szCs w:val="19"/>
                <w:color w:val="auto"/>
              </w:rPr>
            </w:pPr>
          </w:p>
        </w:tc>
        <w:tc>
          <w:tcPr>
            <w:tcW w:w="4540" w:type="dxa"/>
            <w:vAlign w:val="bottom"/>
            <w:tcBorders>
              <w:bottom w:val="single" w:sz="8" w:color="0000EE"/>
            </w:tcBorders>
            <w:gridSpan w:val="6"/>
          </w:tcPr>
          <w:p>
            <w:pPr>
              <w:spacing w:after="0" w:line="223" w:lineRule="exact"/>
              <w:rPr>
                <w:rFonts w:ascii="Arial" w:cs="Arial" w:eastAsia="Arial" w:hAnsi="Arial"/>
                <w:sz w:val="22"/>
                <w:szCs w:val="22"/>
                <w:color w:val="0000EE"/>
                <w:w w:val="91"/>
              </w:rPr>
            </w:pPr>
            <w:hyperlink w:anchor="page93">
              <w:r>
                <w:rPr>
                  <w:rFonts w:ascii="Arial" w:cs="Arial" w:eastAsia="Arial" w:hAnsi="Arial"/>
                  <w:sz w:val="22"/>
                  <w:szCs w:val="22"/>
                  <w:color w:val="0000EE"/>
                  <w:w w:val="91"/>
                </w:rPr>
                <w:t>Return or Destruction of Confidential Information59</w:t>
              </w:r>
            </w:hyperlink>
          </w:p>
        </w:tc>
        <w:tc>
          <w:tcPr>
            <w:tcW w:w="0" w:type="dxa"/>
            <w:vAlign w:val="bottom"/>
          </w:tcPr>
          <w:p>
            <w:pPr>
              <w:spacing w:after="0"/>
              <w:rPr>
                <w:sz w:val="1"/>
                <w:szCs w:val="1"/>
                <w:color w:val="auto"/>
              </w:rPr>
            </w:pPr>
          </w:p>
        </w:tc>
      </w:tr>
      <w:tr>
        <w:trPr>
          <w:trHeight w:val="223"/>
        </w:trPr>
        <w:tc>
          <w:tcPr>
            <w:tcW w:w="940" w:type="dxa"/>
            <w:vAlign w:val="bottom"/>
          </w:tcPr>
          <w:p>
            <w:pPr>
              <w:jc w:val="right"/>
              <w:ind w:right="572"/>
              <w:spacing w:after="0" w:line="223" w:lineRule="exact"/>
              <w:rPr>
                <w:sz w:val="20"/>
                <w:szCs w:val="20"/>
                <w:color w:val="auto"/>
              </w:rPr>
            </w:pPr>
            <w:r>
              <w:rPr>
                <w:rFonts w:ascii="Arial" w:cs="Arial" w:eastAsia="Arial" w:hAnsi="Arial"/>
                <w:sz w:val="22"/>
                <w:szCs w:val="22"/>
                <w:color w:val="auto"/>
                <w:w w:val="78"/>
              </w:rPr>
              <w:t>7.7</w:t>
            </w:r>
          </w:p>
        </w:tc>
        <w:tc>
          <w:tcPr>
            <w:tcW w:w="1620" w:type="dxa"/>
            <w:vAlign w:val="bottom"/>
            <w:tcBorders>
              <w:bottom w:val="single" w:sz="8" w:color="0000EE"/>
            </w:tcBorders>
            <w:gridSpan w:val="2"/>
          </w:tcPr>
          <w:p>
            <w:pPr>
              <w:spacing w:after="0" w:line="223" w:lineRule="exact"/>
              <w:rPr>
                <w:rFonts w:ascii="Arial" w:cs="Arial" w:eastAsia="Arial" w:hAnsi="Arial"/>
                <w:sz w:val="22"/>
                <w:szCs w:val="22"/>
                <w:color w:val="0000EE"/>
                <w:w w:val="89"/>
              </w:rPr>
            </w:pPr>
            <w:hyperlink w:anchor="page94">
              <w:r>
                <w:rPr>
                  <w:rFonts w:ascii="Arial" w:cs="Arial" w:eastAsia="Arial" w:hAnsi="Arial"/>
                  <w:sz w:val="22"/>
                  <w:szCs w:val="22"/>
                  <w:color w:val="0000EE"/>
                  <w:w w:val="89"/>
                </w:rPr>
                <w:t>Equitable Relief59</w:t>
              </w:r>
            </w:hyperlink>
          </w:p>
        </w:tc>
        <w:tc>
          <w:tcPr>
            <w:tcW w:w="29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8 REPRESENTATIONS AND WARRANTIES</w:t>
      </w:r>
      <w:hyperlink w:anchor="page94">
        <w:r>
          <w:rPr>
            <w:rFonts w:ascii="Arial" w:cs="Arial" w:eastAsia="Arial" w:hAnsi="Arial"/>
            <w:sz w:val="22"/>
            <w:szCs w:val="22"/>
            <w:u w:val="single" w:color="auto"/>
            <w:color w:val="0000EE"/>
          </w:rPr>
          <w:t>59</w:t>
        </w:r>
      </w:hyperlink>
    </w:p>
    <w:p>
      <w:pPr>
        <w:spacing w:after="0" w:line="98" w:lineRule="exact"/>
        <w:rPr>
          <w:sz w:val="20"/>
          <w:szCs w:val="20"/>
          <w:color w:val="auto"/>
        </w:rPr>
      </w:pPr>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8.1</w:t>
      </w:r>
      <w:r>
        <w:rPr>
          <w:sz w:val="20"/>
          <w:szCs w:val="20"/>
          <w:color w:val="auto"/>
        </w:rPr>
        <w:tab/>
      </w:r>
      <w:hyperlink w:anchor="page94">
        <w:r>
          <w:rPr>
            <w:rFonts w:ascii="Arial" w:cs="Arial" w:eastAsia="Arial" w:hAnsi="Arial"/>
            <w:sz w:val="19"/>
            <w:szCs w:val="19"/>
            <w:u w:val="single" w:color="auto"/>
            <w:color w:val="0000EE"/>
          </w:rPr>
          <w:t>Mutual Representations and Warranties59</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8.2</w:t>
      </w:r>
      <w:r>
        <w:rPr>
          <w:sz w:val="20"/>
          <w:szCs w:val="20"/>
          <w:color w:val="auto"/>
        </w:rPr>
        <w:tab/>
      </w:r>
      <w:hyperlink w:anchor="page95">
        <w:r>
          <w:rPr>
            <w:rFonts w:ascii="Arial" w:cs="Arial" w:eastAsia="Arial" w:hAnsi="Arial"/>
            <w:sz w:val="19"/>
            <w:szCs w:val="19"/>
            <w:u w:val="single" w:color="auto"/>
            <w:color w:val="0000EE"/>
          </w:rPr>
          <w:t>Arrowhead’s Additional Representations and Warranties60</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8.3</w:t>
      </w:r>
      <w:r>
        <w:rPr>
          <w:sz w:val="20"/>
          <w:szCs w:val="20"/>
          <w:color w:val="auto"/>
        </w:rPr>
        <w:tab/>
      </w:r>
      <w:hyperlink w:anchor="page98">
        <w:r>
          <w:rPr>
            <w:rFonts w:ascii="Arial" w:cs="Arial" w:eastAsia="Arial" w:hAnsi="Arial"/>
            <w:sz w:val="19"/>
            <w:szCs w:val="19"/>
            <w:u w:val="single" w:color="auto"/>
            <w:color w:val="0000EE"/>
          </w:rPr>
          <w:t>Disclosure Schedule References63</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8.4</w:t>
      </w:r>
      <w:r>
        <w:rPr>
          <w:sz w:val="20"/>
          <w:szCs w:val="20"/>
          <w:color w:val="auto"/>
        </w:rPr>
        <w:tab/>
      </w:r>
      <w:hyperlink w:anchor="page98">
        <w:r>
          <w:rPr>
            <w:rFonts w:ascii="Arial" w:cs="Arial" w:eastAsia="Arial" w:hAnsi="Arial"/>
            <w:sz w:val="19"/>
            <w:szCs w:val="19"/>
            <w:u w:val="single" w:color="auto"/>
            <w:color w:val="0000EE"/>
          </w:rPr>
          <w:t>Additional Covenants63</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8.5</w:t>
      </w:r>
      <w:r>
        <w:rPr>
          <w:sz w:val="20"/>
          <w:szCs w:val="20"/>
          <w:color w:val="auto"/>
        </w:rPr>
        <w:tab/>
      </w:r>
      <w:hyperlink w:anchor="page99">
        <w:r>
          <w:rPr>
            <w:rFonts w:ascii="Arial" w:cs="Arial" w:eastAsia="Arial" w:hAnsi="Arial"/>
            <w:sz w:val="19"/>
            <w:szCs w:val="19"/>
            <w:u w:val="single" w:color="auto"/>
            <w:color w:val="0000EE"/>
          </w:rPr>
          <w:t>Disclaimer64</w:t>
        </w:r>
      </w:hyperlink>
    </w:p>
    <w:p>
      <w:pPr>
        <w:spacing w:after="0" w:line="80"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9 INDEMNIFICATION</w:t>
      </w:r>
      <w:hyperlink w:anchor="page99">
        <w:r>
          <w:rPr>
            <w:rFonts w:ascii="Arial" w:cs="Arial" w:eastAsia="Arial" w:hAnsi="Arial"/>
            <w:sz w:val="22"/>
            <w:szCs w:val="22"/>
            <w:u w:val="single" w:color="auto"/>
            <w:color w:val="0000EE"/>
          </w:rPr>
          <w:t>64</w:t>
        </w:r>
      </w:hyperlink>
    </w:p>
    <w:p>
      <w:pPr>
        <w:spacing w:after="0" w:line="98" w:lineRule="exact"/>
        <w:rPr>
          <w:sz w:val="20"/>
          <w:szCs w:val="20"/>
          <w:color w:val="auto"/>
        </w:rPr>
      </w:pPr>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9.1</w:t>
      </w:r>
      <w:r>
        <w:rPr>
          <w:sz w:val="20"/>
          <w:szCs w:val="20"/>
          <w:color w:val="auto"/>
        </w:rPr>
        <w:tab/>
      </w:r>
      <w:hyperlink w:anchor="page99">
        <w:r>
          <w:rPr>
            <w:rFonts w:ascii="Arial" w:cs="Arial" w:eastAsia="Arial" w:hAnsi="Arial"/>
            <w:sz w:val="19"/>
            <w:szCs w:val="19"/>
            <w:u w:val="single" w:color="auto"/>
            <w:color w:val="0000EE"/>
          </w:rPr>
          <w:t>Indemnification by GSK64</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9.2</w:t>
      </w:r>
      <w:r>
        <w:rPr>
          <w:sz w:val="20"/>
          <w:szCs w:val="20"/>
          <w:color w:val="auto"/>
        </w:rPr>
        <w:tab/>
      </w:r>
      <w:hyperlink w:anchor="page100">
        <w:r>
          <w:rPr>
            <w:rFonts w:ascii="Arial" w:cs="Arial" w:eastAsia="Arial" w:hAnsi="Arial"/>
            <w:sz w:val="19"/>
            <w:szCs w:val="19"/>
            <w:u w:val="single" w:color="auto"/>
            <w:color w:val="0000EE"/>
          </w:rPr>
          <w:t>Indemnification by Arrowhead65</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9.3</w:t>
      </w:r>
      <w:r>
        <w:rPr>
          <w:sz w:val="20"/>
          <w:szCs w:val="20"/>
          <w:color w:val="auto"/>
        </w:rPr>
        <w:tab/>
      </w:r>
      <w:hyperlink w:anchor="page100">
        <w:r>
          <w:rPr>
            <w:rFonts w:ascii="Arial" w:cs="Arial" w:eastAsia="Arial" w:hAnsi="Arial"/>
            <w:sz w:val="19"/>
            <w:szCs w:val="19"/>
            <w:u w:val="single" w:color="auto"/>
            <w:color w:val="0000EE"/>
          </w:rPr>
          <w:t>Notification of Claims; Conditions to Indemnification Obligations65</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9.4</w:t>
      </w:r>
      <w:r>
        <w:rPr>
          <w:sz w:val="20"/>
          <w:szCs w:val="20"/>
          <w:color w:val="auto"/>
        </w:rPr>
        <w:tab/>
      </w:r>
      <w:hyperlink w:anchor="page101">
        <w:r>
          <w:rPr>
            <w:rFonts w:ascii="Arial" w:cs="Arial" w:eastAsia="Arial" w:hAnsi="Arial"/>
            <w:sz w:val="19"/>
            <w:szCs w:val="19"/>
            <w:u w:val="single" w:color="auto"/>
            <w:color w:val="0000EE"/>
          </w:rPr>
          <w:t>Certain Limitations66</w:t>
        </w:r>
      </w:hyperlink>
    </w:p>
    <w:p>
      <w:pPr>
        <w:ind w:left="940"/>
        <w:spacing w:after="0"/>
        <w:tabs>
          <w:tab w:leader="none" w:pos="1860" w:val="left"/>
        </w:tabs>
        <w:rPr>
          <w:rFonts w:ascii="Arial" w:cs="Arial" w:eastAsia="Arial" w:hAnsi="Arial"/>
          <w:sz w:val="21"/>
          <w:szCs w:val="21"/>
          <w:u w:val="single" w:color="auto"/>
          <w:color w:val="0000EE"/>
        </w:rPr>
      </w:pPr>
      <w:r>
        <w:rPr>
          <w:rFonts w:ascii="Arial" w:cs="Arial" w:eastAsia="Arial" w:hAnsi="Arial"/>
          <w:sz w:val="22"/>
          <w:szCs w:val="22"/>
          <w:color w:val="auto"/>
        </w:rPr>
        <w:t>9.5</w:t>
      </w:r>
      <w:r>
        <w:rPr>
          <w:sz w:val="20"/>
          <w:szCs w:val="20"/>
          <w:color w:val="auto"/>
        </w:rPr>
        <w:tab/>
      </w:r>
      <w:hyperlink w:anchor="page101">
        <w:r>
          <w:rPr>
            <w:rFonts w:ascii="Arial" w:cs="Arial" w:eastAsia="Arial" w:hAnsi="Arial"/>
            <w:sz w:val="21"/>
            <w:szCs w:val="21"/>
            <w:u w:val="single" w:color="auto"/>
            <w:color w:val="0000EE"/>
          </w:rPr>
          <w:t>Limitation of Liability66</w:t>
        </w:r>
      </w:hyperlink>
    </w:p>
    <w:p>
      <w:pPr>
        <w:spacing w:after="0" w:line="1" w:lineRule="exact"/>
        <w:rPr>
          <w:sz w:val="20"/>
          <w:szCs w:val="20"/>
          <w:color w:val="auto"/>
        </w:rPr>
      </w:pPr>
    </w:p>
    <w:p>
      <w:pPr>
        <w:ind w:left="940"/>
        <w:spacing w:after="0"/>
        <w:tabs>
          <w:tab w:leader="none" w:pos="1860" w:val="left"/>
        </w:tabs>
        <w:rPr>
          <w:rFonts w:ascii="Arial" w:cs="Arial" w:eastAsia="Arial" w:hAnsi="Arial"/>
          <w:sz w:val="18"/>
          <w:szCs w:val="18"/>
          <w:u w:val="single" w:color="auto"/>
          <w:color w:val="0000EE"/>
        </w:rPr>
      </w:pPr>
      <w:r>
        <w:rPr>
          <w:rFonts w:ascii="Arial" w:cs="Arial" w:eastAsia="Arial" w:hAnsi="Arial"/>
          <w:sz w:val="22"/>
          <w:szCs w:val="22"/>
          <w:color w:val="auto"/>
        </w:rPr>
        <w:t>9.6</w:t>
      </w:r>
      <w:r>
        <w:rPr>
          <w:sz w:val="20"/>
          <w:szCs w:val="20"/>
          <w:color w:val="auto"/>
        </w:rPr>
        <w:tab/>
      </w:r>
      <w:hyperlink w:anchor="page102">
        <w:r>
          <w:rPr>
            <w:rFonts w:ascii="Arial" w:cs="Arial" w:eastAsia="Arial" w:hAnsi="Arial"/>
            <w:sz w:val="18"/>
            <w:szCs w:val="18"/>
            <w:u w:val="single" w:color="auto"/>
            <w:color w:val="0000EE"/>
          </w:rPr>
          <w:t>Insurance67</w:t>
        </w:r>
      </w:hyperlink>
    </w:p>
    <w:p>
      <w:pPr>
        <w:spacing w:after="0" w:line="80"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10 TERM AND TERMINATION</w:t>
      </w:r>
      <w:hyperlink w:anchor="page102">
        <w:r>
          <w:rPr>
            <w:rFonts w:ascii="Arial" w:cs="Arial" w:eastAsia="Arial" w:hAnsi="Arial"/>
            <w:sz w:val="22"/>
            <w:szCs w:val="22"/>
            <w:u w:val="single" w:color="auto"/>
            <w:color w:val="0000EE"/>
          </w:rPr>
          <w:t>67</w:t>
        </w:r>
      </w:hyperlink>
    </w:p>
    <w:p>
      <w:pPr>
        <w:spacing w:after="0" w:line="98" w:lineRule="exact"/>
        <w:rPr>
          <w:sz w:val="20"/>
          <w:szCs w:val="20"/>
          <w:color w:val="auto"/>
        </w:rPr>
      </w:pPr>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10.1</w:t>
      </w:r>
      <w:r>
        <w:rPr>
          <w:sz w:val="20"/>
          <w:szCs w:val="20"/>
          <w:color w:val="auto"/>
        </w:rPr>
        <w:tab/>
      </w:r>
      <w:hyperlink w:anchor="page102">
        <w:r>
          <w:rPr>
            <w:rFonts w:ascii="Arial" w:cs="Arial" w:eastAsia="Arial" w:hAnsi="Arial"/>
            <w:sz w:val="19"/>
            <w:szCs w:val="19"/>
            <w:u w:val="single" w:color="auto"/>
            <w:color w:val="0000EE"/>
          </w:rPr>
          <w:t>Term and Expiration67</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10.2</w:t>
      </w:r>
      <w:r>
        <w:rPr>
          <w:sz w:val="20"/>
          <w:szCs w:val="20"/>
          <w:color w:val="auto"/>
        </w:rPr>
        <w:tab/>
      </w:r>
      <w:hyperlink w:anchor="page102">
        <w:r>
          <w:rPr>
            <w:rFonts w:ascii="Arial" w:cs="Arial" w:eastAsia="Arial" w:hAnsi="Arial"/>
            <w:sz w:val="19"/>
            <w:szCs w:val="19"/>
            <w:u w:val="single" w:color="auto"/>
            <w:color w:val="0000EE"/>
          </w:rPr>
          <w:t>Termination for Convenience by GSK67</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10.3</w:t>
      </w:r>
      <w:r>
        <w:rPr>
          <w:sz w:val="20"/>
          <w:szCs w:val="20"/>
          <w:color w:val="auto"/>
        </w:rPr>
        <w:tab/>
      </w:r>
      <w:hyperlink w:anchor="page102">
        <w:r>
          <w:rPr>
            <w:rFonts w:ascii="Arial" w:cs="Arial" w:eastAsia="Arial" w:hAnsi="Arial"/>
            <w:sz w:val="19"/>
            <w:szCs w:val="19"/>
            <w:u w:val="single" w:color="auto"/>
            <w:color w:val="0000EE"/>
          </w:rPr>
          <w:t>Termination for Material Breach67</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10.4</w:t>
      </w:r>
      <w:r>
        <w:rPr>
          <w:sz w:val="20"/>
          <w:szCs w:val="20"/>
          <w:color w:val="auto"/>
        </w:rPr>
        <w:tab/>
      </w:r>
      <w:hyperlink w:anchor="page103">
        <w:r>
          <w:rPr>
            <w:rFonts w:ascii="Arial" w:cs="Arial" w:eastAsia="Arial" w:hAnsi="Arial"/>
            <w:sz w:val="19"/>
            <w:szCs w:val="19"/>
            <w:u w:val="single" w:color="auto"/>
            <w:color w:val="0000EE"/>
          </w:rPr>
          <w:t>Termination for Insolvency68</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10.5</w:t>
      </w:r>
      <w:r>
        <w:rPr>
          <w:sz w:val="20"/>
          <w:szCs w:val="20"/>
          <w:color w:val="auto"/>
        </w:rPr>
        <w:tab/>
      </w:r>
      <w:hyperlink w:anchor="page103">
        <w:r>
          <w:rPr>
            <w:rFonts w:ascii="Arial" w:cs="Arial" w:eastAsia="Arial" w:hAnsi="Arial"/>
            <w:sz w:val="19"/>
            <w:szCs w:val="19"/>
            <w:u w:val="single" w:color="auto"/>
            <w:color w:val="0000EE"/>
          </w:rPr>
          <w:t>Termination For Safety Reasons68</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10.6</w:t>
      </w:r>
      <w:r>
        <w:rPr>
          <w:sz w:val="20"/>
          <w:szCs w:val="20"/>
          <w:color w:val="auto"/>
        </w:rPr>
        <w:tab/>
      </w:r>
      <w:hyperlink w:anchor="page104">
        <w:r>
          <w:rPr>
            <w:rFonts w:ascii="Arial" w:cs="Arial" w:eastAsia="Arial" w:hAnsi="Arial"/>
            <w:sz w:val="19"/>
            <w:szCs w:val="19"/>
            <w:u w:val="single" w:color="auto"/>
            <w:color w:val="0000EE"/>
          </w:rPr>
          <w:t>Effects of Expiration or Termination; Survival69</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10.7</w:t>
      </w:r>
      <w:r>
        <w:rPr>
          <w:sz w:val="20"/>
          <w:szCs w:val="20"/>
          <w:color w:val="auto"/>
        </w:rPr>
        <w:tab/>
      </w:r>
      <w:hyperlink w:anchor="page104">
        <w:r>
          <w:rPr>
            <w:rFonts w:ascii="Arial" w:cs="Arial" w:eastAsia="Arial" w:hAnsi="Arial"/>
            <w:sz w:val="19"/>
            <w:szCs w:val="19"/>
            <w:u w:val="single" w:color="auto"/>
            <w:color w:val="0000EE"/>
          </w:rPr>
          <w:t>Effect of Termination of the Agreement69</w:t>
        </w:r>
      </w:hyperlink>
    </w:p>
    <w:p>
      <w:pPr>
        <w:ind w:left="940"/>
        <w:spacing w:after="0"/>
        <w:tabs>
          <w:tab w:leader="none" w:pos="186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u w:val="single" w:color="auto"/>
          <w:color w:val="0000EE"/>
        </w:rPr>
        <w:t>Certain Additional Remedies of GSK in Lieu of Termination77</w:t>
      </w:r>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10.9</w:t>
      </w:r>
      <w:r>
        <w:rPr>
          <w:sz w:val="20"/>
          <w:szCs w:val="20"/>
          <w:color w:val="auto"/>
        </w:rPr>
        <w:tab/>
      </w:r>
      <w:hyperlink w:anchor="page112">
        <w:r>
          <w:rPr>
            <w:rFonts w:ascii="Arial" w:cs="Arial" w:eastAsia="Arial" w:hAnsi="Arial"/>
            <w:sz w:val="19"/>
            <w:szCs w:val="19"/>
            <w:u w:val="single" w:color="auto"/>
            <w:color w:val="0000EE"/>
          </w:rPr>
          <w:t>Bankruptcy77</w:t>
        </w:r>
      </w:hyperlink>
    </w:p>
    <w:p>
      <w:pPr>
        <w:spacing w:after="0" w:line="174" w:lineRule="exact"/>
        <w:rPr>
          <w:sz w:val="20"/>
          <w:szCs w:val="20"/>
          <w:color w:val="auto"/>
        </w:rPr>
      </w:pPr>
    </w:p>
    <w:p>
      <w:pPr>
        <w:ind w:left="1280"/>
        <w:spacing w:after="0"/>
        <w:rPr>
          <w:sz w:val="20"/>
          <w:szCs w:val="20"/>
          <w:color w:val="auto"/>
        </w:rPr>
      </w:pPr>
      <w:r>
        <w:rPr>
          <w:rFonts w:ascii="Arial" w:cs="Arial" w:eastAsia="Arial" w:hAnsi="Arial"/>
          <w:sz w:val="40"/>
          <w:szCs w:val="4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4" w:name="page35"/>
    <w:bookmarkEnd w:id="34"/>
    <w:p>
      <w:pPr>
        <w:ind w:firstLine="8"/>
        <w:spacing w:after="0" w:line="266" w:lineRule="auto"/>
        <w:tabs>
          <w:tab w:leader="none" w:pos="4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308"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11 EFFECTIVENESS</w:t>
      </w:r>
      <w:hyperlink w:anchor="page112">
        <w:r>
          <w:rPr>
            <w:rFonts w:ascii="Arial" w:cs="Arial" w:eastAsia="Arial" w:hAnsi="Arial"/>
            <w:sz w:val="22"/>
            <w:szCs w:val="22"/>
            <w:u w:val="single" w:color="auto"/>
            <w:color w:val="0000EE"/>
          </w:rPr>
          <w:t>78</w:t>
        </w:r>
      </w:hyperlink>
    </w:p>
    <w:p>
      <w:pPr>
        <w:spacing w:after="0" w:line="98" w:lineRule="exact"/>
        <w:rPr>
          <w:sz w:val="20"/>
          <w:szCs w:val="20"/>
          <w:color w:val="auto"/>
        </w:rPr>
      </w:pPr>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11.1</w:t>
      </w:r>
      <w:r>
        <w:rPr>
          <w:sz w:val="20"/>
          <w:szCs w:val="20"/>
          <w:color w:val="auto"/>
        </w:rPr>
        <w:tab/>
      </w:r>
      <w:hyperlink w:anchor="page112">
        <w:r>
          <w:rPr>
            <w:rFonts w:ascii="Arial" w:cs="Arial" w:eastAsia="Arial" w:hAnsi="Arial"/>
            <w:sz w:val="19"/>
            <w:szCs w:val="19"/>
            <w:u w:val="single" w:color="auto"/>
            <w:color w:val="0000EE"/>
          </w:rPr>
          <w:t>Effective Date78</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11.2</w:t>
      </w:r>
      <w:r>
        <w:rPr>
          <w:sz w:val="20"/>
          <w:szCs w:val="20"/>
          <w:color w:val="auto"/>
        </w:rPr>
        <w:tab/>
      </w:r>
      <w:hyperlink w:anchor="page113">
        <w:r>
          <w:rPr>
            <w:rFonts w:ascii="Arial" w:cs="Arial" w:eastAsia="Arial" w:hAnsi="Arial"/>
            <w:sz w:val="19"/>
            <w:szCs w:val="19"/>
            <w:u w:val="single" w:color="auto"/>
            <w:color w:val="0000EE"/>
          </w:rPr>
          <w:t>Filings78</w:t>
        </w:r>
      </w:hyperlink>
    </w:p>
    <w:p>
      <w:pPr>
        <w:ind w:left="940"/>
        <w:spacing w:after="0"/>
        <w:tabs>
          <w:tab w:leader="none" w:pos="1860" w:val="left"/>
        </w:tabs>
        <w:rPr>
          <w:rFonts w:ascii="Arial" w:cs="Arial" w:eastAsia="Arial" w:hAnsi="Arial"/>
          <w:sz w:val="19"/>
          <w:szCs w:val="19"/>
          <w:u w:val="single" w:color="auto"/>
          <w:color w:val="0000EE"/>
        </w:rPr>
      </w:pPr>
      <w:r>
        <w:rPr>
          <w:rFonts w:ascii="Arial" w:cs="Arial" w:eastAsia="Arial" w:hAnsi="Arial"/>
          <w:sz w:val="22"/>
          <w:szCs w:val="22"/>
          <w:color w:val="auto"/>
        </w:rPr>
        <w:t>11.3</w:t>
      </w:r>
      <w:r>
        <w:rPr>
          <w:sz w:val="20"/>
          <w:szCs w:val="20"/>
          <w:color w:val="auto"/>
        </w:rPr>
        <w:tab/>
      </w:r>
      <w:hyperlink w:anchor="page115">
        <w:r>
          <w:rPr>
            <w:rFonts w:ascii="Arial" w:cs="Arial" w:eastAsia="Arial" w:hAnsi="Arial"/>
            <w:sz w:val="19"/>
            <w:szCs w:val="19"/>
            <w:u w:val="single" w:color="auto"/>
            <w:color w:val="0000EE"/>
          </w:rPr>
          <w:t>Outside Date80</w:t>
        </w:r>
      </w:hyperlink>
    </w:p>
    <w:p>
      <w:pPr>
        <w:spacing w:after="0" w:line="80"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ARTICLE 12 DISPUTE RESOLUTION</w:t>
      </w:r>
      <w:hyperlink w:anchor="page115">
        <w:r>
          <w:rPr>
            <w:rFonts w:ascii="Arial" w:cs="Arial" w:eastAsia="Arial" w:hAnsi="Arial"/>
            <w:sz w:val="22"/>
            <w:szCs w:val="22"/>
            <w:u w:val="single" w:color="auto"/>
            <w:color w:val="0000EE"/>
          </w:rPr>
          <w:t>81</w:t>
        </w:r>
      </w:hyperlink>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gridSpan w:val="2"/>
          </w:tcPr>
          <w:p>
            <w:pPr>
              <w:ind w:left="940"/>
              <w:spacing w:after="0"/>
              <w:rPr>
                <w:sz w:val="20"/>
                <w:szCs w:val="20"/>
                <w:color w:val="auto"/>
              </w:rPr>
            </w:pPr>
            <w:r>
              <w:rPr>
                <w:rFonts w:ascii="Arial" w:cs="Arial" w:eastAsia="Arial" w:hAnsi="Arial"/>
                <w:sz w:val="22"/>
                <w:szCs w:val="22"/>
                <w:color w:val="auto"/>
              </w:rPr>
              <w:t>12.1</w:t>
            </w:r>
          </w:p>
        </w:tc>
        <w:tc>
          <w:tcPr>
            <w:tcW w:w="280" w:type="dxa"/>
            <w:vAlign w:val="bottom"/>
          </w:tcPr>
          <w:p>
            <w:pPr>
              <w:spacing w:after="0"/>
              <w:rPr>
                <w:sz w:val="21"/>
                <w:szCs w:val="21"/>
                <w:color w:val="auto"/>
              </w:rPr>
            </w:pPr>
          </w:p>
        </w:tc>
        <w:tc>
          <w:tcPr>
            <w:tcW w:w="4440" w:type="dxa"/>
            <w:vAlign w:val="bottom"/>
            <w:gridSpan w:val="24"/>
          </w:tcPr>
          <w:p>
            <w:pPr>
              <w:spacing w:after="0"/>
              <w:rPr>
                <w:rFonts w:ascii="Arial" w:cs="Arial" w:eastAsia="Arial" w:hAnsi="Arial"/>
                <w:sz w:val="22"/>
                <w:szCs w:val="22"/>
                <w:color w:val="0000EE"/>
              </w:rPr>
            </w:pPr>
            <w:hyperlink w:anchor="page115">
              <w:r>
                <w:rPr>
                  <w:rFonts w:ascii="Arial" w:cs="Arial" w:eastAsia="Arial" w:hAnsi="Arial"/>
                  <w:sz w:val="22"/>
                  <w:szCs w:val="22"/>
                  <w:color w:val="0000EE"/>
                </w:rPr>
                <w:t>Disputes81</w:t>
              </w:r>
            </w:hyperlink>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12.2</w:t>
            </w: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16">
              <w:r>
                <w:rPr>
                  <w:rFonts w:ascii="Arial" w:cs="Arial" w:eastAsia="Arial" w:hAnsi="Arial"/>
                  <w:sz w:val="22"/>
                  <w:szCs w:val="22"/>
                  <w:color w:val="0000EE"/>
                </w:rPr>
                <w:t>Escalation to Executive Officers81</w:t>
              </w:r>
            </w:hyperlink>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12.3</w:t>
            </w:r>
          </w:p>
        </w:tc>
        <w:tc>
          <w:tcPr>
            <w:tcW w:w="280" w:type="dxa"/>
            <w:vAlign w:val="bottom"/>
          </w:tcPr>
          <w:p>
            <w:pPr>
              <w:spacing w:after="0"/>
              <w:rPr>
                <w:sz w:val="19"/>
                <w:szCs w:val="19"/>
                <w:color w:val="auto"/>
              </w:rPr>
            </w:pPr>
          </w:p>
        </w:tc>
        <w:tc>
          <w:tcPr>
            <w:tcW w:w="3000" w:type="dxa"/>
            <w:vAlign w:val="bottom"/>
            <w:tcBorders>
              <w:top w:val="single" w:sz="8" w:color="0000EE"/>
            </w:tcBorders>
            <w:gridSpan w:val="19"/>
          </w:tcPr>
          <w:p>
            <w:pPr>
              <w:spacing w:after="0" w:line="223" w:lineRule="exact"/>
              <w:rPr>
                <w:rFonts w:ascii="Arial" w:cs="Arial" w:eastAsia="Arial" w:hAnsi="Arial"/>
                <w:sz w:val="22"/>
                <w:szCs w:val="22"/>
                <w:color w:val="0000EE"/>
              </w:rPr>
            </w:pPr>
            <w:hyperlink w:anchor="page116">
              <w:r>
                <w:rPr>
                  <w:rFonts w:ascii="Arial" w:cs="Arial" w:eastAsia="Arial" w:hAnsi="Arial"/>
                  <w:sz w:val="22"/>
                  <w:szCs w:val="22"/>
                  <w:color w:val="0000EE"/>
                </w:rPr>
                <w:t>Arbitration81</w:t>
              </w:r>
            </w:hyperlink>
          </w:p>
        </w:tc>
        <w:tc>
          <w:tcPr>
            <w:tcW w:w="14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12.4</w:t>
            </w: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17">
              <w:r>
                <w:rPr>
                  <w:rFonts w:ascii="Arial" w:cs="Arial" w:eastAsia="Arial" w:hAnsi="Arial"/>
                  <w:sz w:val="22"/>
                  <w:szCs w:val="22"/>
                  <w:color w:val="0000EE"/>
                </w:rPr>
                <w:t>Injunctive Relief82</w:t>
              </w:r>
            </w:hyperlink>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12.5</w:t>
            </w: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17">
              <w:r>
                <w:rPr>
                  <w:rFonts w:ascii="Arial" w:cs="Arial" w:eastAsia="Arial" w:hAnsi="Arial"/>
                  <w:sz w:val="22"/>
                  <w:szCs w:val="22"/>
                  <w:color w:val="0000EE"/>
                </w:rPr>
                <w:t>Intellectual Property Disputes82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320" w:type="dxa"/>
            <w:vAlign w:val="bottom"/>
            <w:gridSpan w:val="27"/>
          </w:tcPr>
          <w:p>
            <w:pPr>
              <w:spacing w:after="0"/>
              <w:rPr>
                <w:rFonts w:ascii="Arial" w:cs="Arial" w:eastAsia="Arial" w:hAnsi="Arial"/>
                <w:sz w:val="22"/>
                <w:szCs w:val="22"/>
                <w:color w:val="auto"/>
              </w:rPr>
            </w:pPr>
            <w:r>
              <w:rPr>
                <w:rFonts w:ascii="Arial" w:cs="Arial" w:eastAsia="Arial" w:hAnsi="Arial"/>
                <w:sz w:val="22"/>
                <w:szCs w:val="22"/>
                <w:color w:val="auto"/>
              </w:rPr>
              <w:t>ARTICLE 13 MISCELLANEOUS PROVISIONS</w:t>
            </w:r>
            <w:hyperlink w:anchor="page117">
              <w:r>
                <w:rPr>
                  <w:rFonts w:ascii="Arial" w:cs="Arial" w:eastAsia="Arial" w:hAnsi="Arial"/>
                  <w:sz w:val="22"/>
                  <w:szCs w:val="22"/>
                  <w:color w:val="0000EE"/>
                </w:rPr>
                <w:t>83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00" w:type="dxa"/>
            <w:vAlign w:val="bottom"/>
            <w:gridSpan w:val="2"/>
          </w:tcPr>
          <w:p>
            <w:pPr>
              <w:ind w:left="940"/>
              <w:spacing w:after="0"/>
              <w:rPr>
                <w:sz w:val="20"/>
                <w:szCs w:val="20"/>
                <w:color w:val="auto"/>
              </w:rPr>
            </w:pPr>
            <w:r>
              <w:rPr>
                <w:rFonts w:ascii="Arial" w:cs="Arial" w:eastAsia="Arial" w:hAnsi="Arial"/>
                <w:sz w:val="22"/>
                <w:szCs w:val="22"/>
                <w:color w:val="auto"/>
              </w:rPr>
              <w:t>13.1</w:t>
            </w:r>
          </w:p>
        </w:tc>
        <w:tc>
          <w:tcPr>
            <w:tcW w:w="280" w:type="dxa"/>
            <w:vAlign w:val="bottom"/>
          </w:tcPr>
          <w:p>
            <w:pPr>
              <w:spacing w:after="0"/>
              <w:rPr>
                <w:sz w:val="24"/>
                <w:szCs w:val="24"/>
                <w:color w:val="auto"/>
              </w:rPr>
            </w:pPr>
          </w:p>
        </w:tc>
        <w:tc>
          <w:tcPr>
            <w:tcW w:w="2500" w:type="dxa"/>
            <w:vAlign w:val="bottom"/>
            <w:tcBorders>
              <w:bottom w:val="single" w:sz="8" w:color="0000EE"/>
            </w:tcBorders>
            <w:gridSpan w:val="16"/>
          </w:tcPr>
          <w:p>
            <w:pPr>
              <w:spacing w:after="0"/>
              <w:rPr>
                <w:rFonts w:ascii="Arial" w:cs="Arial" w:eastAsia="Arial" w:hAnsi="Arial"/>
                <w:sz w:val="22"/>
                <w:szCs w:val="22"/>
                <w:color w:val="0000EE"/>
                <w:w w:val="87"/>
              </w:rPr>
            </w:pPr>
            <w:hyperlink w:anchor="page117">
              <w:r>
                <w:rPr>
                  <w:rFonts w:ascii="Arial" w:cs="Arial" w:eastAsia="Arial" w:hAnsi="Arial"/>
                  <w:sz w:val="22"/>
                  <w:szCs w:val="22"/>
                  <w:color w:val="0000EE"/>
                  <w:w w:val="87"/>
                </w:rPr>
                <w:t>Relationship of the Parties83</w:t>
              </w:r>
            </w:hyperlink>
          </w:p>
        </w:tc>
        <w:tc>
          <w:tcPr>
            <w:tcW w:w="1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13.2</w:t>
            </w:r>
          </w:p>
        </w:tc>
        <w:tc>
          <w:tcPr>
            <w:tcW w:w="280" w:type="dxa"/>
            <w:vAlign w:val="bottom"/>
          </w:tcPr>
          <w:p>
            <w:pPr>
              <w:spacing w:after="0"/>
              <w:rPr>
                <w:sz w:val="19"/>
                <w:szCs w:val="19"/>
                <w:color w:val="auto"/>
              </w:rPr>
            </w:pPr>
          </w:p>
        </w:tc>
        <w:tc>
          <w:tcPr>
            <w:tcW w:w="1240" w:type="dxa"/>
            <w:vAlign w:val="bottom"/>
            <w:tcBorders>
              <w:bottom w:val="single" w:sz="8" w:color="0000EE"/>
            </w:tcBorders>
            <w:gridSpan w:val="6"/>
          </w:tcPr>
          <w:p>
            <w:pPr>
              <w:spacing w:after="0" w:line="223" w:lineRule="exact"/>
              <w:rPr>
                <w:rFonts w:ascii="Arial" w:cs="Arial" w:eastAsia="Arial" w:hAnsi="Arial"/>
                <w:sz w:val="22"/>
                <w:szCs w:val="22"/>
                <w:color w:val="0000EE"/>
                <w:w w:val="87"/>
              </w:rPr>
            </w:pPr>
            <w:hyperlink w:anchor="page117">
              <w:r>
                <w:rPr>
                  <w:rFonts w:ascii="Arial" w:cs="Arial" w:eastAsia="Arial" w:hAnsi="Arial"/>
                  <w:sz w:val="22"/>
                  <w:szCs w:val="22"/>
                  <w:color w:val="0000EE"/>
                  <w:w w:val="87"/>
                </w:rPr>
                <w:t>Assignment83</w:t>
              </w:r>
            </w:hyperlink>
          </w:p>
        </w:tc>
        <w:tc>
          <w:tcPr>
            <w:tcW w:w="320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13.3</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18">
              <w:r>
                <w:rPr>
                  <w:rFonts w:ascii="Arial" w:cs="Arial" w:eastAsia="Arial" w:hAnsi="Arial"/>
                  <w:sz w:val="22"/>
                  <w:szCs w:val="22"/>
                  <w:color w:val="0000EE"/>
                </w:rPr>
                <w:t>Performance and Exercise by Affiliates84</w:t>
              </w:r>
            </w:hyperlink>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13.4</w:t>
            </w:r>
          </w:p>
        </w:tc>
        <w:tc>
          <w:tcPr>
            <w:tcW w:w="280" w:type="dxa"/>
            <w:vAlign w:val="bottom"/>
          </w:tcPr>
          <w:p>
            <w:pPr>
              <w:spacing w:after="0"/>
              <w:rPr>
                <w:sz w:val="19"/>
                <w:szCs w:val="19"/>
                <w:color w:val="auto"/>
              </w:rPr>
            </w:pPr>
          </w:p>
        </w:tc>
        <w:tc>
          <w:tcPr>
            <w:tcW w:w="1580" w:type="dxa"/>
            <w:vAlign w:val="bottom"/>
            <w:tcBorders>
              <w:top w:val="single" w:sz="8" w:color="0000EE"/>
              <w:bottom w:val="single" w:sz="8" w:color="0000EE"/>
            </w:tcBorders>
            <w:gridSpan w:val="12"/>
          </w:tcPr>
          <w:p>
            <w:pPr>
              <w:spacing w:after="0" w:line="223" w:lineRule="exact"/>
              <w:rPr>
                <w:rFonts w:ascii="Arial" w:cs="Arial" w:eastAsia="Arial" w:hAnsi="Arial"/>
                <w:sz w:val="22"/>
                <w:szCs w:val="22"/>
                <w:color w:val="0000EE"/>
                <w:w w:val="89"/>
              </w:rPr>
            </w:pPr>
            <w:hyperlink w:anchor="page118">
              <w:r>
                <w:rPr>
                  <w:rFonts w:ascii="Arial" w:cs="Arial" w:eastAsia="Arial" w:hAnsi="Arial"/>
                  <w:sz w:val="22"/>
                  <w:szCs w:val="22"/>
                  <w:color w:val="0000EE"/>
                  <w:w w:val="89"/>
                </w:rPr>
                <w:t>Further Actions84</w:t>
              </w:r>
            </w:hyperlink>
          </w:p>
        </w:tc>
        <w:tc>
          <w:tcPr>
            <w:tcW w:w="2020" w:type="dxa"/>
            <w:vAlign w:val="bottom"/>
            <w:tcBorders>
              <w:top w:val="single" w:sz="8" w:color="0000EE"/>
            </w:tcBorders>
            <w:gridSpan w:val="9"/>
          </w:tcPr>
          <w:p>
            <w:pPr>
              <w:spacing w:after="0"/>
              <w:rPr>
                <w:sz w:val="19"/>
                <w:szCs w:val="19"/>
                <w:color w:val="auto"/>
              </w:rPr>
            </w:pPr>
          </w:p>
        </w:tc>
        <w:tc>
          <w:tcPr>
            <w:tcW w:w="8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13.5</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19">
              <w:r>
                <w:rPr>
                  <w:rFonts w:ascii="Arial" w:cs="Arial" w:eastAsia="Arial" w:hAnsi="Arial"/>
                  <w:sz w:val="22"/>
                  <w:szCs w:val="22"/>
                  <w:color w:val="0000EE"/>
                </w:rPr>
                <w:t>Accounting Procedures84</w:t>
              </w:r>
            </w:hyperlink>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13.6</w:t>
            </w:r>
          </w:p>
        </w:tc>
        <w:tc>
          <w:tcPr>
            <w:tcW w:w="280" w:type="dxa"/>
            <w:vAlign w:val="bottom"/>
          </w:tcPr>
          <w:p>
            <w:pPr>
              <w:spacing w:after="0"/>
              <w:rPr>
                <w:sz w:val="19"/>
                <w:szCs w:val="19"/>
                <w:color w:val="auto"/>
              </w:rPr>
            </w:pPr>
          </w:p>
        </w:tc>
        <w:tc>
          <w:tcPr>
            <w:tcW w:w="1480" w:type="dxa"/>
            <w:vAlign w:val="bottom"/>
            <w:tcBorders>
              <w:top w:val="single" w:sz="8" w:color="0000EE"/>
              <w:bottom w:val="single" w:sz="8" w:color="0000EE"/>
            </w:tcBorders>
            <w:gridSpan w:val="10"/>
          </w:tcPr>
          <w:p>
            <w:pPr>
              <w:spacing w:after="0" w:line="223" w:lineRule="exact"/>
              <w:rPr>
                <w:rFonts w:ascii="Arial" w:cs="Arial" w:eastAsia="Arial" w:hAnsi="Arial"/>
                <w:sz w:val="22"/>
                <w:szCs w:val="22"/>
                <w:color w:val="0000EE"/>
                <w:w w:val="87"/>
              </w:rPr>
            </w:pPr>
            <w:hyperlink w:anchor="page119">
              <w:r>
                <w:rPr>
                  <w:rFonts w:ascii="Arial" w:cs="Arial" w:eastAsia="Arial" w:hAnsi="Arial"/>
                  <w:sz w:val="22"/>
                  <w:szCs w:val="22"/>
                  <w:color w:val="0000EE"/>
                  <w:w w:val="87"/>
                </w:rPr>
                <w:t>Force Majeure84</w:t>
              </w:r>
            </w:hyperlink>
          </w:p>
        </w:tc>
        <w:tc>
          <w:tcPr>
            <w:tcW w:w="740" w:type="dxa"/>
            <w:vAlign w:val="bottom"/>
            <w:tcBorders>
              <w:top w:val="single" w:sz="8" w:color="0000EE"/>
            </w:tcBorders>
            <w:gridSpan w:val="5"/>
          </w:tcPr>
          <w:p>
            <w:pPr>
              <w:spacing w:after="0"/>
              <w:rPr>
                <w:sz w:val="19"/>
                <w:szCs w:val="19"/>
                <w:color w:val="auto"/>
              </w:rPr>
            </w:pPr>
          </w:p>
        </w:tc>
        <w:tc>
          <w:tcPr>
            <w:tcW w:w="2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13.7</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19">
              <w:r>
                <w:rPr>
                  <w:rFonts w:ascii="Arial" w:cs="Arial" w:eastAsia="Arial" w:hAnsi="Arial"/>
                  <w:sz w:val="22"/>
                  <w:szCs w:val="22"/>
                  <w:color w:val="0000EE"/>
                </w:rPr>
                <w:t>No Trademark Rights85</w:t>
              </w:r>
            </w:hyperlink>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13.8</w:t>
            </w: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tcBorders>
              <w:bottom w:val="single" w:sz="8" w:color="0000EE"/>
            </w:tcBorders>
            <w:gridSpan w:val="20"/>
          </w:tcPr>
          <w:p>
            <w:pPr>
              <w:spacing w:after="0" w:line="223" w:lineRule="exact"/>
              <w:rPr>
                <w:rFonts w:ascii="Arial" w:cs="Arial" w:eastAsia="Arial" w:hAnsi="Arial"/>
                <w:sz w:val="22"/>
                <w:szCs w:val="22"/>
                <w:color w:val="0000EE"/>
                <w:w w:val="88"/>
              </w:rPr>
            </w:pPr>
            <w:hyperlink w:anchor="page119">
              <w:r>
                <w:rPr>
                  <w:rFonts w:ascii="Arial" w:cs="Arial" w:eastAsia="Arial" w:hAnsi="Arial"/>
                  <w:sz w:val="22"/>
                  <w:szCs w:val="22"/>
                  <w:color w:val="0000EE"/>
                  <w:w w:val="88"/>
                </w:rPr>
                <w:t>Entire Agreement; Amendments85</w:t>
              </w:r>
            </w:hyperlink>
          </w:p>
        </w:tc>
        <w:tc>
          <w:tcPr>
            <w:tcW w:w="14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13.9</w:t>
            </w:r>
          </w:p>
        </w:tc>
        <w:tc>
          <w:tcPr>
            <w:tcW w:w="280" w:type="dxa"/>
            <w:vAlign w:val="bottom"/>
          </w:tcPr>
          <w:p>
            <w:pPr>
              <w:spacing w:after="0"/>
              <w:rPr>
                <w:sz w:val="19"/>
                <w:szCs w:val="19"/>
                <w:color w:val="auto"/>
              </w:rPr>
            </w:pPr>
          </w:p>
        </w:tc>
        <w:tc>
          <w:tcPr>
            <w:tcW w:w="980" w:type="dxa"/>
            <w:vAlign w:val="bottom"/>
            <w:tcBorders>
              <w:bottom w:val="single" w:sz="8" w:color="0000EE"/>
            </w:tcBorders>
            <w:gridSpan w:val="3"/>
          </w:tcPr>
          <w:p>
            <w:pPr>
              <w:spacing w:after="0" w:line="223" w:lineRule="exact"/>
              <w:rPr>
                <w:rFonts w:ascii="Arial" w:cs="Arial" w:eastAsia="Arial" w:hAnsi="Arial"/>
                <w:sz w:val="22"/>
                <w:szCs w:val="22"/>
                <w:color w:val="0000EE"/>
                <w:w w:val="86"/>
              </w:rPr>
            </w:pPr>
            <w:hyperlink w:anchor="page120">
              <w:r>
                <w:rPr>
                  <w:rFonts w:ascii="Arial" w:cs="Arial" w:eastAsia="Arial" w:hAnsi="Arial"/>
                  <w:sz w:val="22"/>
                  <w:szCs w:val="22"/>
                  <w:color w:val="0000EE"/>
                  <w:w w:val="86"/>
                </w:rPr>
                <w:t>Captions85</w:t>
              </w:r>
            </w:hyperlink>
          </w:p>
        </w:tc>
        <w:tc>
          <w:tcPr>
            <w:tcW w:w="346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13.10</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20">
              <w:r>
                <w:rPr>
                  <w:rFonts w:ascii="Arial" w:cs="Arial" w:eastAsia="Arial" w:hAnsi="Arial"/>
                  <w:sz w:val="22"/>
                  <w:szCs w:val="22"/>
                  <w:color w:val="0000EE"/>
                </w:rPr>
                <w:t>Governing Law85</w:t>
              </w:r>
            </w:hyperlink>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13.11</w:t>
            </w:r>
          </w:p>
        </w:tc>
        <w:tc>
          <w:tcPr>
            <w:tcW w:w="280" w:type="dxa"/>
            <w:vAlign w:val="bottom"/>
          </w:tcPr>
          <w:p>
            <w:pPr>
              <w:spacing w:after="0"/>
              <w:rPr>
                <w:sz w:val="19"/>
                <w:szCs w:val="19"/>
                <w:color w:val="auto"/>
              </w:rPr>
            </w:pPr>
          </w:p>
        </w:tc>
        <w:tc>
          <w:tcPr>
            <w:tcW w:w="1560" w:type="dxa"/>
            <w:vAlign w:val="bottom"/>
            <w:tcBorders>
              <w:top w:val="single" w:sz="8" w:color="0000EE"/>
            </w:tcBorders>
            <w:gridSpan w:val="11"/>
          </w:tcPr>
          <w:p>
            <w:pPr>
              <w:spacing w:after="0" w:line="223" w:lineRule="exact"/>
              <w:rPr>
                <w:rFonts w:ascii="Arial" w:cs="Arial" w:eastAsia="Arial" w:hAnsi="Arial"/>
                <w:sz w:val="22"/>
                <w:szCs w:val="22"/>
                <w:color w:val="0000EE"/>
              </w:rPr>
            </w:pPr>
            <w:hyperlink w:anchor="page120">
              <w:r>
                <w:rPr>
                  <w:rFonts w:ascii="Arial" w:cs="Arial" w:eastAsia="Arial" w:hAnsi="Arial"/>
                  <w:sz w:val="22"/>
                  <w:szCs w:val="22"/>
                  <w:color w:val="0000EE"/>
                </w:rPr>
                <w:t>Notices85</w:t>
              </w:r>
            </w:hyperlink>
          </w:p>
        </w:tc>
        <w:tc>
          <w:tcPr>
            <w:tcW w:w="28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13.12</w:t>
            </w: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tcBorders>
              <w:bottom w:val="single" w:sz="8" w:color="0000EE"/>
            </w:tcBorders>
            <w:gridSpan w:val="22"/>
          </w:tcPr>
          <w:p>
            <w:pPr>
              <w:spacing w:after="0" w:line="223" w:lineRule="exact"/>
              <w:rPr>
                <w:rFonts w:ascii="Arial" w:cs="Arial" w:eastAsia="Arial" w:hAnsi="Arial"/>
                <w:sz w:val="22"/>
                <w:szCs w:val="22"/>
                <w:color w:val="0000EE"/>
                <w:w w:val="89"/>
              </w:rPr>
            </w:pPr>
            <w:hyperlink w:anchor="page121">
              <w:r>
                <w:rPr>
                  <w:rFonts w:ascii="Arial" w:cs="Arial" w:eastAsia="Arial" w:hAnsi="Arial"/>
                  <w:sz w:val="22"/>
                  <w:szCs w:val="22"/>
                  <w:color w:val="0000EE"/>
                  <w:w w:val="89"/>
                </w:rPr>
                <w:t>Language; Waiver of Rule of Construction86</w:t>
              </w:r>
            </w:hyperlink>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13.13</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21">
              <w:r>
                <w:rPr>
                  <w:rFonts w:ascii="Arial" w:cs="Arial" w:eastAsia="Arial" w:hAnsi="Arial"/>
                  <w:sz w:val="22"/>
                  <w:szCs w:val="22"/>
                  <w:color w:val="0000EE"/>
                </w:rPr>
                <w:t>Waiver86</w:t>
              </w:r>
            </w:hyperlink>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13.14</w:t>
            </w: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Borders>
              <w:bottom w:val="single" w:sz="8" w:color="0000EE"/>
            </w:tcBorders>
            <w:gridSpan w:val="7"/>
          </w:tcPr>
          <w:p>
            <w:pPr>
              <w:spacing w:after="0" w:line="223" w:lineRule="exact"/>
              <w:rPr>
                <w:rFonts w:ascii="Arial" w:cs="Arial" w:eastAsia="Arial" w:hAnsi="Arial"/>
                <w:sz w:val="22"/>
                <w:szCs w:val="22"/>
                <w:color w:val="0000EE"/>
                <w:w w:val="89"/>
              </w:rPr>
            </w:pPr>
            <w:hyperlink w:anchor="page121">
              <w:r>
                <w:rPr>
                  <w:rFonts w:ascii="Arial" w:cs="Arial" w:eastAsia="Arial" w:hAnsi="Arial"/>
                  <w:sz w:val="22"/>
                  <w:szCs w:val="22"/>
                  <w:color w:val="0000EE"/>
                  <w:w w:val="89"/>
                </w:rPr>
                <w:t>Severability86</w:t>
              </w:r>
            </w:hyperlink>
          </w:p>
        </w:tc>
        <w:tc>
          <w:tcPr>
            <w:tcW w:w="31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13.15</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21">
              <w:r>
                <w:rPr>
                  <w:rFonts w:ascii="Arial" w:cs="Arial" w:eastAsia="Arial" w:hAnsi="Arial"/>
                  <w:sz w:val="22"/>
                  <w:szCs w:val="22"/>
                  <w:color w:val="0000EE"/>
                </w:rPr>
                <w:t>Interpretation86</w:t>
              </w:r>
            </w:hyperlink>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13.16</w:t>
            </w:r>
          </w:p>
        </w:tc>
        <w:tc>
          <w:tcPr>
            <w:tcW w:w="280" w:type="dxa"/>
            <w:vAlign w:val="bottom"/>
          </w:tcPr>
          <w:p>
            <w:pPr>
              <w:spacing w:after="0"/>
              <w:rPr>
                <w:sz w:val="19"/>
                <w:szCs w:val="19"/>
                <w:color w:val="auto"/>
              </w:rPr>
            </w:pPr>
          </w:p>
        </w:tc>
        <w:tc>
          <w:tcPr>
            <w:tcW w:w="138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w:anchor="page122">
              <w:r>
                <w:rPr>
                  <w:rFonts w:ascii="Arial" w:cs="Arial" w:eastAsia="Arial" w:hAnsi="Arial"/>
                  <w:sz w:val="22"/>
                  <w:szCs w:val="22"/>
                  <w:color w:val="0000EE"/>
                </w:rPr>
                <w:t>Expenses87</w:t>
              </w:r>
            </w:hyperlink>
          </w:p>
        </w:tc>
        <w:tc>
          <w:tcPr>
            <w:tcW w:w="306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940"/>
              <w:spacing w:after="0" w:line="243" w:lineRule="exact"/>
              <w:rPr>
                <w:sz w:val="20"/>
                <w:szCs w:val="20"/>
                <w:color w:val="auto"/>
              </w:rPr>
            </w:pPr>
            <w:r>
              <w:rPr>
                <w:rFonts w:ascii="Arial" w:cs="Arial" w:eastAsia="Arial" w:hAnsi="Arial"/>
                <w:sz w:val="22"/>
                <w:szCs w:val="22"/>
                <w:color w:val="auto"/>
              </w:rPr>
              <w:t>13.17</w:t>
            </w:r>
          </w:p>
        </w:tc>
        <w:tc>
          <w:tcPr>
            <w:tcW w:w="2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7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tcBorders>
              <w:bottom w:val="single" w:sz="8" w:color="0000EE"/>
            </w:tcBorders>
            <w:gridSpan w:val="23"/>
          </w:tcPr>
          <w:p>
            <w:pPr>
              <w:spacing w:after="0" w:line="223" w:lineRule="exact"/>
              <w:rPr>
                <w:rFonts w:ascii="Arial" w:cs="Arial" w:eastAsia="Arial" w:hAnsi="Arial"/>
                <w:sz w:val="22"/>
                <w:szCs w:val="22"/>
                <w:color w:val="0000EE"/>
                <w:w w:val="91"/>
              </w:rPr>
            </w:pPr>
            <w:hyperlink w:anchor="page122">
              <w:r>
                <w:rPr>
                  <w:rFonts w:ascii="Arial" w:cs="Arial" w:eastAsia="Arial" w:hAnsi="Arial"/>
                  <w:sz w:val="22"/>
                  <w:szCs w:val="22"/>
                  <w:color w:val="0000EE"/>
                  <w:w w:val="91"/>
                </w:rPr>
                <w:t>Binding Effect; No Third Party Beneficiaries87</w:t>
              </w:r>
            </w:hyperlink>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ind w:left="940"/>
              <w:spacing w:after="0" w:line="223" w:lineRule="exact"/>
              <w:rPr>
                <w:sz w:val="20"/>
                <w:szCs w:val="20"/>
                <w:color w:val="auto"/>
              </w:rPr>
            </w:pPr>
            <w:r>
              <w:rPr>
                <w:rFonts w:ascii="Arial" w:cs="Arial" w:eastAsia="Arial" w:hAnsi="Arial"/>
                <w:sz w:val="22"/>
                <w:szCs w:val="22"/>
                <w:color w:val="auto"/>
              </w:rPr>
              <w:t>13.18</w:t>
            </w:r>
          </w:p>
        </w:tc>
        <w:tc>
          <w:tcPr>
            <w:tcW w:w="280" w:type="dxa"/>
            <w:vAlign w:val="bottom"/>
          </w:tcPr>
          <w:p>
            <w:pPr>
              <w:spacing w:after="0"/>
              <w:rPr>
                <w:sz w:val="19"/>
                <w:szCs w:val="19"/>
                <w:color w:val="auto"/>
              </w:rPr>
            </w:pPr>
          </w:p>
        </w:tc>
        <w:tc>
          <w:tcPr>
            <w:tcW w:w="4440" w:type="dxa"/>
            <w:vAlign w:val="bottom"/>
            <w:gridSpan w:val="24"/>
          </w:tcPr>
          <w:p>
            <w:pPr>
              <w:spacing w:after="0" w:line="223" w:lineRule="exact"/>
              <w:rPr>
                <w:rFonts w:ascii="Arial" w:cs="Arial" w:eastAsia="Arial" w:hAnsi="Arial"/>
                <w:sz w:val="22"/>
                <w:szCs w:val="22"/>
                <w:color w:val="0000EE"/>
              </w:rPr>
            </w:pPr>
            <w:hyperlink w:anchor="page122">
              <w:r>
                <w:rPr>
                  <w:rFonts w:ascii="Arial" w:cs="Arial" w:eastAsia="Arial" w:hAnsi="Arial"/>
                  <w:sz w:val="22"/>
                  <w:szCs w:val="22"/>
                  <w:color w:val="0000EE"/>
                </w:rPr>
                <w:t>Counterparts87</w:t>
              </w:r>
            </w:hyperlink>
          </w:p>
        </w:tc>
        <w:tc>
          <w:tcPr>
            <w:tcW w:w="0" w:type="dxa"/>
            <w:vAlign w:val="bottom"/>
          </w:tcPr>
          <w:p>
            <w:pPr>
              <w:spacing w:after="0"/>
              <w:rPr>
                <w:sz w:val="1"/>
                <w:szCs w:val="1"/>
                <w:color w:val="auto"/>
              </w:rPr>
            </w:pPr>
          </w:p>
        </w:tc>
      </w:tr>
      <w:tr>
        <w:trPr>
          <w:trHeight w:val="709"/>
        </w:trPr>
        <w:tc>
          <w:tcPr>
            <w:tcW w:w="1600" w:type="dxa"/>
            <w:vAlign w:val="bottom"/>
            <w:gridSpan w:val="2"/>
          </w:tcPr>
          <w:p>
            <w:pPr>
              <w:spacing w:after="0"/>
              <w:rPr>
                <w:sz w:val="20"/>
                <w:szCs w:val="20"/>
                <w:color w:val="auto"/>
              </w:rPr>
            </w:pPr>
            <w:r>
              <w:rPr>
                <w:rFonts w:ascii="Arial" w:cs="Arial" w:eastAsia="Arial" w:hAnsi="Arial"/>
                <w:sz w:val="22"/>
                <w:szCs w:val="22"/>
                <w:b w:val="1"/>
                <w:bCs w:val="1"/>
                <w:color w:val="auto"/>
              </w:rPr>
              <w:t>Schedules</w:t>
            </w:r>
          </w:p>
        </w:tc>
        <w:tc>
          <w:tcPr>
            <w:tcW w:w="2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600" w:type="dxa"/>
            <w:vAlign w:val="bottom"/>
            <w:gridSpan w:val="2"/>
          </w:tcPr>
          <w:p>
            <w:pPr>
              <w:spacing w:after="0"/>
              <w:rPr>
                <w:sz w:val="20"/>
                <w:szCs w:val="20"/>
                <w:color w:val="auto"/>
              </w:rPr>
            </w:pPr>
            <w:r>
              <w:rPr>
                <w:rFonts w:ascii="Arial" w:cs="Arial" w:eastAsia="Arial" w:hAnsi="Arial"/>
                <w:sz w:val="22"/>
                <w:szCs w:val="22"/>
                <w:color w:val="auto"/>
              </w:rPr>
              <w:t>Schedule 1.11</w:t>
            </w:r>
          </w:p>
        </w:tc>
        <w:tc>
          <w:tcPr>
            <w:tcW w:w="280" w:type="dxa"/>
            <w:vAlign w:val="bottom"/>
          </w:tcPr>
          <w:p>
            <w:pPr>
              <w:spacing w:after="0"/>
              <w:rPr>
                <w:sz w:val="24"/>
                <w:szCs w:val="24"/>
                <w:color w:val="auto"/>
              </w:rPr>
            </w:pPr>
          </w:p>
        </w:tc>
        <w:tc>
          <w:tcPr>
            <w:tcW w:w="4440" w:type="dxa"/>
            <w:vAlign w:val="bottom"/>
            <w:gridSpan w:val="24"/>
          </w:tcPr>
          <w:p>
            <w:pPr>
              <w:spacing w:after="0"/>
              <w:rPr>
                <w:sz w:val="20"/>
                <w:szCs w:val="20"/>
                <w:color w:val="auto"/>
              </w:rPr>
            </w:pPr>
            <w:r>
              <w:rPr>
                <w:rFonts w:ascii="Arial" w:cs="Arial" w:eastAsia="Arial" w:hAnsi="Arial"/>
                <w:sz w:val="22"/>
                <w:szCs w:val="22"/>
                <w:color w:val="auto"/>
                <w:w w:val="89"/>
              </w:rPr>
              <w:t>Antitrust Clearance Waiting Periods and Approvals</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1.12</w:t>
            </w:r>
          </w:p>
        </w:tc>
        <w:tc>
          <w:tcPr>
            <w:tcW w:w="280" w:type="dxa"/>
            <w:vAlign w:val="bottom"/>
          </w:tcPr>
          <w:p>
            <w:pPr>
              <w:spacing w:after="0"/>
              <w:rPr>
                <w:sz w:val="21"/>
                <w:szCs w:val="21"/>
                <w:color w:val="auto"/>
              </w:rPr>
            </w:pPr>
          </w:p>
        </w:tc>
        <w:tc>
          <w:tcPr>
            <w:tcW w:w="4440" w:type="dxa"/>
            <w:vAlign w:val="bottom"/>
            <w:gridSpan w:val="24"/>
          </w:tcPr>
          <w:p>
            <w:pPr>
              <w:spacing w:after="0" w:line="243" w:lineRule="exact"/>
              <w:rPr>
                <w:sz w:val="20"/>
                <w:szCs w:val="20"/>
                <w:color w:val="auto"/>
              </w:rPr>
            </w:pPr>
            <w:r>
              <w:rPr>
                <w:rFonts w:ascii="Arial" w:cs="Arial" w:eastAsia="Arial" w:hAnsi="Arial"/>
                <w:sz w:val="22"/>
                <w:szCs w:val="22"/>
                <w:color w:val="auto"/>
              </w:rPr>
              <w:t>Antitrust Filings</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1.20</w:t>
            </w:r>
          </w:p>
        </w:tc>
        <w:tc>
          <w:tcPr>
            <w:tcW w:w="280" w:type="dxa"/>
            <w:vAlign w:val="bottom"/>
          </w:tcPr>
          <w:p>
            <w:pPr>
              <w:spacing w:after="0"/>
              <w:rPr>
                <w:sz w:val="21"/>
                <w:szCs w:val="21"/>
                <w:color w:val="auto"/>
              </w:rPr>
            </w:pPr>
          </w:p>
        </w:tc>
        <w:tc>
          <w:tcPr>
            <w:tcW w:w="4440" w:type="dxa"/>
            <w:vAlign w:val="bottom"/>
            <w:gridSpan w:val="24"/>
          </w:tcPr>
          <w:p>
            <w:pPr>
              <w:spacing w:after="0" w:line="243" w:lineRule="exact"/>
              <w:rPr>
                <w:sz w:val="20"/>
                <w:szCs w:val="20"/>
                <w:color w:val="auto"/>
              </w:rPr>
            </w:pPr>
            <w:r>
              <w:rPr>
                <w:rFonts w:ascii="Arial" w:cs="Arial" w:eastAsia="Arial" w:hAnsi="Arial"/>
                <w:sz w:val="22"/>
                <w:szCs w:val="22"/>
                <w:color w:val="auto"/>
              </w:rPr>
              <w:t>Arrowhead HSD17B13-Specific Patents</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1.25</w:t>
            </w:r>
          </w:p>
        </w:tc>
        <w:tc>
          <w:tcPr>
            <w:tcW w:w="280" w:type="dxa"/>
            <w:vAlign w:val="bottom"/>
          </w:tcPr>
          <w:p>
            <w:pPr>
              <w:spacing w:after="0"/>
              <w:rPr>
                <w:sz w:val="21"/>
                <w:szCs w:val="21"/>
                <w:color w:val="auto"/>
              </w:rPr>
            </w:pPr>
          </w:p>
        </w:tc>
        <w:tc>
          <w:tcPr>
            <w:tcW w:w="4440" w:type="dxa"/>
            <w:vAlign w:val="bottom"/>
            <w:gridSpan w:val="24"/>
          </w:tcPr>
          <w:p>
            <w:pPr>
              <w:spacing w:after="0" w:line="243" w:lineRule="exact"/>
              <w:rPr>
                <w:sz w:val="20"/>
                <w:szCs w:val="20"/>
                <w:color w:val="auto"/>
              </w:rPr>
            </w:pPr>
            <w:r>
              <w:rPr>
                <w:rFonts w:ascii="Arial" w:cs="Arial" w:eastAsia="Arial" w:hAnsi="Arial"/>
                <w:sz w:val="22"/>
                <w:szCs w:val="22"/>
                <w:color w:val="auto"/>
              </w:rPr>
              <w:t>Existing Arrowhead Materials</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1.27</w:t>
            </w:r>
          </w:p>
        </w:tc>
        <w:tc>
          <w:tcPr>
            <w:tcW w:w="280" w:type="dxa"/>
            <w:vAlign w:val="bottom"/>
          </w:tcPr>
          <w:p>
            <w:pPr>
              <w:spacing w:after="0"/>
              <w:rPr>
                <w:sz w:val="21"/>
                <w:szCs w:val="21"/>
                <w:color w:val="auto"/>
              </w:rPr>
            </w:pPr>
          </w:p>
        </w:tc>
        <w:tc>
          <w:tcPr>
            <w:tcW w:w="4440" w:type="dxa"/>
            <w:vAlign w:val="bottom"/>
            <w:gridSpan w:val="24"/>
          </w:tcPr>
          <w:p>
            <w:pPr>
              <w:spacing w:after="0" w:line="243" w:lineRule="exact"/>
              <w:rPr>
                <w:sz w:val="20"/>
                <w:szCs w:val="20"/>
                <w:color w:val="auto"/>
              </w:rPr>
            </w:pPr>
            <w:r>
              <w:rPr>
                <w:rFonts w:ascii="Arial" w:cs="Arial" w:eastAsia="Arial" w:hAnsi="Arial"/>
                <w:sz w:val="22"/>
                <w:szCs w:val="22"/>
                <w:color w:val="auto"/>
              </w:rPr>
              <w:t>Arrowhead Platform Patents</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1.28</w:t>
            </w:r>
          </w:p>
        </w:tc>
        <w:tc>
          <w:tcPr>
            <w:tcW w:w="280" w:type="dxa"/>
            <w:vAlign w:val="bottom"/>
          </w:tcPr>
          <w:p>
            <w:pPr>
              <w:spacing w:after="0"/>
              <w:rPr>
                <w:sz w:val="21"/>
                <w:szCs w:val="21"/>
                <w:color w:val="auto"/>
              </w:rPr>
            </w:pPr>
          </w:p>
        </w:tc>
        <w:tc>
          <w:tcPr>
            <w:tcW w:w="4440" w:type="dxa"/>
            <w:vAlign w:val="bottom"/>
            <w:gridSpan w:val="24"/>
          </w:tcPr>
          <w:p>
            <w:pPr>
              <w:spacing w:after="0" w:line="243" w:lineRule="exact"/>
              <w:rPr>
                <w:sz w:val="20"/>
                <w:szCs w:val="20"/>
                <w:color w:val="auto"/>
              </w:rPr>
            </w:pPr>
            <w:r>
              <w:rPr>
                <w:rFonts w:ascii="Arial" w:cs="Arial" w:eastAsia="Arial" w:hAnsi="Arial"/>
                <w:sz w:val="22"/>
                <w:szCs w:val="22"/>
                <w:color w:val="auto"/>
              </w:rPr>
              <w:t>Arrowhead Pre-Existing Agreements</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1.53</w:t>
            </w:r>
          </w:p>
        </w:tc>
        <w:tc>
          <w:tcPr>
            <w:tcW w:w="280" w:type="dxa"/>
            <w:vAlign w:val="bottom"/>
          </w:tcPr>
          <w:p>
            <w:pPr>
              <w:spacing w:after="0"/>
              <w:rPr>
                <w:sz w:val="21"/>
                <w:szCs w:val="21"/>
                <w:color w:val="auto"/>
              </w:rPr>
            </w:pPr>
          </w:p>
        </w:tc>
        <w:tc>
          <w:tcPr>
            <w:tcW w:w="4440" w:type="dxa"/>
            <w:vAlign w:val="bottom"/>
            <w:gridSpan w:val="24"/>
          </w:tcPr>
          <w:p>
            <w:pPr>
              <w:spacing w:after="0" w:line="243" w:lineRule="exact"/>
              <w:rPr>
                <w:sz w:val="20"/>
                <w:szCs w:val="20"/>
                <w:color w:val="auto"/>
              </w:rPr>
            </w:pPr>
            <w:r>
              <w:rPr>
                <w:rFonts w:ascii="Arial" w:cs="Arial" w:eastAsia="Arial" w:hAnsi="Arial"/>
                <w:sz w:val="22"/>
                <w:szCs w:val="22"/>
                <w:color w:val="auto"/>
              </w:rPr>
              <w:t>Compound</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2.4</w:t>
            </w:r>
          </w:p>
        </w:tc>
        <w:tc>
          <w:tcPr>
            <w:tcW w:w="4720" w:type="dxa"/>
            <w:vAlign w:val="bottom"/>
            <w:gridSpan w:val="25"/>
          </w:tcPr>
          <w:p>
            <w:pPr>
              <w:ind w:left="180"/>
              <w:spacing w:after="0" w:line="243" w:lineRule="exact"/>
              <w:rPr>
                <w:sz w:val="20"/>
                <w:szCs w:val="20"/>
                <w:color w:val="auto"/>
              </w:rPr>
            </w:pPr>
            <w:r>
              <w:rPr>
                <w:rFonts w:ascii="Arial" w:cs="Arial" w:eastAsia="Arial" w:hAnsi="Arial"/>
                <w:sz w:val="22"/>
                <w:szCs w:val="22"/>
                <w:color w:val="auto"/>
                <w:w w:val="94"/>
              </w:rPr>
              <w:t>Technology Transfer Plan and Delivery Schedule</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line="243" w:lineRule="exact"/>
              <w:rPr>
                <w:sz w:val="20"/>
                <w:szCs w:val="20"/>
                <w:color w:val="auto"/>
              </w:rPr>
            </w:pPr>
            <w:r>
              <w:rPr>
                <w:rFonts w:ascii="Arial" w:cs="Arial" w:eastAsia="Arial" w:hAnsi="Arial"/>
                <w:sz w:val="22"/>
                <w:szCs w:val="22"/>
                <w:color w:val="auto"/>
              </w:rPr>
              <w:t>Schedule 3.3</w:t>
            </w:r>
          </w:p>
        </w:tc>
        <w:tc>
          <w:tcPr>
            <w:tcW w:w="4720" w:type="dxa"/>
            <w:vAlign w:val="bottom"/>
            <w:gridSpan w:val="25"/>
          </w:tcPr>
          <w:p>
            <w:pPr>
              <w:ind w:left="180"/>
              <w:spacing w:after="0" w:line="243" w:lineRule="exact"/>
              <w:rPr>
                <w:sz w:val="20"/>
                <w:szCs w:val="20"/>
                <w:color w:val="auto"/>
              </w:rPr>
            </w:pPr>
            <w:r>
              <w:rPr>
                <w:rFonts w:ascii="Arial" w:cs="Arial" w:eastAsia="Arial" w:hAnsi="Arial"/>
                <w:sz w:val="22"/>
                <w:szCs w:val="22"/>
                <w:color w:val="auto"/>
              </w:rPr>
              <w:t>Key Clinical Supply Agreement Terms</w:t>
            </w:r>
          </w:p>
        </w:tc>
        <w:tc>
          <w:tcPr>
            <w:tcW w:w="0" w:type="dxa"/>
            <w:vAlign w:val="bottom"/>
          </w:tcPr>
          <w:p>
            <w:pPr>
              <w:spacing w:after="0"/>
              <w:rPr>
                <w:sz w:val="1"/>
                <w:szCs w:val="1"/>
                <w:color w:val="auto"/>
              </w:rPr>
            </w:pPr>
          </w:p>
        </w:tc>
      </w:tr>
      <w:tr>
        <w:trPr>
          <w:trHeight w:val="274"/>
        </w:trPr>
        <w:tc>
          <w:tcPr>
            <w:tcW w:w="1600" w:type="dxa"/>
            <w:vAlign w:val="bottom"/>
            <w:gridSpan w:val="2"/>
          </w:tcPr>
          <w:p>
            <w:pPr>
              <w:spacing w:after="0"/>
              <w:rPr>
                <w:sz w:val="20"/>
                <w:szCs w:val="20"/>
                <w:color w:val="auto"/>
              </w:rPr>
            </w:pPr>
            <w:r>
              <w:rPr>
                <w:rFonts w:ascii="Arial" w:cs="Arial" w:eastAsia="Arial" w:hAnsi="Arial"/>
                <w:sz w:val="22"/>
                <w:szCs w:val="22"/>
                <w:color w:val="auto"/>
              </w:rPr>
              <w:t>Schedule 3.4</w:t>
            </w:r>
          </w:p>
        </w:tc>
        <w:tc>
          <w:tcPr>
            <w:tcW w:w="4720" w:type="dxa"/>
            <w:vAlign w:val="bottom"/>
            <w:gridSpan w:val="25"/>
          </w:tcPr>
          <w:p>
            <w:pPr>
              <w:ind w:left="180"/>
              <w:spacing w:after="0"/>
              <w:rPr>
                <w:sz w:val="20"/>
                <w:szCs w:val="20"/>
                <w:color w:val="auto"/>
              </w:rPr>
            </w:pPr>
            <w:r>
              <w:rPr>
                <w:rFonts w:ascii="Arial" w:cs="Arial" w:eastAsia="Arial" w:hAnsi="Arial"/>
                <w:sz w:val="22"/>
                <w:szCs w:val="22"/>
                <w:color w:val="auto"/>
              </w:rPr>
              <w:t>Ongoing Phase I Clinical Trial Plan</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280"/>
        <w:spacing w:after="0"/>
        <w:rPr>
          <w:sz w:val="20"/>
          <w:szCs w:val="20"/>
          <w:color w:val="auto"/>
        </w:rPr>
      </w:pPr>
      <w:r>
        <w:rPr>
          <w:rFonts w:ascii="Arial" w:cs="Arial" w:eastAsia="Arial" w:hAnsi="Arial"/>
          <w:sz w:val="40"/>
          <w:szCs w:val="4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5" w:name="page36"/>
    <w:bookmarkEnd w:id="35"/>
    <w:p>
      <w:pPr>
        <w:ind w:firstLine="8"/>
        <w:spacing w:after="0" w:line="266" w:lineRule="auto"/>
        <w:tabs>
          <w:tab w:leader="none" w:pos="43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Schedule 3.10 Schedule 5.5 Schedule 7.5 Schedule 8.2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Additional Data Integrity and Handling of Human Biological Samples Terms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Invoicing and Bank Details Format</w:t>
      </w:r>
    </w:p>
    <w:p>
      <w:pPr>
        <w:spacing w:after="0" w:line="230" w:lineRule="auto"/>
        <w:rPr>
          <w:sz w:val="20"/>
          <w:szCs w:val="20"/>
          <w:color w:val="auto"/>
        </w:rPr>
      </w:pPr>
      <w:r>
        <w:rPr>
          <w:rFonts w:ascii="Arial" w:cs="Arial" w:eastAsia="Arial" w:hAnsi="Arial"/>
          <w:sz w:val="22"/>
          <w:szCs w:val="22"/>
          <w:color w:val="auto"/>
        </w:rPr>
        <w:t>Arrowhead Press Release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Arrowhead Disclosure Schedules</w:t>
      </w:r>
    </w:p>
    <w:p>
      <w:pPr>
        <w:spacing w:after="0" w:line="245" w:lineRule="exact"/>
        <w:rPr>
          <w:sz w:val="20"/>
          <w:szCs w:val="20"/>
          <w:color w:val="auto"/>
        </w:rPr>
      </w:pPr>
    </w:p>
    <w:p>
      <w:pPr>
        <w:sectPr>
          <w:pgSz w:w="11900" w:h="16838" w:orient="portrait"/>
          <w:cols w:equalWidth="0" w:num="2">
            <w:col w:w="1240" w:space="540"/>
            <w:col w:w="9200"/>
          </w:cols>
          <w:pgMar w:left="320" w:top="121" w:right="59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1280"/>
        <w:spacing w:after="0"/>
        <w:rPr>
          <w:sz w:val="20"/>
          <w:szCs w:val="20"/>
          <w:color w:val="auto"/>
        </w:rPr>
      </w:pPr>
      <w:r>
        <w:rPr>
          <w:rFonts w:ascii="Arial" w:cs="Arial" w:eastAsia="Arial" w:hAnsi="Arial"/>
          <w:sz w:val="40"/>
          <w:szCs w:val="4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36" w:name="page37"/>
    <w:bookmarkEnd w:id="36"/>
    <w:p>
      <w:pPr>
        <w:ind w:right="260" w:firstLine="8"/>
        <w:spacing w:after="0" w:line="266" w:lineRule="auto"/>
        <w:tabs>
          <w:tab w:leader="none" w:pos="4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EXCLUSIVE LICENSE AGREEMENT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This Exclusive License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dated as of 22 November, 2021 (the “</w:t>
      </w:r>
      <w:r>
        <w:rPr>
          <w:rFonts w:ascii="Arial" w:cs="Arial" w:eastAsia="Arial" w:hAnsi="Arial"/>
          <w:sz w:val="22"/>
          <w:szCs w:val="22"/>
          <w:b w:val="1"/>
          <w:bCs w:val="1"/>
          <w:color w:val="auto"/>
        </w:rPr>
        <w:t>Execution Date</w:t>
      </w:r>
      <w:r>
        <w:rPr>
          <w:rFonts w:ascii="Arial" w:cs="Arial" w:eastAsia="Arial" w:hAnsi="Arial"/>
          <w:sz w:val="22"/>
          <w:szCs w:val="22"/>
          <w:color w:val="auto"/>
        </w:rPr>
        <w:t>”), by and between GlaxoSmithKline Intellectual Property (No. 3) Limited, a company existing under the laws of England, with offices at 980 Great West Road, Brentford, Middlesex, TW8 9GS (“</w:t>
      </w:r>
      <w:r>
        <w:rPr>
          <w:rFonts w:ascii="Arial" w:cs="Arial" w:eastAsia="Arial" w:hAnsi="Arial"/>
          <w:sz w:val="22"/>
          <w:szCs w:val="22"/>
          <w:b w:val="1"/>
          <w:bCs w:val="1"/>
          <w:color w:val="auto"/>
        </w:rPr>
        <w:t>GSK</w:t>
      </w:r>
      <w:r>
        <w:rPr>
          <w:rFonts w:ascii="Arial" w:cs="Arial" w:eastAsia="Arial" w:hAnsi="Arial"/>
          <w:sz w:val="22"/>
          <w:szCs w:val="22"/>
          <w:color w:val="auto"/>
        </w:rPr>
        <w:t>”) and Arrowhead Pharmaceuticals, Inc., a corporation organized under the laws of Delaware and having a place of business at 177 East Colorado Boulevard, Suite 700, Pasadena, CA 91105 (“</w:t>
      </w:r>
      <w:r>
        <w:rPr>
          <w:rFonts w:ascii="Arial" w:cs="Arial" w:eastAsia="Arial" w:hAnsi="Arial"/>
          <w:sz w:val="22"/>
          <w:szCs w:val="22"/>
          <w:b w:val="1"/>
          <w:bCs w:val="1"/>
          <w:color w:val="auto"/>
        </w:rPr>
        <w:t>Arrowhead</w:t>
      </w:r>
      <w:r>
        <w:rPr>
          <w:rFonts w:ascii="Arial" w:cs="Arial" w:eastAsia="Arial" w:hAnsi="Arial"/>
          <w:sz w:val="22"/>
          <w:szCs w:val="22"/>
          <w:color w:val="auto"/>
        </w:rPr>
        <w:t>”). Each of GSK and Arrowhead may be individually referred to herein as a “</w:t>
      </w:r>
      <w:r>
        <w:rPr>
          <w:rFonts w:ascii="Arial" w:cs="Arial" w:eastAsia="Arial" w:hAnsi="Arial"/>
          <w:sz w:val="22"/>
          <w:szCs w:val="22"/>
          <w:b w:val="1"/>
          <w:bCs w:val="1"/>
          <w:color w:val="auto"/>
        </w:rPr>
        <w:t>Party</w:t>
      </w:r>
      <w:r>
        <w:rPr>
          <w:rFonts w:ascii="Arial" w:cs="Arial" w:eastAsia="Arial" w:hAnsi="Arial"/>
          <w:sz w:val="22"/>
          <w:szCs w:val="22"/>
          <w:color w:val="auto"/>
        </w:rPr>
        <w:t>” or, collectively, as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Arrowhead possesses certain Patents, Know-How and expertise with respect to the Compound;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GSK possesses expertise in developing and commercializing human therapeutics; and</w:t>
      </w:r>
    </w:p>
    <w:p>
      <w:pPr>
        <w:spacing w:after="0" w:line="17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GSK desires to acquire from Arrowhead, and Arrowhead desires to grant to GSK, an exclusive license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Arrowhead Technology to Develop, Manufacture and Commercialize Products in the GSK Territory.</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undertakings set forth herein, and intending to be legally</w:t>
      </w:r>
      <w:r>
        <w:rPr>
          <w:rFonts w:ascii="Arial" w:cs="Arial" w:eastAsia="Arial" w:hAnsi="Arial"/>
          <w:sz w:val="22"/>
          <w:szCs w:val="22"/>
          <w:b w:val="1"/>
          <w:bCs w:val="1"/>
          <w:color w:val="auto"/>
        </w:rPr>
        <w:t xml:space="preserve"> </w:t>
      </w:r>
      <w:r>
        <w:rPr>
          <w:rFonts w:ascii="Arial" w:cs="Arial" w:eastAsia="Arial" w:hAnsi="Arial"/>
          <w:sz w:val="22"/>
          <w:szCs w:val="22"/>
          <w:color w:val="auto"/>
        </w:rPr>
        <w:t>bound hereby, the Parties agree as follows:</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Unless otherwise defined elsewhere in the Agreement, all capitalized terms shall have the following meanings:</w:t>
      </w:r>
    </w:p>
    <w:p>
      <w:pPr>
        <w:spacing w:after="0" w:line="200" w:lineRule="exact"/>
        <w:rPr>
          <w:sz w:val="20"/>
          <w:szCs w:val="20"/>
          <w:color w:val="auto"/>
        </w:rPr>
      </w:pPr>
    </w:p>
    <w:p>
      <w:pPr>
        <w:jc w:val="both"/>
        <w:ind w:left="440" w:right="20" w:hanging="431"/>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color w:val="auto"/>
        </w:rPr>
        <w:t>Abbreviated New Drug Application</w:t>
      </w:r>
      <w:r>
        <w:rPr>
          <w:rFonts w:ascii="Arial" w:cs="Arial" w:eastAsia="Arial" w:hAnsi="Arial"/>
          <w:sz w:val="22"/>
          <w:szCs w:val="22"/>
          <w:color w:val="auto"/>
        </w:rPr>
        <w:t>” or “</w:t>
      </w:r>
      <w:r>
        <w:rPr>
          <w:rFonts w:ascii="Arial" w:cs="Arial" w:eastAsia="Arial" w:hAnsi="Arial"/>
          <w:sz w:val="22"/>
          <w:szCs w:val="22"/>
          <w:b w:val="1"/>
          <w:bCs w:val="1"/>
          <w:color w:val="auto"/>
        </w:rPr>
        <w:t>ANDA</w:t>
      </w:r>
      <w:r>
        <w:rPr>
          <w:rFonts w:ascii="Arial" w:cs="Arial" w:eastAsia="Arial" w:hAnsi="Arial"/>
          <w:sz w:val="22"/>
          <w:szCs w:val="22"/>
          <w:color w:val="auto"/>
        </w:rPr>
        <w:t>” has the meaning set forth in the FD&amp;C Act (21 U.S.C. § 355(b)(2), 21</w:t>
      </w:r>
      <w:r>
        <w:rPr>
          <w:rFonts w:ascii="Arial" w:cs="Arial" w:eastAsia="Arial" w:hAnsi="Arial"/>
          <w:sz w:val="22"/>
          <w:szCs w:val="22"/>
          <w:b w:val="1"/>
          <w:bCs w:val="1"/>
          <w:color w:val="auto"/>
        </w:rPr>
        <w:t xml:space="preserve"> </w:t>
      </w:r>
      <w:r>
        <w:rPr>
          <w:rFonts w:ascii="Arial" w:cs="Arial" w:eastAsia="Arial" w:hAnsi="Arial"/>
          <w:sz w:val="22"/>
          <w:szCs w:val="22"/>
          <w:color w:val="auto"/>
        </w:rPr>
        <w:t>U.S.C. § 355(j) and 21 C.F.R. § 314.3), as amended.</w:t>
      </w:r>
    </w:p>
    <w:p>
      <w:pPr>
        <w:spacing w:after="0" w:line="162" w:lineRule="exact"/>
        <w:rPr>
          <w:sz w:val="20"/>
          <w:szCs w:val="20"/>
          <w:color w:val="auto"/>
        </w:rPr>
      </w:pPr>
    </w:p>
    <w:p>
      <w:pPr>
        <w:jc w:val="both"/>
        <w:ind w:left="440" w:hanging="431"/>
        <w:spacing w:after="0" w:line="30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b w:val="1"/>
          <w:bCs w:val="1"/>
          <w:color w:val="auto"/>
        </w:rPr>
        <w:t>Accounting Standard</w:t>
      </w:r>
      <w:r>
        <w:rPr>
          <w:rFonts w:ascii="Arial" w:cs="Arial" w:eastAsia="Arial" w:hAnsi="Arial"/>
          <w:sz w:val="19"/>
          <w:szCs w:val="19"/>
          <w:color w:val="auto"/>
        </w:rPr>
        <w:t>” means, with respect to a Party, (a) United States generally accepted accounting principles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or (b) International Financial Reporting Standards (“</w:t>
      </w:r>
      <w:r>
        <w:rPr>
          <w:rFonts w:ascii="Arial" w:cs="Arial" w:eastAsia="Arial" w:hAnsi="Arial"/>
          <w:sz w:val="19"/>
          <w:szCs w:val="19"/>
          <w:b w:val="1"/>
          <w:bCs w:val="1"/>
          <w:color w:val="auto"/>
        </w:rPr>
        <w:t>IFRS</w:t>
      </w:r>
      <w:r>
        <w:rPr>
          <w:rFonts w:ascii="Arial" w:cs="Arial" w:eastAsia="Arial" w:hAnsi="Arial"/>
          <w:sz w:val="19"/>
          <w:szCs w:val="19"/>
          <w:color w:val="auto"/>
        </w:rPr>
        <w:t>”), depending on which accounting standard is normally applied by such Party with respect to the filing of its reporting, as applicable, in each case, consistently applied.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color w:val="auto"/>
        </w:rPr>
        <w:t>Acquired Business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2.7(c)</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w:t>
      </w:r>
      <w:r>
        <w:rPr>
          <w:rFonts w:ascii="Arial" w:cs="Arial" w:eastAsia="Arial" w:hAnsi="Arial"/>
          <w:sz w:val="22"/>
          <w:szCs w:val="22"/>
          <w:b w:val="1"/>
          <w:bCs w:val="1"/>
          <w:color w:val="auto"/>
        </w:rPr>
        <w:t>Acquirer</w:t>
      </w:r>
      <w:r>
        <w:rPr>
          <w:rFonts w:ascii="Arial" w:cs="Arial" w:eastAsia="Arial" w:hAnsi="Arial"/>
          <w:sz w:val="22"/>
          <w:szCs w:val="22"/>
          <w:color w:val="auto"/>
        </w:rPr>
        <w:t>” means, collectively, the Third Party referenced in the definition of Change of Control and such Third Party’s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other than the applicable Party in the definition of Change of Control and such Party’s Affiliates, determined as of immediately prior to the closing of such Change of Control.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right="260" w:firstLine="8"/>
        <w:spacing w:after="0" w:line="266" w:lineRule="auto"/>
        <w:tabs>
          <w:tab w:leader="none" w:pos="43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Adverse Event</w:t>
      </w:r>
      <w:r>
        <w:rPr>
          <w:rFonts w:ascii="Arial" w:cs="Arial" w:eastAsia="Arial" w:hAnsi="Arial"/>
          <w:sz w:val="22"/>
          <w:szCs w:val="22"/>
          <w:color w:val="auto"/>
        </w:rPr>
        <w:t>” means any untoward medical occurrence in a patient or subject with respect to any product, which does</w:t>
      </w:r>
      <w:r>
        <w:rPr>
          <w:rFonts w:ascii="Arial" w:cs="Arial" w:eastAsia="Arial" w:hAnsi="Arial"/>
          <w:sz w:val="22"/>
          <w:szCs w:val="22"/>
          <w:b w:val="1"/>
          <w:bCs w:val="1"/>
          <w:color w:val="auto"/>
        </w:rPr>
        <w:t xml:space="preserve"> </w:t>
      </w:r>
      <w:r>
        <w:rPr>
          <w:rFonts w:ascii="Arial" w:cs="Arial" w:eastAsia="Arial" w:hAnsi="Arial"/>
          <w:sz w:val="22"/>
          <w:szCs w:val="22"/>
          <w:color w:val="auto"/>
        </w:rPr>
        <w:t>not necessarily have a causal relationship with the administration of such product.</w:t>
      </w:r>
    </w:p>
    <w:p>
      <w:pPr>
        <w:spacing w:after="0" w:line="162" w:lineRule="exact"/>
        <w:rPr>
          <w:sz w:val="20"/>
          <w:szCs w:val="20"/>
          <w:color w:val="auto"/>
        </w:rPr>
      </w:pPr>
    </w:p>
    <w:p>
      <w:pPr>
        <w:jc w:val="both"/>
        <w:ind w:left="440" w:hanging="431"/>
        <w:spacing w:after="0" w:line="236"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who, directly or indirectly, controls, is controlled by or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common control with such Person, but only for so long as such control exists. For the purposes of this </w:t>
      </w:r>
      <w:r>
        <w:rPr>
          <w:rFonts w:ascii="Arial" w:cs="Arial" w:eastAsia="Arial" w:hAnsi="Arial"/>
          <w:sz w:val="22"/>
          <w:szCs w:val="22"/>
          <w:u w:val="single" w:color="auto"/>
          <w:color w:val="auto"/>
        </w:rPr>
        <w:t>Section 1.6</w:t>
      </w:r>
      <w:r>
        <w:rPr>
          <w:rFonts w:ascii="Arial" w:cs="Arial" w:eastAsia="Arial" w:hAnsi="Arial"/>
          <w:sz w:val="22"/>
          <w:szCs w:val="22"/>
          <w:color w:val="auto"/>
        </w:rPr>
        <w:t>,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left="440" w:hanging="431"/>
        <w:spacing w:after="0" w:line="237"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color w:val="auto"/>
        </w:rPr>
        <w:t>“</w:t>
      </w:r>
      <w:r>
        <w:rPr>
          <w:rFonts w:ascii="Arial" w:cs="Arial" w:eastAsia="Arial" w:hAnsi="Arial"/>
          <w:sz w:val="22"/>
          <w:szCs w:val="22"/>
          <w:b w:val="1"/>
          <w:bCs w:val="1"/>
          <w:color w:val="auto"/>
        </w:rPr>
        <w:t>Agreement Know-How</w:t>
      </w:r>
      <w:r>
        <w:rPr>
          <w:rFonts w:ascii="Arial" w:cs="Arial" w:eastAsia="Arial" w:hAnsi="Arial"/>
          <w:sz w:val="22"/>
          <w:szCs w:val="22"/>
          <w:color w:val="auto"/>
        </w:rPr>
        <w:t>” means all Know-How discovered, developed, generated, invented, derived, created, conceived or</w:t>
      </w:r>
      <w:r>
        <w:rPr>
          <w:rFonts w:ascii="Arial" w:cs="Arial" w:eastAsia="Arial" w:hAnsi="Arial"/>
          <w:sz w:val="22"/>
          <w:szCs w:val="22"/>
          <w:b w:val="1"/>
          <w:bCs w:val="1"/>
          <w:color w:val="auto"/>
        </w:rPr>
        <w:t xml:space="preserve"> </w:t>
      </w:r>
      <w:r>
        <w:rPr>
          <w:rFonts w:ascii="Arial" w:cs="Arial" w:eastAsia="Arial" w:hAnsi="Arial"/>
          <w:sz w:val="22"/>
          <w:szCs w:val="22"/>
          <w:color w:val="auto"/>
        </w:rPr>
        <w:t>reduced to practice during the Term by a Party’s or its Affiliates’, licensees’, sublicensees’ or subcontractors’ employees, agents, independent contractors or consultants, either alone or jointly with the other Party’s or its Affiliates’, licensees’, sublicensees’ or subcontractors’ employees, agents, independent contractors or consultants, in each case, in the performance of activities under this Agreement.</w:t>
      </w:r>
    </w:p>
    <w:p>
      <w:pPr>
        <w:spacing w:after="0" w:line="182" w:lineRule="exact"/>
        <w:rPr>
          <w:sz w:val="20"/>
          <w:szCs w:val="20"/>
          <w:color w:val="auto"/>
        </w:rPr>
      </w:pPr>
    </w:p>
    <w:p>
      <w:pPr>
        <w:jc w:val="both"/>
        <w:ind w:left="440" w:right="20" w:hanging="431"/>
        <w:spacing w:after="0" w:line="256" w:lineRule="auto"/>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Agreement Patents</w:t>
      </w:r>
      <w:r>
        <w:rPr>
          <w:rFonts w:ascii="Arial" w:cs="Arial" w:eastAsia="Arial" w:hAnsi="Arial"/>
          <w:sz w:val="22"/>
          <w:szCs w:val="22"/>
          <w:color w:val="auto"/>
        </w:rPr>
        <w:t>” means any Patents that (a) have a priority date after the Effective Date; and (b) Cover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claim any Agreement Know-How.</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1.10.</w:t>
      </w:r>
      <w:r>
        <w:rPr>
          <w:rFonts w:ascii="Arial" w:cs="Arial" w:eastAsia="Arial" w:hAnsi="Arial"/>
          <w:sz w:val="22"/>
          <w:szCs w:val="22"/>
          <w:color w:val="auto"/>
        </w:rPr>
        <w:t>“</w:t>
      </w:r>
      <w:r>
        <w:rPr>
          <w:rFonts w:ascii="Arial" w:cs="Arial" w:eastAsia="Arial" w:hAnsi="Arial"/>
          <w:sz w:val="22"/>
          <w:szCs w:val="22"/>
          <w:b w:val="1"/>
          <w:bCs w:val="1"/>
          <w:color w:val="auto"/>
        </w:rPr>
        <w:t>Alliance Manager</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1.11.</w:t>
      </w:r>
      <w:r>
        <w:rPr>
          <w:rFonts w:ascii="Arial" w:cs="Arial" w:eastAsia="Arial" w:hAnsi="Arial"/>
          <w:sz w:val="22"/>
          <w:szCs w:val="22"/>
          <w:color w:val="auto"/>
        </w:rPr>
        <w:t>“</w:t>
      </w:r>
      <w:r>
        <w:rPr>
          <w:rFonts w:ascii="Arial" w:cs="Arial" w:eastAsia="Arial" w:hAnsi="Arial"/>
          <w:sz w:val="22"/>
          <w:szCs w:val="22"/>
          <w:b w:val="1"/>
          <w:bCs w:val="1"/>
          <w:color w:val="auto"/>
        </w:rPr>
        <w:t>Antitrust Clearance Date</w:t>
      </w:r>
      <w:r>
        <w:rPr>
          <w:rFonts w:ascii="Arial" w:cs="Arial" w:eastAsia="Arial" w:hAnsi="Arial"/>
          <w:sz w:val="22"/>
          <w:szCs w:val="22"/>
          <w:color w:val="auto"/>
        </w:rPr>
        <w:t>” means the earliest date on which all applicable waiting periods and approvals required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Antitrust Laws with respect to the transactions contemplated under this Agreement have expired or have been terminated (in the case of waiting periods) or been received (in the case of approvals), which such waiting periods and approvals shall be identified in </w:t>
      </w:r>
      <w:r>
        <w:rPr>
          <w:rFonts w:ascii="Arial" w:cs="Arial" w:eastAsia="Arial" w:hAnsi="Arial"/>
          <w:sz w:val="22"/>
          <w:szCs w:val="22"/>
          <w:b w:val="1"/>
          <w:bCs w:val="1"/>
          <w:color w:val="auto"/>
        </w:rPr>
        <w:t>Schedule 1.11</w:t>
      </w:r>
      <w:r>
        <w:rPr>
          <w:rFonts w:ascii="Arial" w:cs="Arial" w:eastAsia="Arial" w:hAnsi="Arial"/>
          <w:sz w:val="22"/>
          <w:szCs w:val="22"/>
          <w:color w:val="auto"/>
        </w:rPr>
        <w:t>.</w:t>
      </w:r>
    </w:p>
    <w:p>
      <w:pPr>
        <w:spacing w:after="0" w:line="180"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1.12.</w:t>
      </w:r>
      <w:r>
        <w:rPr>
          <w:rFonts w:ascii="Arial" w:cs="Arial" w:eastAsia="Arial" w:hAnsi="Arial"/>
          <w:sz w:val="22"/>
          <w:szCs w:val="22"/>
          <w:color w:val="auto"/>
        </w:rPr>
        <w:t>“</w:t>
      </w:r>
      <w:r>
        <w:rPr>
          <w:rFonts w:ascii="Arial" w:cs="Arial" w:eastAsia="Arial" w:hAnsi="Arial"/>
          <w:sz w:val="22"/>
          <w:szCs w:val="22"/>
          <w:b w:val="1"/>
          <w:bCs w:val="1"/>
          <w:color w:val="auto"/>
        </w:rPr>
        <w:t>Antitrust Filing</w:t>
      </w:r>
      <w:r>
        <w:rPr>
          <w:rFonts w:ascii="Arial" w:cs="Arial" w:eastAsia="Arial" w:hAnsi="Arial"/>
          <w:sz w:val="22"/>
          <w:szCs w:val="22"/>
          <w:color w:val="auto"/>
        </w:rPr>
        <w:t>” means filings by Arrowhead and GSK with the United States Federal Trade Commission and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States Department of Justice and any applicable Governmental Body in the GSK Territory, as required under any Antitrust Laws with respect to the transactions contemplated under this Agreement, as identified in </w:t>
      </w:r>
      <w:r>
        <w:rPr>
          <w:rFonts w:ascii="Arial" w:cs="Arial" w:eastAsia="Arial" w:hAnsi="Arial"/>
          <w:sz w:val="22"/>
          <w:szCs w:val="22"/>
          <w:b w:val="1"/>
          <w:bCs w:val="1"/>
          <w:color w:val="auto"/>
        </w:rPr>
        <w:t>Schedule 1.12</w:t>
      </w:r>
      <w:r>
        <w:rPr>
          <w:rFonts w:ascii="Arial" w:cs="Arial" w:eastAsia="Arial" w:hAnsi="Arial"/>
          <w:sz w:val="22"/>
          <w:szCs w:val="22"/>
          <w:color w:val="auto"/>
        </w:rPr>
        <w:t>, together with all required documentary attachments thereto.</w:t>
      </w:r>
    </w:p>
    <w:p>
      <w:pPr>
        <w:spacing w:after="0" w:line="180" w:lineRule="exact"/>
        <w:rPr>
          <w:sz w:val="20"/>
          <w:szCs w:val="20"/>
          <w:color w:val="auto"/>
        </w:rPr>
      </w:pPr>
    </w:p>
    <w:p>
      <w:pPr>
        <w:jc w:val="both"/>
        <w:ind w:left="440" w:hanging="431"/>
        <w:spacing w:after="0" w:line="300" w:lineRule="auto"/>
        <w:rPr>
          <w:sz w:val="20"/>
          <w:szCs w:val="20"/>
          <w:color w:val="auto"/>
        </w:rPr>
      </w:pPr>
      <w:r>
        <w:rPr>
          <w:rFonts w:ascii="Arial" w:cs="Arial" w:eastAsia="Arial" w:hAnsi="Arial"/>
          <w:sz w:val="19"/>
          <w:szCs w:val="19"/>
          <w:b w:val="1"/>
          <w:bCs w:val="1"/>
          <w:color w:val="auto"/>
        </w:rPr>
        <w:t>1.13.</w:t>
      </w:r>
      <w:r>
        <w:rPr>
          <w:rFonts w:ascii="Arial" w:cs="Arial" w:eastAsia="Arial" w:hAnsi="Arial"/>
          <w:sz w:val="19"/>
          <w:szCs w:val="19"/>
          <w:color w:val="auto"/>
        </w:rPr>
        <w:t>“</w:t>
      </w:r>
      <w:r>
        <w:rPr>
          <w:rFonts w:ascii="Arial" w:cs="Arial" w:eastAsia="Arial" w:hAnsi="Arial"/>
          <w:sz w:val="19"/>
          <w:szCs w:val="19"/>
          <w:b w:val="1"/>
          <w:bCs w:val="1"/>
          <w:color w:val="auto"/>
        </w:rPr>
        <w:t>Antitrust Laws</w:t>
      </w:r>
      <w:r>
        <w:rPr>
          <w:rFonts w:ascii="Arial" w:cs="Arial" w:eastAsia="Arial" w:hAnsi="Arial"/>
          <w:sz w:val="19"/>
          <w:szCs w:val="19"/>
          <w:color w:val="auto"/>
        </w:rPr>
        <w:t>” means any and all Laws designed to govern competition, trade regulation, foreign investment, or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security or defense matters or to prohibit, restrict, or regulate actions for the purpose or effect of monopolization or restraint of trade, including the Hart-Scott Rodino Antitrust Improvements Act of 1976 (“</w:t>
      </w:r>
      <w:r>
        <w:rPr>
          <w:rFonts w:ascii="Arial" w:cs="Arial" w:eastAsia="Arial" w:hAnsi="Arial"/>
          <w:sz w:val="19"/>
          <w:szCs w:val="19"/>
          <w:b w:val="1"/>
          <w:bCs w:val="1"/>
          <w:color w:val="auto"/>
        </w:rPr>
        <w:t>HSR Act</w:t>
      </w:r>
      <w:r>
        <w:rPr>
          <w:rFonts w:ascii="Arial" w:cs="Arial" w:eastAsia="Arial" w:hAnsi="Arial"/>
          <w:sz w:val="19"/>
          <w:szCs w:val="19"/>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1.14.</w:t>
      </w:r>
      <w:r>
        <w:rPr>
          <w:rFonts w:ascii="Arial" w:cs="Arial" w:eastAsia="Arial" w:hAnsi="Arial"/>
          <w:sz w:val="22"/>
          <w:szCs w:val="22"/>
          <w:color w:val="auto"/>
        </w:rPr>
        <w:t>“</w:t>
      </w:r>
      <w:r>
        <w:rPr>
          <w:rFonts w:ascii="Arial" w:cs="Arial" w:eastAsia="Arial" w:hAnsi="Arial"/>
          <w:sz w:val="22"/>
          <w:szCs w:val="22"/>
          <w:b w:val="1"/>
          <w:bCs w:val="1"/>
          <w:color w:val="auto"/>
        </w:rPr>
        <w:t>Arrowhead</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1.15.</w:t>
      </w:r>
      <w:r>
        <w:rPr>
          <w:rFonts w:ascii="Arial" w:cs="Arial" w:eastAsia="Arial" w:hAnsi="Arial"/>
          <w:sz w:val="22"/>
          <w:szCs w:val="22"/>
          <w:color w:val="auto"/>
        </w:rPr>
        <w:t>“</w:t>
      </w:r>
      <w:r>
        <w:rPr>
          <w:rFonts w:ascii="Arial" w:cs="Arial" w:eastAsia="Arial" w:hAnsi="Arial"/>
          <w:sz w:val="22"/>
          <w:szCs w:val="22"/>
          <w:b w:val="1"/>
          <w:bCs w:val="1"/>
          <w:color w:val="auto"/>
        </w:rPr>
        <w:t>Arrowhead Agreement Know-How</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right="260" w:firstLine="8"/>
        <w:spacing w:after="0" w:line="266" w:lineRule="auto"/>
        <w:tabs>
          <w:tab w:leader="none" w:pos="43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w:t>
      </w:r>
      <w:r>
        <w:rPr>
          <w:rFonts w:ascii="Arial" w:cs="Arial" w:eastAsia="Arial" w:hAnsi="Arial"/>
          <w:sz w:val="22"/>
          <w:szCs w:val="22"/>
          <w:color w:val="auto"/>
        </w:rPr>
        <w:t>“</w:t>
      </w:r>
      <w:r>
        <w:rPr>
          <w:rFonts w:ascii="Arial" w:cs="Arial" w:eastAsia="Arial" w:hAnsi="Arial"/>
          <w:sz w:val="22"/>
          <w:szCs w:val="22"/>
          <w:b w:val="1"/>
          <w:bCs w:val="1"/>
          <w:color w:val="auto"/>
        </w:rPr>
        <w:t>Arrowhead Agreement Patents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w:t>
      </w:r>
      <w:r>
        <w:rPr>
          <w:rFonts w:ascii="Arial" w:cs="Arial" w:eastAsia="Arial" w:hAnsi="Arial"/>
          <w:sz w:val="22"/>
          <w:szCs w:val="22"/>
          <w:color w:val="auto"/>
        </w:rPr>
        <w:t>.</w:t>
      </w:r>
    </w:p>
    <w:p>
      <w:pPr>
        <w:spacing w:after="0" w:line="206" w:lineRule="exact"/>
        <w:rPr>
          <w:sz w:val="20"/>
          <w:szCs w:val="20"/>
          <w:color w:val="auto"/>
        </w:rPr>
      </w:pPr>
    </w:p>
    <w:p>
      <w:pPr>
        <w:jc w:val="both"/>
        <w:ind w:left="440" w:right="20" w:hanging="431"/>
        <w:spacing w:after="0" w:line="256" w:lineRule="auto"/>
        <w:rPr>
          <w:sz w:val="20"/>
          <w:szCs w:val="20"/>
          <w:color w:val="auto"/>
        </w:rPr>
      </w:pPr>
      <w:r>
        <w:rPr>
          <w:rFonts w:ascii="Arial" w:cs="Arial" w:eastAsia="Arial" w:hAnsi="Arial"/>
          <w:sz w:val="22"/>
          <w:szCs w:val="22"/>
          <w:b w:val="1"/>
          <w:bCs w:val="1"/>
          <w:color w:val="auto"/>
        </w:rPr>
        <w:t>1.17.</w:t>
      </w:r>
      <w:r>
        <w:rPr>
          <w:rFonts w:ascii="Arial" w:cs="Arial" w:eastAsia="Arial" w:hAnsi="Arial"/>
          <w:sz w:val="22"/>
          <w:szCs w:val="22"/>
          <w:color w:val="auto"/>
        </w:rPr>
        <w:t>“</w:t>
      </w:r>
      <w:r>
        <w:rPr>
          <w:rFonts w:ascii="Arial" w:cs="Arial" w:eastAsia="Arial" w:hAnsi="Arial"/>
          <w:sz w:val="22"/>
          <w:szCs w:val="22"/>
          <w:b w:val="1"/>
          <w:bCs w:val="1"/>
          <w:color w:val="auto"/>
        </w:rPr>
        <w:t>Arrowhead Agreement Technology</w:t>
      </w:r>
      <w:r>
        <w:rPr>
          <w:rFonts w:ascii="Arial" w:cs="Arial" w:eastAsia="Arial" w:hAnsi="Arial"/>
          <w:sz w:val="22"/>
          <w:szCs w:val="22"/>
          <w:color w:val="auto"/>
        </w:rPr>
        <w:t>” means, collectively, the Arrowhead Agreement Know-How and the Arrowhead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Patents.</w:t>
      </w:r>
    </w:p>
    <w:p>
      <w:pPr>
        <w:spacing w:after="0" w:line="162" w:lineRule="exact"/>
        <w:rPr>
          <w:sz w:val="20"/>
          <w:szCs w:val="20"/>
          <w:color w:val="auto"/>
        </w:rPr>
      </w:pPr>
    </w:p>
    <w:p>
      <w:pPr>
        <w:jc w:val="both"/>
        <w:ind w:left="440" w:hanging="431"/>
        <w:spacing w:after="0" w:line="246" w:lineRule="auto"/>
        <w:rPr>
          <w:sz w:val="20"/>
          <w:szCs w:val="20"/>
          <w:color w:val="auto"/>
        </w:rPr>
      </w:pPr>
      <w:r>
        <w:rPr>
          <w:rFonts w:ascii="Arial" w:cs="Arial" w:eastAsia="Arial" w:hAnsi="Arial"/>
          <w:sz w:val="21"/>
          <w:szCs w:val="21"/>
          <w:b w:val="1"/>
          <w:bCs w:val="1"/>
          <w:color w:val="auto"/>
        </w:rPr>
        <w:t>1.18.</w:t>
      </w:r>
      <w:r>
        <w:rPr>
          <w:rFonts w:ascii="Arial" w:cs="Arial" w:eastAsia="Arial" w:hAnsi="Arial"/>
          <w:sz w:val="21"/>
          <w:szCs w:val="21"/>
          <w:color w:val="auto"/>
        </w:rPr>
        <w:t>“</w:t>
      </w:r>
      <w:r>
        <w:rPr>
          <w:rFonts w:ascii="Arial" w:cs="Arial" w:eastAsia="Arial" w:hAnsi="Arial"/>
          <w:sz w:val="21"/>
          <w:szCs w:val="21"/>
          <w:b w:val="1"/>
          <w:bCs w:val="1"/>
          <w:color w:val="auto"/>
        </w:rPr>
        <w:t>Arrowhead Excluded Know-How</w:t>
      </w:r>
      <w:r>
        <w:rPr>
          <w:rFonts w:ascii="Arial" w:cs="Arial" w:eastAsia="Arial" w:hAnsi="Arial"/>
          <w:sz w:val="21"/>
          <w:szCs w:val="21"/>
          <w:color w:val="auto"/>
        </w:rPr>
        <w:t>” means, collectively, (a) any and all Know-How that Arrowhead or any of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comes to Control after the Effective Date during the Term, (including Arrowhead Agreement Know-How, other than any New [***] Know-How that was solely or jointly invented by or on behalf of one (1) or more Personnel of GSK (or its Affiliates, licensees, sublicensees or subcontractors)), that relates to CMC for the Manufacture of the Compound or any Products but is not necessary for the Manufacture of the Compounds or any Products; and (b) any and all Know-How that (i) is Controlled by Arrowhead or its Affiliates as of the Effective Date or during the Term, (ii) embodies RNA Molecule sequence selection and compound design process, and (iii) is not disclosed by Arrowhead to GSK under Section 2.3; provided that this clause (b) shall not include any Know-How that is necessary for the clinical development, Manufacture or Commercialization of the Compounds or any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6447155</wp:posOffset>
            </wp:positionH>
            <wp:positionV relativeFrom="paragraph">
              <wp:posOffset>-342265</wp:posOffset>
            </wp:positionV>
            <wp:extent cx="6515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5"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1.19.</w:t>
      </w:r>
      <w:r>
        <w:rPr>
          <w:rFonts w:ascii="Arial" w:cs="Arial" w:eastAsia="Arial" w:hAnsi="Arial"/>
          <w:sz w:val="22"/>
          <w:szCs w:val="22"/>
          <w:color w:val="auto"/>
        </w:rPr>
        <w:t>“</w:t>
      </w:r>
      <w:r>
        <w:rPr>
          <w:rFonts w:ascii="Arial" w:cs="Arial" w:eastAsia="Arial" w:hAnsi="Arial"/>
          <w:sz w:val="22"/>
          <w:szCs w:val="22"/>
          <w:b w:val="1"/>
          <w:bCs w:val="1"/>
          <w:color w:val="auto"/>
        </w:rPr>
        <w:t>Arrowhead Excluded Patents</w:t>
      </w:r>
      <w:r>
        <w:rPr>
          <w:rFonts w:ascii="Arial" w:cs="Arial" w:eastAsia="Arial" w:hAnsi="Arial"/>
          <w:sz w:val="22"/>
          <w:szCs w:val="22"/>
          <w:color w:val="auto"/>
        </w:rPr>
        <w:t>” means any Patent that Covers or otherwise claims any Arrowhead Excluded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but </w:t>
      </w:r>
      <w:r>
        <w:rPr>
          <w:rFonts w:ascii="Arial" w:cs="Arial" w:eastAsia="Arial" w:hAnsi="Arial"/>
          <w:sz w:val="22"/>
          <w:szCs w:val="22"/>
          <w:i w:val="1"/>
          <w:iCs w:val="1"/>
          <w:color w:val="auto"/>
        </w:rPr>
        <w:t>excluding</w:t>
      </w:r>
      <w:r>
        <w:rPr>
          <w:rFonts w:ascii="Arial" w:cs="Arial" w:eastAsia="Arial" w:hAnsi="Arial"/>
          <w:sz w:val="22"/>
          <w:szCs w:val="22"/>
          <w:color w:val="auto"/>
        </w:rPr>
        <w:t xml:space="preserve"> any Patent that Covers or otherwise claims any Arrowhead Excluded Know-How and also Arrowhead Know-How.</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1.20.</w:t>
      </w:r>
      <w:r>
        <w:rPr>
          <w:rFonts w:ascii="Arial" w:cs="Arial" w:eastAsia="Arial" w:hAnsi="Arial"/>
          <w:sz w:val="19"/>
          <w:szCs w:val="19"/>
          <w:color w:val="auto"/>
        </w:rPr>
        <w:t>“</w:t>
      </w:r>
      <w:r>
        <w:rPr>
          <w:rFonts w:ascii="Arial" w:cs="Arial" w:eastAsia="Arial" w:hAnsi="Arial"/>
          <w:sz w:val="19"/>
          <w:szCs w:val="19"/>
          <w:b w:val="1"/>
          <w:bCs w:val="1"/>
          <w:color w:val="auto"/>
        </w:rPr>
        <w:t>Arrowhead HSD17B13-Specific Patents</w:t>
      </w:r>
      <w:r>
        <w:rPr>
          <w:rFonts w:ascii="Arial" w:cs="Arial" w:eastAsia="Arial" w:hAnsi="Arial"/>
          <w:sz w:val="19"/>
          <w:szCs w:val="19"/>
          <w:color w:val="auto"/>
        </w:rPr>
        <w:t>” means, collectively, (a) the Arrowhead Patents set forth on</w:t>
      </w:r>
      <w:r>
        <w:rPr>
          <w:rFonts w:ascii="Arial" w:cs="Arial" w:eastAsia="Arial" w:hAnsi="Arial"/>
          <w:sz w:val="19"/>
          <w:szCs w:val="19"/>
          <w:b w:val="1"/>
          <w:bCs w:val="1"/>
          <w:color w:val="auto"/>
        </w:rPr>
        <w:t xml:space="preserve"> Schedule 1.20</w:t>
      </w:r>
      <w:r>
        <w:rPr>
          <w:rFonts w:ascii="Arial" w:cs="Arial" w:eastAsia="Arial" w:hAnsi="Arial"/>
          <w:sz w:val="19"/>
          <w:szCs w:val="19"/>
          <w:color w:val="auto"/>
        </w:rPr>
        <w:t>; and</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 after the Execution Date, any Arrowhead Patent that is not an Arrowhead Platform Patent.</w:t>
      </w:r>
    </w:p>
    <w:p>
      <w:pPr>
        <w:spacing w:after="0" w:line="182"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1.21.</w:t>
      </w:r>
      <w:r>
        <w:rPr>
          <w:rFonts w:ascii="Arial" w:cs="Arial" w:eastAsia="Arial" w:hAnsi="Arial"/>
          <w:sz w:val="22"/>
          <w:szCs w:val="22"/>
          <w:color w:val="auto"/>
        </w:rPr>
        <w:t>“</w:t>
      </w:r>
      <w:r>
        <w:rPr>
          <w:rFonts w:ascii="Arial" w:cs="Arial" w:eastAsia="Arial" w:hAnsi="Arial"/>
          <w:sz w:val="22"/>
          <w:szCs w:val="22"/>
          <w:b w:val="1"/>
          <w:bCs w:val="1"/>
          <w:color w:val="auto"/>
        </w:rPr>
        <w:t>Arrowhead Human Biological Samples</w:t>
      </w:r>
      <w:r>
        <w:rPr>
          <w:rFonts w:ascii="Arial" w:cs="Arial" w:eastAsia="Arial" w:hAnsi="Arial"/>
          <w:sz w:val="22"/>
          <w:szCs w:val="22"/>
          <w:color w:val="auto"/>
        </w:rPr>
        <w:t>” means any Human Biological Samples collected in connection with the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Ongoing Phase I Clinical Trial or any Clinical Trial of a Product conducted by or on behalf of Arrowhead or any of its Affiliates prior to the Effective Date.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1.22.</w:t>
      </w:r>
      <w:r>
        <w:rPr>
          <w:rFonts w:ascii="Arial" w:cs="Arial" w:eastAsia="Arial" w:hAnsi="Arial"/>
          <w:sz w:val="22"/>
          <w:szCs w:val="22"/>
          <w:color w:val="auto"/>
        </w:rPr>
        <w:t>“</w:t>
      </w:r>
      <w:r>
        <w:rPr>
          <w:rFonts w:ascii="Arial" w:cs="Arial" w:eastAsia="Arial" w:hAnsi="Arial"/>
          <w:sz w:val="22"/>
          <w:szCs w:val="22"/>
          <w:b w:val="1"/>
          <w:bCs w:val="1"/>
          <w:color w:val="auto"/>
        </w:rPr>
        <w:t>Arrowhead Indemnitees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1.23.</w:t>
      </w:r>
      <w:r>
        <w:rPr>
          <w:rFonts w:ascii="Arial" w:cs="Arial" w:eastAsia="Arial" w:hAnsi="Arial"/>
          <w:sz w:val="22"/>
          <w:szCs w:val="22"/>
          <w:color w:val="auto"/>
        </w:rPr>
        <w:t>“[***]” means [***].</w:t>
      </w:r>
    </w:p>
    <w:p>
      <w:pPr>
        <w:spacing w:after="0" w:line="206"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1.24.</w:t>
      </w:r>
      <w:r>
        <w:rPr>
          <w:rFonts w:ascii="Arial" w:cs="Arial" w:eastAsia="Arial" w:hAnsi="Arial"/>
          <w:sz w:val="22"/>
          <w:szCs w:val="22"/>
          <w:color w:val="auto"/>
        </w:rPr>
        <w:t>“</w:t>
      </w:r>
      <w:r>
        <w:rPr>
          <w:rFonts w:ascii="Arial" w:cs="Arial" w:eastAsia="Arial" w:hAnsi="Arial"/>
          <w:sz w:val="22"/>
          <w:szCs w:val="22"/>
          <w:b w:val="1"/>
          <w:bCs w:val="1"/>
          <w:color w:val="auto"/>
        </w:rPr>
        <w:t>Arrowhead Know-How</w:t>
      </w:r>
      <w:r>
        <w:rPr>
          <w:rFonts w:ascii="Arial" w:cs="Arial" w:eastAsia="Arial" w:hAnsi="Arial"/>
          <w:sz w:val="22"/>
          <w:szCs w:val="22"/>
          <w:color w:val="auto"/>
        </w:rPr>
        <w:t>” means any Know-How that (a) is Controlled by Arrowhead (or any of its Affiliates)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Execution Date or during the Term; and (b) is necessary or useful to Develop, Manufacture or Commercialize the Compound or any Product, </w:t>
      </w:r>
      <w:r>
        <w:rPr>
          <w:rFonts w:ascii="Arial" w:cs="Arial" w:eastAsia="Arial" w:hAnsi="Arial"/>
          <w:sz w:val="22"/>
          <w:szCs w:val="22"/>
          <w:i w:val="1"/>
          <w:iCs w:val="1"/>
          <w:color w:val="auto"/>
        </w:rPr>
        <w:t>including</w:t>
      </w:r>
      <w:r>
        <w:rPr>
          <w:rFonts w:ascii="Arial" w:cs="Arial" w:eastAsia="Arial" w:hAnsi="Arial"/>
          <w:sz w:val="22"/>
          <w:szCs w:val="22"/>
          <w:color w:val="auto"/>
        </w:rPr>
        <w:t xml:space="preserve"> all Arrowhead Agreement Know-How and Arrowhead’s interest in Joint Agreement Know-How but </w:t>
      </w:r>
      <w:r>
        <w:rPr>
          <w:rFonts w:ascii="Arial" w:cs="Arial" w:eastAsia="Arial" w:hAnsi="Arial"/>
          <w:sz w:val="22"/>
          <w:szCs w:val="22"/>
          <w:i w:val="1"/>
          <w:iCs w:val="1"/>
          <w:color w:val="auto"/>
        </w:rPr>
        <w:t>excluding</w:t>
      </w:r>
      <w:r>
        <w:rPr>
          <w:rFonts w:ascii="Arial" w:cs="Arial" w:eastAsia="Arial" w:hAnsi="Arial"/>
          <w:sz w:val="22"/>
          <w:szCs w:val="22"/>
          <w:color w:val="auto"/>
        </w:rPr>
        <w:t xml:space="preserve"> all Arrowhead Excluded Know-How.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1.25.</w:t>
      </w:r>
      <w:r>
        <w:rPr>
          <w:rFonts w:ascii="Arial" w:cs="Arial" w:eastAsia="Arial" w:hAnsi="Arial"/>
          <w:sz w:val="22"/>
          <w:szCs w:val="22"/>
          <w:color w:val="auto"/>
        </w:rPr>
        <w:t>“</w:t>
      </w:r>
      <w:r>
        <w:rPr>
          <w:rFonts w:ascii="Arial" w:cs="Arial" w:eastAsia="Arial" w:hAnsi="Arial"/>
          <w:sz w:val="22"/>
          <w:szCs w:val="22"/>
          <w:b w:val="1"/>
          <w:bCs w:val="1"/>
          <w:color w:val="auto"/>
        </w:rPr>
        <w:t>Arrowhead Materials</w:t>
      </w:r>
      <w:r>
        <w:rPr>
          <w:rFonts w:ascii="Arial" w:cs="Arial" w:eastAsia="Arial" w:hAnsi="Arial"/>
          <w:sz w:val="22"/>
          <w:szCs w:val="22"/>
          <w:color w:val="auto"/>
        </w:rPr>
        <w:t>” means the materials set forth on</w:t>
      </w:r>
      <w:r>
        <w:rPr>
          <w:rFonts w:ascii="Arial" w:cs="Arial" w:eastAsia="Arial" w:hAnsi="Arial"/>
          <w:sz w:val="22"/>
          <w:szCs w:val="22"/>
          <w:b w:val="1"/>
          <w:bCs w:val="1"/>
          <w:color w:val="auto"/>
        </w:rPr>
        <w:t xml:space="preserve"> Schedule 1.25</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300" w:lineRule="auto"/>
        <w:rPr>
          <w:sz w:val="20"/>
          <w:szCs w:val="20"/>
          <w:color w:val="auto"/>
        </w:rPr>
      </w:pPr>
      <w:r>
        <w:rPr>
          <w:rFonts w:ascii="Arial" w:cs="Arial" w:eastAsia="Arial" w:hAnsi="Arial"/>
          <w:sz w:val="19"/>
          <w:szCs w:val="19"/>
          <w:b w:val="1"/>
          <w:bCs w:val="1"/>
          <w:color w:val="auto"/>
        </w:rPr>
        <w:t>1.26.</w:t>
      </w:r>
      <w:r>
        <w:rPr>
          <w:rFonts w:ascii="Arial" w:cs="Arial" w:eastAsia="Arial" w:hAnsi="Arial"/>
          <w:sz w:val="19"/>
          <w:szCs w:val="19"/>
          <w:color w:val="auto"/>
        </w:rPr>
        <w:t>“</w:t>
      </w:r>
      <w:r>
        <w:rPr>
          <w:rFonts w:ascii="Arial" w:cs="Arial" w:eastAsia="Arial" w:hAnsi="Arial"/>
          <w:sz w:val="19"/>
          <w:szCs w:val="19"/>
          <w:b w:val="1"/>
          <w:bCs w:val="1"/>
          <w:color w:val="auto"/>
        </w:rPr>
        <w:t>Arrowhead Patent</w:t>
      </w:r>
      <w:r>
        <w:rPr>
          <w:rFonts w:ascii="Arial" w:cs="Arial" w:eastAsia="Arial" w:hAnsi="Arial"/>
          <w:sz w:val="19"/>
          <w:szCs w:val="19"/>
          <w:color w:val="auto"/>
        </w:rPr>
        <w:t>” means any Patent that (a) is Controlled by Arrowhead (or any of its Affiliates) as of the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or during the Term; and (b) (i) claims or covers any Arrowhead Know-How or (ii) otherwise Covers the Compound or any Product or the Development, Manufacture or Commercialization of the Compound or any Product, </w:t>
      </w:r>
      <w:r>
        <w:rPr>
          <w:rFonts w:ascii="Arial" w:cs="Arial" w:eastAsia="Arial" w:hAnsi="Arial"/>
          <w:sz w:val="19"/>
          <w:szCs w:val="19"/>
          <w:i w:val="1"/>
          <w:iCs w:val="1"/>
          <w:color w:val="auto"/>
        </w:rPr>
        <w:t>including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right="260" w:firstLine="8"/>
        <w:spacing w:after="0" w:line="266" w:lineRule="auto"/>
        <w:tabs>
          <w:tab w:leader="none" w:pos="4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440"/>
        <w:spacing w:after="0" w:line="250" w:lineRule="auto"/>
        <w:rPr>
          <w:sz w:val="20"/>
          <w:szCs w:val="20"/>
          <w:color w:val="auto"/>
        </w:rPr>
      </w:pPr>
      <w:r>
        <w:rPr>
          <w:rFonts w:ascii="Arial" w:cs="Arial" w:eastAsia="Arial" w:hAnsi="Arial"/>
          <w:sz w:val="22"/>
          <w:szCs w:val="22"/>
          <w:color w:val="auto"/>
        </w:rPr>
        <w:t xml:space="preserve">all Arrowhead HSD17B13-Specific Patents, Arrowhead Platform Patents, Arrowhead Agreement Patents and Arrowhead’s interest in the Joint Agreement Patents but </w:t>
      </w:r>
      <w:r>
        <w:rPr>
          <w:rFonts w:ascii="Arial" w:cs="Arial" w:eastAsia="Arial" w:hAnsi="Arial"/>
          <w:sz w:val="22"/>
          <w:szCs w:val="22"/>
          <w:i w:val="1"/>
          <w:iCs w:val="1"/>
          <w:color w:val="auto"/>
        </w:rPr>
        <w:t>excluding</w:t>
      </w:r>
      <w:r>
        <w:rPr>
          <w:rFonts w:ascii="Arial" w:cs="Arial" w:eastAsia="Arial" w:hAnsi="Arial"/>
          <w:sz w:val="22"/>
          <w:szCs w:val="22"/>
          <w:color w:val="auto"/>
        </w:rPr>
        <w:t xml:space="preserve"> all Arrowhead Excluded Patents.</w:t>
      </w:r>
    </w:p>
    <w:p>
      <w:pPr>
        <w:spacing w:after="0" w:line="169"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1.27.</w:t>
      </w:r>
      <w:r>
        <w:rPr>
          <w:rFonts w:ascii="Arial" w:cs="Arial" w:eastAsia="Arial" w:hAnsi="Arial"/>
          <w:sz w:val="22"/>
          <w:szCs w:val="22"/>
          <w:color w:val="auto"/>
        </w:rPr>
        <w:t>“</w:t>
      </w:r>
      <w:r>
        <w:rPr>
          <w:rFonts w:ascii="Arial" w:cs="Arial" w:eastAsia="Arial" w:hAnsi="Arial"/>
          <w:sz w:val="22"/>
          <w:szCs w:val="22"/>
          <w:b w:val="1"/>
          <w:bCs w:val="1"/>
          <w:color w:val="auto"/>
        </w:rPr>
        <w:t>Arrowhead Platform Patents</w:t>
      </w:r>
      <w:r>
        <w:rPr>
          <w:rFonts w:ascii="Arial" w:cs="Arial" w:eastAsia="Arial" w:hAnsi="Arial"/>
          <w:sz w:val="22"/>
          <w:szCs w:val="22"/>
          <w:color w:val="auto"/>
        </w:rPr>
        <w:t>” means, collectively, (a) the Arrowhead Patents set forth on</w:t>
      </w:r>
      <w:r>
        <w:rPr>
          <w:rFonts w:ascii="Arial" w:cs="Arial" w:eastAsia="Arial" w:hAnsi="Arial"/>
          <w:sz w:val="22"/>
          <w:szCs w:val="22"/>
          <w:b w:val="1"/>
          <w:bCs w:val="1"/>
          <w:color w:val="auto"/>
        </w:rPr>
        <w:t xml:space="preserve"> Schedule 1.27</w:t>
      </w:r>
      <w:r>
        <w:rPr>
          <w:rFonts w:ascii="Arial" w:cs="Arial" w:eastAsia="Arial" w:hAnsi="Arial"/>
          <w:sz w:val="22"/>
          <w:szCs w:val="22"/>
          <w:color w:val="auto"/>
        </w:rPr>
        <w:t>; and (b)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Date, any Arrowhead Patent that is (i) generally applicable to the making, using or selling of RNA Molecules, and (ii) not specific to RNA Molecules targeting an 17β-hydroxysteroid dehydrogenase type 13 (HSD17B13) gene or variant thereof.</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1.28.</w:t>
      </w:r>
      <w:r>
        <w:rPr>
          <w:rFonts w:ascii="Arial" w:cs="Arial" w:eastAsia="Arial" w:hAnsi="Arial"/>
          <w:sz w:val="22"/>
          <w:szCs w:val="22"/>
          <w:color w:val="auto"/>
        </w:rPr>
        <w:t>“</w:t>
      </w:r>
      <w:r>
        <w:rPr>
          <w:rFonts w:ascii="Arial" w:cs="Arial" w:eastAsia="Arial" w:hAnsi="Arial"/>
          <w:sz w:val="22"/>
          <w:szCs w:val="22"/>
          <w:b w:val="1"/>
          <w:bCs w:val="1"/>
          <w:color w:val="auto"/>
        </w:rPr>
        <w:t>Arrowhead Pre-Existing Agreements</w:t>
      </w:r>
      <w:r>
        <w:rPr>
          <w:rFonts w:ascii="Arial" w:cs="Arial" w:eastAsia="Arial" w:hAnsi="Arial"/>
          <w:sz w:val="22"/>
          <w:szCs w:val="22"/>
          <w:color w:val="auto"/>
        </w:rPr>
        <w:t>” means the agreements set forth in</w:t>
      </w:r>
      <w:r>
        <w:rPr>
          <w:rFonts w:ascii="Arial" w:cs="Arial" w:eastAsia="Arial" w:hAnsi="Arial"/>
          <w:sz w:val="22"/>
          <w:szCs w:val="22"/>
          <w:b w:val="1"/>
          <w:bCs w:val="1"/>
          <w:color w:val="auto"/>
        </w:rPr>
        <w:t xml:space="preserve"> Schedule 1.28</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1.29.</w:t>
      </w:r>
      <w:r>
        <w:rPr>
          <w:rFonts w:ascii="Arial" w:cs="Arial" w:eastAsia="Arial" w:hAnsi="Arial"/>
          <w:sz w:val="22"/>
          <w:szCs w:val="22"/>
          <w:color w:val="auto"/>
        </w:rPr>
        <w:t>“</w:t>
      </w:r>
      <w:r>
        <w:rPr>
          <w:rFonts w:ascii="Arial" w:cs="Arial" w:eastAsia="Arial" w:hAnsi="Arial"/>
          <w:sz w:val="22"/>
          <w:szCs w:val="22"/>
          <w:b w:val="1"/>
          <w:bCs w:val="1"/>
          <w:color w:val="auto"/>
        </w:rPr>
        <w:t>Arrowhead Retained Rights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1.30.</w:t>
      </w:r>
      <w:r>
        <w:rPr>
          <w:rFonts w:ascii="Arial" w:cs="Arial" w:eastAsia="Arial" w:hAnsi="Arial"/>
          <w:sz w:val="22"/>
          <w:szCs w:val="22"/>
          <w:color w:val="auto"/>
        </w:rPr>
        <w:t>“</w:t>
      </w:r>
      <w:r>
        <w:rPr>
          <w:rFonts w:ascii="Arial" w:cs="Arial" w:eastAsia="Arial" w:hAnsi="Arial"/>
          <w:sz w:val="22"/>
          <w:szCs w:val="22"/>
          <w:b w:val="1"/>
          <w:bCs w:val="1"/>
          <w:color w:val="auto"/>
        </w:rPr>
        <w:t>Arrowhead Technology</w:t>
      </w:r>
      <w:r>
        <w:rPr>
          <w:rFonts w:ascii="Arial" w:cs="Arial" w:eastAsia="Arial" w:hAnsi="Arial"/>
          <w:sz w:val="22"/>
          <w:szCs w:val="22"/>
          <w:color w:val="auto"/>
        </w:rPr>
        <w:t>” means (a) the Arrowhead Know-How; and (b) the Arrowhead Patents.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1.31.</w:t>
      </w:r>
      <w:r>
        <w:rPr>
          <w:rFonts w:ascii="Arial" w:cs="Arial" w:eastAsia="Arial" w:hAnsi="Arial"/>
          <w:sz w:val="22"/>
          <w:szCs w:val="22"/>
          <w:color w:val="auto"/>
        </w:rPr>
        <w:t>“</w:t>
      </w:r>
      <w:r>
        <w:rPr>
          <w:rFonts w:ascii="Arial" w:cs="Arial" w:eastAsia="Arial" w:hAnsi="Arial"/>
          <w:sz w:val="22"/>
          <w:szCs w:val="22"/>
          <w:b w:val="1"/>
          <w:bCs w:val="1"/>
          <w:color w:val="auto"/>
        </w:rPr>
        <w:t>Arrowhead Territory</w:t>
      </w:r>
      <w:r>
        <w:rPr>
          <w:rFonts w:ascii="Arial" w:cs="Arial" w:eastAsia="Arial" w:hAnsi="Arial"/>
          <w:sz w:val="22"/>
          <w:szCs w:val="22"/>
          <w:color w:val="auto"/>
        </w:rPr>
        <w:t>” means,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2.10(c)</w:t>
      </w:r>
      <w:r>
        <w:rPr>
          <w:rFonts w:ascii="Arial" w:cs="Arial" w:eastAsia="Arial" w:hAnsi="Arial"/>
          <w:sz w:val="22"/>
          <w:szCs w:val="22"/>
          <w:color w:val="auto"/>
        </w:rPr>
        <w:t>, Greater China.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1.32.</w:t>
      </w:r>
      <w:r>
        <w:rPr>
          <w:rFonts w:ascii="Arial" w:cs="Arial" w:eastAsia="Arial" w:hAnsi="Arial"/>
          <w:sz w:val="22"/>
          <w:szCs w:val="22"/>
          <w:color w:val="auto"/>
        </w:rPr>
        <w:t>“</w:t>
      </w:r>
      <w:r>
        <w:rPr>
          <w:rFonts w:ascii="Arial" w:cs="Arial" w:eastAsia="Arial" w:hAnsi="Arial"/>
          <w:sz w:val="22"/>
          <w:szCs w:val="22"/>
          <w:b w:val="1"/>
          <w:bCs w:val="1"/>
          <w:color w:val="auto"/>
        </w:rPr>
        <w:t>Arrowhead Third Party Agreement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2.9(b)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1.33.</w:t>
      </w:r>
      <w:r>
        <w:rPr>
          <w:rFonts w:ascii="Arial" w:cs="Arial" w:eastAsia="Arial" w:hAnsi="Arial"/>
          <w:sz w:val="22"/>
          <w:szCs w:val="22"/>
          <w:color w:val="auto"/>
        </w:rPr>
        <w:t>“</w:t>
      </w:r>
      <w:r>
        <w:rPr>
          <w:rFonts w:ascii="Arial" w:cs="Arial" w:eastAsia="Arial" w:hAnsi="Arial"/>
          <w:sz w:val="22"/>
          <w:szCs w:val="22"/>
          <w:b w:val="1"/>
          <w:bCs w:val="1"/>
          <w:color w:val="auto"/>
        </w:rPr>
        <w:t>Bankrupt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10.8</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1.34.</w:t>
      </w: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Title 11 of the United States Code, as amended, or analogous provisions of Law outside the</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1.35.</w:t>
      </w:r>
      <w:r>
        <w:rPr>
          <w:rFonts w:ascii="Arial" w:cs="Arial" w:eastAsia="Arial" w:hAnsi="Arial"/>
          <w:sz w:val="22"/>
          <w:szCs w:val="22"/>
          <w:color w:val="auto"/>
        </w:rPr>
        <w:t>“</w:t>
      </w:r>
      <w:r>
        <w:rPr>
          <w:rFonts w:ascii="Arial" w:cs="Arial" w:eastAsia="Arial" w:hAnsi="Arial"/>
          <w:sz w:val="22"/>
          <w:szCs w:val="22"/>
          <w:b w:val="1"/>
          <w:bCs w:val="1"/>
          <w:color w:val="auto"/>
        </w:rPr>
        <w:t>Breaching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1.36.</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other than a Saturday, Sunday or public holiday in United States and England when banks</w:t>
      </w:r>
      <w:r>
        <w:rPr>
          <w:rFonts w:ascii="Arial" w:cs="Arial" w:eastAsia="Arial" w:hAnsi="Arial"/>
          <w:sz w:val="22"/>
          <w:szCs w:val="22"/>
          <w:b w:val="1"/>
          <w:bCs w:val="1"/>
          <w:color w:val="auto"/>
        </w:rPr>
        <w:t xml:space="preserve"> </w:t>
      </w:r>
      <w:r>
        <w:rPr>
          <w:rFonts w:ascii="Arial" w:cs="Arial" w:eastAsia="Arial" w:hAnsi="Arial"/>
          <w:sz w:val="22"/>
          <w:szCs w:val="22"/>
          <w:color w:val="auto"/>
        </w:rPr>
        <w:t>in United States and England are open for normal banking business and excluding the period from 24 December to 2 January in which the corporate offices of GSK are closed for business.</w:t>
      </w:r>
    </w:p>
    <w:p>
      <w:pPr>
        <w:spacing w:after="0" w:line="177"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1.37.</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three (3) month period commencing January 1, April 1, July 1 or October 1 of any</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provided, however, that (a) the first Calendar Quarter of the Term shall extend from the Effective Date to the end of the first full Calendar Quarter thereafter; and (b) the last Calendar Quarter of the Term shall end upon the expiration or termination of this Agreement.</w:t>
      </w:r>
    </w:p>
    <w:p>
      <w:pPr>
        <w:spacing w:after="0" w:line="180" w:lineRule="exact"/>
        <w:rPr>
          <w:sz w:val="20"/>
          <w:szCs w:val="20"/>
          <w:color w:val="auto"/>
        </w:rPr>
      </w:pPr>
    </w:p>
    <w:p>
      <w:pPr>
        <w:jc w:val="both"/>
        <w:ind w:left="440" w:hanging="431"/>
        <w:spacing w:after="0" w:line="289" w:lineRule="auto"/>
        <w:rPr>
          <w:sz w:val="20"/>
          <w:szCs w:val="20"/>
          <w:color w:val="auto"/>
        </w:rPr>
      </w:pPr>
      <w:r>
        <w:rPr>
          <w:rFonts w:ascii="Arial" w:cs="Arial" w:eastAsia="Arial" w:hAnsi="Arial"/>
          <w:sz w:val="19"/>
          <w:szCs w:val="19"/>
          <w:b w:val="1"/>
          <w:bCs w:val="1"/>
          <w:color w:val="auto"/>
        </w:rPr>
        <w:t>1.38.</w:t>
      </w:r>
      <w:r>
        <w:rPr>
          <w:rFonts w:ascii="Arial" w:cs="Arial" w:eastAsia="Arial" w:hAnsi="Arial"/>
          <w:sz w:val="19"/>
          <w:szCs w:val="19"/>
          <w:color w:val="auto"/>
        </w:rPr>
        <w:t>“</w:t>
      </w:r>
      <w:r>
        <w:rPr>
          <w:rFonts w:ascii="Arial" w:cs="Arial" w:eastAsia="Arial" w:hAnsi="Arial"/>
          <w:sz w:val="19"/>
          <w:szCs w:val="19"/>
          <w:b w:val="1"/>
          <w:bCs w:val="1"/>
          <w:color w:val="auto"/>
        </w:rPr>
        <w:t>Calendar Year</w:t>
      </w:r>
      <w:r>
        <w:rPr>
          <w:rFonts w:ascii="Arial" w:cs="Arial" w:eastAsia="Arial" w:hAnsi="Arial"/>
          <w:sz w:val="19"/>
          <w:szCs w:val="19"/>
          <w:color w:val="auto"/>
        </w:rPr>
        <w:t>” means the period beginning on January 1 and ending on December 31 of the same year;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however, that (a) the first Calendar Year of the Term shall commence on the Effective Date and end on December 31 of the same year; and (b) the last Calendar Year of the Term shall commence on January 1 of the Calendar Year in which this Agreement terminates or expires and end on the effective date of termination or expiration of this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right="260" w:firstLine="8"/>
        <w:spacing w:after="0" w:line="266" w:lineRule="auto"/>
        <w:tabs>
          <w:tab w:leader="none" w:pos="43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jc w:val="both"/>
        <w:ind w:left="440" w:hanging="431"/>
        <w:spacing w:after="0" w:line="245" w:lineRule="auto"/>
        <w:rPr>
          <w:sz w:val="20"/>
          <w:szCs w:val="20"/>
          <w:color w:val="auto"/>
        </w:rPr>
      </w:pPr>
      <w:r>
        <w:rPr>
          <w:rFonts w:ascii="Arial" w:cs="Arial" w:eastAsia="Arial" w:hAnsi="Arial"/>
          <w:sz w:val="21"/>
          <w:szCs w:val="21"/>
          <w:b w:val="1"/>
          <w:bCs w:val="1"/>
          <w:color w:val="auto"/>
        </w:rPr>
        <w:t>1.39.</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(a) a merger or consolidation of such Party with a Third Party that</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(b) a transaction or series of related transactions in which a Third Party, together with its Affiliates, becomes the direct or indirect beneficial owner of fifty percent (50%) or more of the combined voting power of the outstanding securities of such Party; or (c) the sale or other transfer to a Third Party of all or substantially all of such Party’s and its controlled Affiliates’ assets. Notwithstanding the foregoing, any transaction or series of transactions effected for the primary purpose of financing the operations of the applicable Party or changing the form or jurisdiction of organization of such Party will not be deemed a “Change of Control” for purposes of this Agreement.</w:t>
      </w:r>
    </w:p>
    <w:p>
      <w:pPr>
        <w:spacing w:after="0" w:line="181"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1.40.</w:t>
      </w:r>
      <w:r>
        <w:rPr>
          <w:rFonts w:ascii="Arial" w:cs="Arial" w:eastAsia="Arial" w:hAnsi="Arial"/>
          <w:sz w:val="22"/>
          <w:szCs w:val="22"/>
          <w:color w:val="auto"/>
        </w:rPr>
        <w:t>“</w:t>
      </w:r>
      <w:r>
        <w:rPr>
          <w:rFonts w:ascii="Arial" w:cs="Arial" w:eastAsia="Arial" w:hAnsi="Arial"/>
          <w:sz w:val="22"/>
          <w:szCs w:val="22"/>
          <w:b w:val="1"/>
          <w:bCs w:val="1"/>
          <w:color w:val="auto"/>
        </w:rPr>
        <w:t>Clinical Manufacturing</w:t>
      </w:r>
      <w:r>
        <w:rPr>
          <w:rFonts w:ascii="Arial" w:cs="Arial" w:eastAsia="Arial" w:hAnsi="Arial"/>
          <w:sz w:val="22"/>
          <w:szCs w:val="22"/>
          <w:color w:val="auto"/>
        </w:rPr>
        <w:t>” means the Manufacture of the Compound or any Product (including the cost of Manufacturing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Compound contained in any Product) or acquisition of the Compound or any Product from a CMO, in each case, for use in Clinical Trials. “</w:t>
      </w:r>
      <w:r>
        <w:rPr>
          <w:rFonts w:ascii="Arial" w:cs="Arial" w:eastAsia="Arial" w:hAnsi="Arial"/>
          <w:sz w:val="22"/>
          <w:szCs w:val="22"/>
          <w:b w:val="1"/>
          <w:bCs w:val="1"/>
          <w:color w:val="auto"/>
        </w:rPr>
        <w:t>Clinical Manufacture</w:t>
      </w:r>
      <w:r>
        <w:rPr>
          <w:rFonts w:ascii="Arial" w:cs="Arial" w:eastAsia="Arial" w:hAnsi="Arial"/>
          <w:sz w:val="22"/>
          <w:szCs w:val="22"/>
          <w:color w:val="auto"/>
        </w:rPr>
        <w:t>” shall have a correlative meaning.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1.41.</w:t>
      </w:r>
      <w:r>
        <w:rPr>
          <w:rFonts w:ascii="Arial" w:cs="Arial" w:eastAsia="Arial" w:hAnsi="Arial"/>
          <w:sz w:val="22"/>
          <w:szCs w:val="22"/>
          <w:color w:val="auto"/>
        </w:rPr>
        <w:t>“</w:t>
      </w:r>
      <w:r>
        <w:rPr>
          <w:rFonts w:ascii="Arial" w:cs="Arial" w:eastAsia="Arial" w:hAnsi="Arial"/>
          <w:sz w:val="22"/>
          <w:szCs w:val="22"/>
          <w:b w:val="1"/>
          <w:bCs w:val="1"/>
          <w:color w:val="auto"/>
        </w:rPr>
        <w:t>Clinical Supply Agreement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3.3(a)</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54" w:lineRule="auto"/>
        <w:rPr>
          <w:sz w:val="20"/>
          <w:szCs w:val="20"/>
          <w:color w:val="auto"/>
        </w:rPr>
      </w:pPr>
      <w:r>
        <w:rPr>
          <w:rFonts w:ascii="Arial" w:cs="Arial" w:eastAsia="Arial" w:hAnsi="Arial"/>
          <w:sz w:val="21"/>
          <w:szCs w:val="21"/>
          <w:b w:val="1"/>
          <w:bCs w:val="1"/>
          <w:color w:val="auto"/>
        </w:rPr>
        <w:t>1.42.</w:t>
      </w:r>
      <w:r>
        <w:rPr>
          <w:rFonts w:ascii="Arial" w:cs="Arial" w:eastAsia="Arial" w:hAnsi="Arial"/>
          <w:sz w:val="21"/>
          <w:szCs w:val="21"/>
          <w:color w:val="auto"/>
        </w:rPr>
        <w:t>“</w:t>
      </w:r>
      <w:r>
        <w:rPr>
          <w:rFonts w:ascii="Arial" w:cs="Arial" w:eastAsia="Arial" w:hAnsi="Arial"/>
          <w:sz w:val="21"/>
          <w:szCs w:val="21"/>
          <w:b w:val="1"/>
          <w:bCs w:val="1"/>
          <w:color w:val="auto"/>
        </w:rPr>
        <w:t>Clinical Trial</w:t>
      </w:r>
      <w:r>
        <w:rPr>
          <w:rFonts w:ascii="Arial" w:cs="Arial" w:eastAsia="Arial" w:hAnsi="Arial"/>
          <w:sz w:val="21"/>
          <w:szCs w:val="21"/>
          <w:color w:val="auto"/>
        </w:rPr>
        <w:t>” means a clinical trial in human subjects that has been approved by an institutional review board or ethics</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as applicable, and is designed to measure the safety or efficacy of a therapeutic product, including any Phase I Clinical Trial, Phase II Clinical Trial, Phase III Clinical Trial, any study incorporating more than one (1) of these phases, or any clinical trial (whether required or optional) commenced after Regulatory Approval.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1.43.</w:t>
      </w:r>
      <w:r>
        <w:rPr>
          <w:rFonts w:ascii="Arial" w:cs="Arial" w:eastAsia="Arial" w:hAnsi="Arial"/>
          <w:sz w:val="22"/>
          <w:szCs w:val="22"/>
          <w:color w:val="auto"/>
        </w:rPr>
        <w:t>“</w:t>
      </w:r>
      <w:r>
        <w:rPr>
          <w:rFonts w:ascii="Arial" w:cs="Arial" w:eastAsia="Arial" w:hAnsi="Arial"/>
          <w:sz w:val="22"/>
          <w:szCs w:val="22"/>
          <w:b w:val="1"/>
          <w:bCs w:val="1"/>
          <w:color w:val="auto"/>
        </w:rPr>
        <w:t>Clinical Trial Transition Date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10.7(c)(ii).</w:t>
      </w:r>
    </w:p>
    <w:p>
      <w:pPr>
        <w:spacing w:after="0" w:line="206" w:lineRule="exact"/>
        <w:rPr>
          <w:sz w:val="20"/>
          <w:szCs w:val="20"/>
          <w:color w:val="auto"/>
        </w:rPr>
      </w:pPr>
    </w:p>
    <w:p>
      <w:pPr>
        <w:jc w:val="both"/>
        <w:ind w:left="440" w:right="20" w:hanging="431"/>
        <w:spacing w:after="0" w:line="243" w:lineRule="auto"/>
        <w:rPr>
          <w:sz w:val="20"/>
          <w:szCs w:val="20"/>
          <w:color w:val="auto"/>
        </w:rPr>
      </w:pPr>
      <w:r>
        <w:rPr>
          <w:rFonts w:ascii="Arial" w:cs="Arial" w:eastAsia="Arial" w:hAnsi="Arial"/>
          <w:sz w:val="22"/>
          <w:szCs w:val="22"/>
          <w:b w:val="1"/>
          <w:bCs w:val="1"/>
          <w:color w:val="auto"/>
        </w:rPr>
        <w:t>1.44.</w:t>
      </w:r>
      <w:r>
        <w:rPr>
          <w:rFonts w:ascii="Arial" w:cs="Arial" w:eastAsia="Arial" w:hAnsi="Arial"/>
          <w:sz w:val="22"/>
          <w:szCs w:val="22"/>
          <w:color w:val="auto"/>
        </w:rPr>
        <w:t>“</w:t>
      </w:r>
      <w:r>
        <w:rPr>
          <w:rFonts w:ascii="Arial" w:cs="Arial" w:eastAsia="Arial" w:hAnsi="Arial"/>
          <w:sz w:val="22"/>
          <w:szCs w:val="22"/>
          <w:b w:val="1"/>
          <w:bCs w:val="1"/>
          <w:color w:val="auto"/>
        </w:rPr>
        <w:t>CMC</w:t>
      </w:r>
      <w:r>
        <w:rPr>
          <w:rFonts w:ascii="Arial" w:cs="Arial" w:eastAsia="Arial" w:hAnsi="Arial"/>
          <w:sz w:val="22"/>
          <w:szCs w:val="22"/>
          <w:color w:val="auto"/>
        </w:rPr>
        <w:t>” means, chemistry, manufacturing and controls with respect to a product, which includes (a) manufacturing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process development records for such product; and (b) all chemistry, manufacturing and control procedures necessary or reasonably useful for the manufacture of such product.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1.45.</w:t>
      </w:r>
      <w:r>
        <w:rPr>
          <w:rFonts w:ascii="Arial" w:cs="Arial" w:eastAsia="Arial" w:hAnsi="Arial"/>
          <w:sz w:val="22"/>
          <w:szCs w:val="22"/>
          <w:color w:val="auto"/>
        </w:rPr>
        <w:t>“</w:t>
      </w:r>
      <w:r>
        <w:rPr>
          <w:rFonts w:ascii="Arial" w:cs="Arial" w:eastAsia="Arial" w:hAnsi="Arial"/>
          <w:sz w:val="22"/>
          <w:szCs w:val="22"/>
          <w:b w:val="1"/>
          <w:bCs w:val="1"/>
          <w:color w:val="auto"/>
        </w:rPr>
        <w:t>CMO</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3.3(b)</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37" w:lineRule="auto"/>
        <w:rPr>
          <w:sz w:val="20"/>
          <w:szCs w:val="20"/>
          <w:color w:val="auto"/>
        </w:rPr>
      </w:pPr>
      <w:r>
        <w:rPr>
          <w:rFonts w:ascii="Arial" w:cs="Arial" w:eastAsia="Arial" w:hAnsi="Arial"/>
          <w:sz w:val="22"/>
          <w:szCs w:val="22"/>
          <w:b w:val="1"/>
          <w:bCs w:val="1"/>
          <w:color w:val="auto"/>
        </w:rPr>
        <w:t>1.46.</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Product that is sold in the form of a combination containing or comprising the Compound</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with one or more other therapeutically active agents (whether co-formulated, co-packaged or otherwise sold for a single price) (such additional therapeutically active agent, an “</w:t>
      </w:r>
      <w:r>
        <w:rPr>
          <w:rFonts w:ascii="Arial" w:cs="Arial" w:eastAsia="Arial" w:hAnsi="Arial"/>
          <w:sz w:val="22"/>
          <w:szCs w:val="22"/>
          <w:b w:val="1"/>
          <w:bCs w:val="1"/>
          <w:color w:val="auto"/>
        </w:rPr>
        <w:t>Other Component</w:t>
      </w:r>
      <w:r>
        <w:rPr>
          <w:rFonts w:ascii="Arial" w:cs="Arial" w:eastAsia="Arial" w:hAnsi="Arial"/>
          <w:sz w:val="22"/>
          <w:szCs w:val="22"/>
          <w:color w:val="auto"/>
        </w:rPr>
        <w:t>”); or defined as a “combination product” by the FDA pursuant to 21 C.F.R. §3.2(e) or its foreign equivalent (but, in any event, excluding devices, drug delivery vehicles, adjuvants, solubilizers and excipients).</w:t>
      </w:r>
    </w:p>
    <w:p>
      <w:pPr>
        <w:spacing w:after="0" w:line="182"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1.47.</w:t>
      </w:r>
      <w:r>
        <w:rPr>
          <w:rFonts w:ascii="Arial" w:cs="Arial" w:eastAsia="Arial" w:hAnsi="Arial"/>
          <w:sz w:val="22"/>
          <w:szCs w:val="22"/>
          <w:color w:val="auto"/>
        </w:rPr>
        <w:t>“</w:t>
      </w:r>
      <w:r>
        <w:rPr>
          <w:rFonts w:ascii="Arial" w:cs="Arial" w:eastAsia="Arial" w:hAnsi="Arial"/>
          <w:sz w:val="22"/>
          <w:szCs w:val="22"/>
          <w:b w:val="1"/>
          <w:bCs w:val="1"/>
          <w:color w:val="auto"/>
        </w:rPr>
        <w:t>Commercial Manufacturing</w:t>
      </w:r>
      <w:r>
        <w:rPr>
          <w:rFonts w:ascii="Arial" w:cs="Arial" w:eastAsia="Arial" w:hAnsi="Arial"/>
          <w:sz w:val="22"/>
          <w:szCs w:val="22"/>
          <w:color w:val="auto"/>
        </w:rPr>
        <w:t>” means the Manufacture of the Compound or any Product (including the cost of</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the Compound contained in any Product) or acquisition of the Compound or any Product from a CMO, in each case, for Commercialization of such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right="260" w:firstLine="8"/>
        <w:spacing w:after="0" w:line="266" w:lineRule="auto"/>
        <w:tabs>
          <w:tab w:leader="none" w:pos="4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Product in the applicable Territory. “</w:t>
      </w:r>
      <w:r>
        <w:rPr>
          <w:rFonts w:ascii="Arial" w:cs="Arial" w:eastAsia="Arial" w:hAnsi="Arial"/>
          <w:sz w:val="22"/>
          <w:szCs w:val="22"/>
          <w:b w:val="1"/>
          <w:bCs w:val="1"/>
          <w:color w:val="auto"/>
        </w:rPr>
        <w:t>Commercial Manufacture</w:t>
      </w:r>
      <w:r>
        <w:rPr>
          <w:rFonts w:ascii="Arial" w:cs="Arial" w:eastAsia="Arial" w:hAnsi="Arial"/>
          <w:sz w:val="22"/>
          <w:szCs w:val="22"/>
          <w:color w:val="auto"/>
        </w:rPr>
        <w:t>” shall have a correlative meaning.</w:t>
      </w:r>
    </w:p>
    <w:p>
      <w:pPr>
        <w:spacing w:after="0" w:line="206" w:lineRule="exact"/>
        <w:rPr>
          <w:sz w:val="20"/>
          <w:szCs w:val="20"/>
          <w:color w:val="auto"/>
        </w:rPr>
      </w:pPr>
    </w:p>
    <w:p>
      <w:pPr>
        <w:jc w:val="both"/>
        <w:ind w:left="440" w:hanging="431"/>
        <w:spacing w:after="0" w:line="254" w:lineRule="auto"/>
        <w:rPr>
          <w:sz w:val="20"/>
          <w:szCs w:val="20"/>
          <w:color w:val="auto"/>
        </w:rPr>
      </w:pPr>
      <w:r>
        <w:rPr>
          <w:rFonts w:ascii="Arial" w:cs="Arial" w:eastAsia="Arial" w:hAnsi="Arial"/>
          <w:sz w:val="21"/>
          <w:szCs w:val="21"/>
          <w:b w:val="1"/>
          <w:bCs w:val="1"/>
          <w:color w:val="auto"/>
        </w:rPr>
        <w:t>1.48.</w:t>
      </w:r>
      <w:r>
        <w:rPr>
          <w:rFonts w:ascii="Arial" w:cs="Arial" w:eastAsia="Arial" w:hAnsi="Arial"/>
          <w:sz w:val="21"/>
          <w:szCs w:val="21"/>
          <w:color w:val="auto"/>
        </w:rPr>
        <w:t>“</w:t>
      </w:r>
      <w:r>
        <w:rPr>
          <w:rFonts w:ascii="Arial" w:cs="Arial" w:eastAsia="Arial" w:hAnsi="Arial"/>
          <w:sz w:val="21"/>
          <w:szCs w:val="21"/>
          <w:b w:val="1"/>
          <w:bCs w:val="1"/>
          <w:color w:val="auto"/>
        </w:rPr>
        <w:t>Commercialize</w:t>
      </w:r>
      <w:r>
        <w:rPr>
          <w:rFonts w:ascii="Arial" w:cs="Arial" w:eastAsia="Arial" w:hAnsi="Arial"/>
          <w:sz w:val="21"/>
          <w:szCs w:val="21"/>
          <w:color w:val="auto"/>
        </w:rPr>
        <w:t>” means, with respect to any product, any and all activities undertaken before and after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of any NDA for such product and that relate to the marketing, promoting, distributing, importing or exporting for sale, using, offering for sale and selling of such product, and interacting with Regulatory Authorities regarding the foregoing. “</w:t>
      </w:r>
      <w:r>
        <w:rPr>
          <w:rFonts w:ascii="Arial" w:cs="Arial" w:eastAsia="Arial" w:hAnsi="Arial"/>
          <w:sz w:val="21"/>
          <w:szCs w:val="21"/>
          <w:b w:val="1"/>
          <w:bCs w:val="1"/>
          <w:color w:val="auto"/>
        </w:rPr>
        <w:t>Commercializing</w:t>
      </w:r>
      <w:r>
        <w:rPr>
          <w:rFonts w:ascii="Arial" w:cs="Arial" w:eastAsia="Arial" w:hAnsi="Arial"/>
          <w:sz w:val="21"/>
          <w:szCs w:val="21"/>
          <w:color w:val="auto"/>
        </w:rPr>
        <w:t>” and “</w:t>
      </w:r>
      <w:r>
        <w:rPr>
          <w:rFonts w:ascii="Arial" w:cs="Arial" w:eastAsia="Arial" w:hAnsi="Arial"/>
          <w:sz w:val="21"/>
          <w:szCs w:val="21"/>
          <w:b w:val="1"/>
          <w:bCs w:val="1"/>
          <w:color w:val="auto"/>
        </w:rPr>
        <w:t>Commercialization</w:t>
      </w:r>
      <w:r>
        <w:rPr>
          <w:rFonts w:ascii="Arial" w:cs="Arial" w:eastAsia="Arial" w:hAnsi="Arial"/>
          <w:sz w:val="21"/>
          <w:szCs w:val="21"/>
          <w:color w:val="auto"/>
        </w:rPr>
        <w:t>” shall each have a correlative meaning.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1.49.</w:t>
      </w:r>
      <w:r>
        <w:rPr>
          <w:rFonts w:ascii="Arial" w:cs="Arial" w:eastAsia="Arial" w:hAnsi="Arial"/>
          <w:sz w:val="22"/>
          <w:szCs w:val="22"/>
          <w:color w:val="auto"/>
        </w:rPr>
        <w:t>“</w:t>
      </w:r>
      <w:r>
        <w:rPr>
          <w:rFonts w:ascii="Arial" w:cs="Arial" w:eastAsia="Arial" w:hAnsi="Arial"/>
          <w:sz w:val="22"/>
          <w:szCs w:val="22"/>
          <w:b w:val="1"/>
          <w:bCs w:val="1"/>
          <w:color w:val="auto"/>
        </w:rPr>
        <w:t>Commercialization Wind-Down Period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10.7(c)(iii)</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75" w:lineRule="auto"/>
        <w:rPr>
          <w:sz w:val="20"/>
          <w:szCs w:val="20"/>
          <w:color w:val="auto"/>
        </w:rPr>
      </w:pPr>
      <w:r>
        <w:rPr>
          <w:rFonts w:ascii="Arial" w:cs="Arial" w:eastAsia="Arial" w:hAnsi="Arial"/>
          <w:sz w:val="19"/>
          <w:szCs w:val="19"/>
          <w:b w:val="1"/>
          <w:bCs w:val="1"/>
          <w:color w:val="auto"/>
        </w:rPr>
        <w:t>1.50.</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performance of Development, Manufacturing or</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with respect to the Compound or any Product, or performance of any other obligations hereunder by or on behalf of a Party, a measure of effort and resources of such Party (including the collective effort and resources of its Affiliates, licensees and sublicensees) consistent with the exercise of prudent scientific and business judgment and the commercially reasonable practices of such Party for the development, commercialization and manufacture of a similarly situated pharmaceutical or biological product, as applicable, and with similar market potential at a similar stage of product life, taking into account [***]. “Commercially Reasonable Efforts” shall be determined on a country-by-country basis and activities that are conducted in one country that have an effect on achieving the relevant objective in another country shall be considered in determining whether Commercially Reasonable Efforts have been applied in such other countries.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1.51.</w:t>
      </w:r>
      <w:r>
        <w:rPr>
          <w:rFonts w:ascii="Arial" w:cs="Arial" w:eastAsia="Arial" w:hAnsi="Arial"/>
          <w:sz w:val="22"/>
          <w:szCs w:val="22"/>
          <w:color w:val="auto"/>
        </w:rPr>
        <w:t>“</w:t>
      </w:r>
      <w:r>
        <w:rPr>
          <w:rFonts w:ascii="Arial" w:cs="Arial" w:eastAsia="Arial" w:hAnsi="Arial"/>
          <w:sz w:val="22"/>
          <w:szCs w:val="22"/>
          <w:b w:val="1"/>
          <w:bCs w:val="1"/>
          <w:color w:val="auto"/>
        </w:rPr>
        <w:t>Competing Compound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44" w:lineRule="auto"/>
        <w:rPr>
          <w:sz w:val="20"/>
          <w:szCs w:val="20"/>
          <w:color w:val="auto"/>
        </w:rPr>
      </w:pPr>
      <w:r>
        <w:rPr>
          <w:rFonts w:ascii="Arial" w:cs="Arial" w:eastAsia="Arial" w:hAnsi="Arial"/>
          <w:sz w:val="21"/>
          <w:szCs w:val="21"/>
          <w:b w:val="1"/>
          <w:bCs w:val="1"/>
          <w:color w:val="auto"/>
        </w:rPr>
        <w:t>1.52.</w:t>
      </w:r>
      <w:r>
        <w:rPr>
          <w:rFonts w:ascii="Arial" w:cs="Arial" w:eastAsia="Arial" w:hAnsi="Arial"/>
          <w:sz w:val="21"/>
          <w:szCs w:val="21"/>
          <w:color w:val="auto"/>
        </w:rPr>
        <w:t>“</w:t>
      </w:r>
      <w:r>
        <w:rPr>
          <w:rFonts w:ascii="Arial" w:cs="Arial" w:eastAsia="Arial" w:hAnsi="Arial"/>
          <w:sz w:val="21"/>
          <w:szCs w:val="21"/>
          <w:b w:val="1"/>
          <w:bCs w:val="1"/>
          <w:color w:val="auto"/>
        </w:rPr>
        <w:t>Completion</w:t>
      </w:r>
      <w:r>
        <w:rPr>
          <w:rFonts w:ascii="Arial" w:cs="Arial" w:eastAsia="Arial" w:hAnsi="Arial"/>
          <w:sz w:val="21"/>
          <w:szCs w:val="21"/>
          <w:color w:val="auto"/>
        </w:rPr>
        <w:t>” means, with respect to the Ongoing Phase I Clinical Trial, GSK’s determination, acting reasonably and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good faith, that (a) the Ongoing Phase I Clinical Trial have concluded in the normal course in accordance with the study plan and protocol set forth on </w:t>
      </w:r>
      <w:r>
        <w:rPr>
          <w:rFonts w:ascii="Arial" w:cs="Arial" w:eastAsia="Arial" w:hAnsi="Arial"/>
          <w:sz w:val="21"/>
          <w:szCs w:val="21"/>
          <w:b w:val="1"/>
          <w:bCs w:val="1"/>
          <w:color w:val="auto"/>
        </w:rPr>
        <w:t>Schedule 3.4</w:t>
      </w:r>
      <w:r>
        <w:rPr>
          <w:rFonts w:ascii="Arial" w:cs="Arial" w:eastAsia="Arial" w:hAnsi="Arial"/>
          <w:sz w:val="21"/>
          <w:szCs w:val="21"/>
          <w:color w:val="auto"/>
        </w:rPr>
        <w:t xml:space="preserve">; and (b) Arrowhead or any of its Affiliates has completed all reasonable and customary analyses of the data and results of the Ongoing Phase I Clinical Trial and such other analyses in accordance with the study plan and protocol set forth on </w:t>
      </w:r>
      <w:r>
        <w:rPr>
          <w:rFonts w:ascii="Arial" w:cs="Arial" w:eastAsia="Arial" w:hAnsi="Arial"/>
          <w:sz w:val="21"/>
          <w:szCs w:val="21"/>
          <w:b w:val="1"/>
          <w:bCs w:val="1"/>
          <w:color w:val="auto"/>
        </w:rPr>
        <w:t>Schedule 3.4</w:t>
      </w:r>
      <w:r>
        <w:rPr>
          <w:rFonts w:ascii="Arial" w:cs="Arial" w:eastAsia="Arial" w:hAnsi="Arial"/>
          <w:sz w:val="21"/>
          <w:szCs w:val="21"/>
          <w:color w:val="auto"/>
        </w:rPr>
        <w:t>, including (i) clinical database lock, (ii) completion of all Regulatory Document submissions to Regulatory Authorities as required per local regulatory requirements, including the submission of the clinical study report, as applicable, (iii) finalization and quality control of the trial master file (TMF), which confirms that the Clinical Trial was conducted in accordance with relevant ICH guidelines, and (iv) completion of all activities listed in section 8.4 of the ICH Consensus Guideline E6(R2), Integrated Addendum to ICH E6(R1): Guideline for Good Clinical Practice, including the completion of the clinical study report; provided that if the Ongoing Phase I Clinical Trial is terminated early for any reason (including any Adverse Event, safety concern or other clinical failure), it shall not be deemed to have been “Completed” for purposes of this definition. “</w:t>
      </w:r>
      <w:r>
        <w:rPr>
          <w:rFonts w:ascii="Arial" w:cs="Arial" w:eastAsia="Arial" w:hAnsi="Arial"/>
          <w:sz w:val="21"/>
          <w:szCs w:val="21"/>
          <w:b w:val="1"/>
          <w:bCs w:val="1"/>
          <w:color w:val="auto"/>
        </w:rPr>
        <w:t>Completed</w:t>
      </w:r>
      <w:r>
        <w:rPr>
          <w:rFonts w:ascii="Arial" w:cs="Arial" w:eastAsia="Arial" w:hAnsi="Arial"/>
          <w:sz w:val="21"/>
          <w:szCs w:val="21"/>
          <w:color w:val="auto"/>
        </w:rPr>
        <w:t>”, “</w:t>
      </w:r>
      <w:r>
        <w:rPr>
          <w:rFonts w:ascii="Arial" w:cs="Arial" w:eastAsia="Arial" w:hAnsi="Arial"/>
          <w:sz w:val="21"/>
          <w:szCs w:val="21"/>
          <w:b w:val="1"/>
          <w:bCs w:val="1"/>
          <w:color w:val="auto"/>
        </w:rPr>
        <w:t>Completing</w:t>
      </w:r>
      <w:r>
        <w:rPr>
          <w:rFonts w:ascii="Arial" w:cs="Arial" w:eastAsia="Arial" w:hAnsi="Arial"/>
          <w:sz w:val="21"/>
          <w:szCs w:val="21"/>
          <w:color w:val="auto"/>
        </w:rPr>
        <w:t>”, or “</w:t>
      </w:r>
      <w:r>
        <w:rPr>
          <w:rFonts w:ascii="Arial" w:cs="Arial" w:eastAsia="Arial" w:hAnsi="Arial"/>
          <w:sz w:val="21"/>
          <w:szCs w:val="21"/>
          <w:b w:val="1"/>
          <w:bCs w:val="1"/>
          <w:color w:val="auto"/>
        </w:rPr>
        <w:t>Completes</w:t>
      </w:r>
      <w:r>
        <w:rPr>
          <w:rFonts w:ascii="Arial" w:cs="Arial" w:eastAsia="Arial" w:hAnsi="Arial"/>
          <w:sz w:val="21"/>
          <w:szCs w:val="21"/>
          <w:color w:val="auto"/>
        </w:rPr>
        <w:t>” shall each have a correlative meaning.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260" w:firstLine="8"/>
        <w:spacing w:after="0" w:line="266" w:lineRule="auto"/>
        <w:tabs>
          <w:tab w:leader="none" w:pos="43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jc w:val="both"/>
        <w:ind w:left="440" w:hanging="431"/>
        <w:spacing w:after="0" w:line="270" w:lineRule="auto"/>
        <w:rPr>
          <w:sz w:val="20"/>
          <w:szCs w:val="20"/>
          <w:color w:val="auto"/>
        </w:rPr>
      </w:pPr>
      <w:r>
        <w:rPr>
          <w:rFonts w:ascii="Arial" w:cs="Arial" w:eastAsia="Arial" w:hAnsi="Arial"/>
          <w:sz w:val="19"/>
          <w:szCs w:val="19"/>
          <w:b w:val="1"/>
          <w:bCs w:val="1"/>
          <w:color w:val="auto"/>
        </w:rPr>
        <w:t>1.53.</w:t>
      </w:r>
      <w:r>
        <w:rPr>
          <w:rFonts w:ascii="Arial" w:cs="Arial" w:eastAsia="Arial" w:hAnsi="Arial"/>
          <w:sz w:val="19"/>
          <w:szCs w:val="19"/>
          <w:color w:val="auto"/>
        </w:rPr>
        <w:t>“</w:t>
      </w:r>
      <w:r>
        <w:rPr>
          <w:rFonts w:ascii="Arial" w:cs="Arial" w:eastAsia="Arial" w:hAnsi="Arial"/>
          <w:sz w:val="19"/>
          <w:szCs w:val="19"/>
          <w:b w:val="1"/>
          <w:bCs w:val="1"/>
          <w:color w:val="auto"/>
        </w:rPr>
        <w:t>Compound</w:t>
      </w:r>
      <w:r>
        <w:rPr>
          <w:rFonts w:ascii="Arial" w:cs="Arial" w:eastAsia="Arial" w:hAnsi="Arial"/>
          <w:sz w:val="19"/>
          <w:szCs w:val="19"/>
          <w:color w:val="auto"/>
        </w:rPr>
        <w:t>” means (a) the chemical composition of matter known as “ARO-HSD” active pharmaceutical ingredient,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RNA Molecule linked to a targeting ligand comprising N-acetyl-galactosamine designed to reduce production of 17β-hydroxysteroid dehydrogenase type 13 (HSD17B13) as set forth on </w:t>
      </w:r>
      <w:r>
        <w:rPr>
          <w:rFonts w:ascii="Arial" w:cs="Arial" w:eastAsia="Arial" w:hAnsi="Arial"/>
          <w:sz w:val="19"/>
          <w:szCs w:val="19"/>
          <w:b w:val="1"/>
          <w:bCs w:val="1"/>
          <w:color w:val="auto"/>
        </w:rPr>
        <w:t>Schedule 1.53</w:t>
      </w:r>
      <w:r>
        <w:rPr>
          <w:rFonts w:ascii="Arial" w:cs="Arial" w:eastAsia="Arial" w:hAnsi="Arial"/>
          <w:sz w:val="19"/>
          <w:szCs w:val="19"/>
          <w:color w:val="auto"/>
        </w:rPr>
        <w:t xml:space="preserve"> and any salts, hydrates, solvates, esters, metabolites, intermediates (including the Registered Starting Material ([***])), stereoisomers, polymorph, complexes, cocrystals, derivatives and formulations of such composition of matter in this clause (a); and (b) any other chemical composition of matter that (i) comprises (A) an RNA Molecule targeting an 17β-hydroxysteroid dehydrogenase type 13 (HSD17B13) gene or variant thereof, or (B) (1) an RNA transcribed from an 17β-hydroxysteroid dehydrogenase type 13</w:t>
      </w:r>
    </w:p>
    <w:p>
      <w:pPr>
        <w:spacing w:after="0" w:line="4" w:lineRule="exact"/>
        <w:rPr>
          <w:sz w:val="20"/>
          <w:szCs w:val="20"/>
          <w:color w:val="auto"/>
        </w:rPr>
      </w:pPr>
    </w:p>
    <w:p>
      <w:pPr>
        <w:jc w:val="both"/>
        <w:ind w:left="440"/>
        <w:spacing w:after="0" w:line="233" w:lineRule="auto"/>
        <w:rPr>
          <w:sz w:val="20"/>
          <w:szCs w:val="20"/>
          <w:color w:val="auto"/>
        </w:rPr>
      </w:pPr>
      <w:r>
        <w:rPr>
          <w:rFonts w:ascii="Arial" w:cs="Arial" w:eastAsia="Arial" w:hAnsi="Arial"/>
          <w:sz w:val="22"/>
          <w:szCs w:val="22"/>
          <w:color w:val="auto"/>
        </w:rPr>
        <w:t>(HSD17B13) gene or variant thereof or (2) a protein expressed from the RNA of clause (1), in each case ((1) and (2)), targeting an 17β-hydroxysteroid dehydrogenase type 13 (HSD17B13) gene or variant thereof and (ii) is Covered by a Valid Claim of an Arrowhead Patent, and any salts, hydrates, solvates, esters, metabolites, intermediates (including the Registered Starting Material ([***]), if applicable), stereoisomers, polymorph, complexes, cocrystals, derivatives and formulations of such composition of matter in this clause (b).</w:t>
      </w:r>
    </w:p>
    <w:p>
      <w:pPr>
        <w:spacing w:after="0" w:line="179" w:lineRule="exact"/>
        <w:rPr>
          <w:sz w:val="20"/>
          <w:szCs w:val="20"/>
          <w:color w:val="auto"/>
        </w:rPr>
      </w:pPr>
    </w:p>
    <w:p>
      <w:pPr>
        <w:jc w:val="both"/>
        <w:ind w:left="440" w:hanging="431"/>
        <w:spacing w:after="0" w:line="272" w:lineRule="auto"/>
        <w:rPr>
          <w:sz w:val="20"/>
          <w:szCs w:val="20"/>
          <w:color w:val="auto"/>
        </w:rPr>
      </w:pPr>
      <w:r>
        <w:rPr>
          <w:rFonts w:ascii="Arial" w:cs="Arial" w:eastAsia="Arial" w:hAnsi="Arial"/>
          <w:sz w:val="19"/>
          <w:szCs w:val="19"/>
          <w:b w:val="1"/>
          <w:bCs w:val="1"/>
          <w:color w:val="auto"/>
        </w:rPr>
        <w:t>1.54.</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of a Party (“</w:t>
      </w:r>
      <w:r>
        <w:rPr>
          <w:rFonts w:ascii="Arial" w:cs="Arial" w:eastAsia="Arial" w:hAnsi="Arial"/>
          <w:sz w:val="19"/>
          <w:szCs w:val="19"/>
          <w:b w:val="1"/>
          <w:bCs w:val="1"/>
          <w:color w:val="auto"/>
        </w:rPr>
        <w:t>Disclosing Party</w:t>
      </w:r>
      <w:r>
        <w:rPr>
          <w:rFonts w:ascii="Arial" w:cs="Arial" w:eastAsia="Arial" w:hAnsi="Arial"/>
          <w:sz w:val="19"/>
          <w:szCs w:val="19"/>
          <w:color w:val="auto"/>
        </w:rPr>
        <w:t>”) means any and all non-public or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business, operations or products of such Disclosing Party or any of its Affiliates, including any Know-How, that such Disclosing Party or its Affiliate discloses or disclosed to the other Party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or its Affiliate under this Agreement or the Existing Confidentiality Agreement, or otherwise becomes known to the Receiving Party by virtue of this Agreement; provided, however, that, notwithstanding the foregoing, (a) the existence and the terms and conditions of this Agreement; and (b) any Arrowhead Know-How that is specifically related to the Compounds or any Product (including any Arrowhead Know-How comprising any data or results of the Ongoing Phase I Clinical Trial), in each case ((a) or (b)), shall be deemed to be the Party’s joint Confidential Information, with both Parties deemed to be the Receiving Party of such Confidential Information; provided, further, in the event that GSK obtains exclusive rights under the Arrowhead Technology to Develop, Manufacture and Commercialize the Compound and Products in Greater China pursuant to Section 2.10(c), during the remainder of the Term, any Arrowhead Know-How set forth in clause (b) above shall be deemed to be GSK’s Confidential Information and GSK shall be deemed to be the Disclosing Party and Arrowhead shall be deemed to be the Receiving Party with respect thereto, in all cases, unless and to the extent any such information is disclosed in any press release, presentation or other form of public disclosure permitted under </w:t>
      </w:r>
      <w:r>
        <w:rPr>
          <w:rFonts w:ascii="Arial" w:cs="Arial" w:eastAsia="Arial" w:hAnsi="Arial"/>
          <w:sz w:val="19"/>
          <w:szCs w:val="19"/>
          <w:u w:val="single" w:color="auto"/>
          <w:color w:val="auto"/>
        </w:rPr>
        <w:t>Article 7</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6238875</wp:posOffset>
            </wp:positionH>
            <wp:positionV relativeFrom="paragraph">
              <wp:posOffset>-666115</wp:posOffset>
            </wp:positionV>
            <wp:extent cx="8636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31" w:lineRule="exact"/>
        <w:rPr>
          <w:sz w:val="20"/>
          <w:szCs w:val="20"/>
          <w:color w:val="auto"/>
        </w:rPr>
      </w:pPr>
    </w:p>
    <w:p>
      <w:pPr>
        <w:jc w:val="both"/>
        <w:ind w:left="440" w:hanging="431"/>
        <w:spacing w:after="0" w:line="276" w:lineRule="auto"/>
        <w:rPr>
          <w:sz w:val="20"/>
          <w:szCs w:val="20"/>
          <w:color w:val="auto"/>
        </w:rPr>
      </w:pPr>
      <w:r>
        <w:rPr>
          <w:rFonts w:ascii="Arial" w:cs="Arial" w:eastAsia="Arial" w:hAnsi="Arial"/>
          <w:sz w:val="19"/>
          <w:szCs w:val="19"/>
          <w:b w:val="1"/>
          <w:bCs w:val="1"/>
          <w:color w:val="auto"/>
        </w:rPr>
        <w:t>1.55.</w:t>
      </w:r>
      <w:r>
        <w:rPr>
          <w:rFonts w:ascii="Arial" w:cs="Arial" w:eastAsia="Arial" w:hAnsi="Arial"/>
          <w:sz w:val="19"/>
          <w:szCs w:val="19"/>
          <w:color w:val="auto"/>
        </w:rPr>
        <w:t>“</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Patents, Know-How, Regulatory Approvals, Regulatory Documents or materials,</w:t>
      </w:r>
      <w:r>
        <w:rPr>
          <w:rFonts w:ascii="Arial" w:cs="Arial" w:eastAsia="Arial" w:hAnsi="Arial"/>
          <w:sz w:val="19"/>
          <w:szCs w:val="19"/>
          <w:b w:val="1"/>
          <w:bCs w:val="1"/>
          <w:color w:val="auto"/>
        </w:rPr>
        <w:t xml:space="preserve"> </w:t>
      </w:r>
      <w:r>
        <w:rPr>
          <w:rFonts w:ascii="Arial" w:cs="Arial" w:eastAsia="Arial" w:hAnsi="Arial"/>
          <w:sz w:val="19"/>
          <w:szCs w:val="19"/>
          <w:color w:val="auto"/>
        </w:rPr>
        <w:t>that a Party or one of its Affiliates, directly or indirectly, owns or has a license or sublicense (other than by a license, sublicense or other right granted (but not assignment) pursuant to this Agreement) to the applicable Patents, Know-How, Regulatory Approvals, Regulatory Documents or materials (or in the case of materials, has the right to physical possession of such materials) and has the ability to grant a license, sublicense, or right of access and use under, such Patents, Know-How, Regulatory Approvals, Regulatory Documents or materials as provided for in this Agreement without (a) violating the terms of any agreement or other arrangement with any Third Party in existence as of the time such Party or its Affiliate would be required hereunder to grant such license, sublicense, or right of access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right="260" w:firstLine="8"/>
        <w:spacing w:after="0" w:line="266" w:lineRule="auto"/>
        <w:tabs>
          <w:tab w:leader="none" w:pos="43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440"/>
        <w:spacing w:after="0" w:line="328" w:lineRule="auto"/>
        <w:rPr>
          <w:sz w:val="20"/>
          <w:szCs w:val="20"/>
          <w:color w:val="auto"/>
        </w:rPr>
      </w:pPr>
      <w:r>
        <w:rPr>
          <w:rFonts w:ascii="Arial" w:cs="Arial" w:eastAsia="Arial" w:hAnsi="Arial"/>
          <w:sz w:val="19"/>
          <w:szCs w:val="19"/>
          <w:color w:val="auto"/>
        </w:rPr>
        <w:t>and use; and (b) incurring any additional payment obligations to a Third Party that are not subject to an allocation agreed between the Parties pursuant to this Agreement or otherwise in writing. “</w:t>
      </w:r>
      <w:r>
        <w:rPr>
          <w:rFonts w:ascii="Arial" w:cs="Arial" w:eastAsia="Arial" w:hAnsi="Arial"/>
          <w:sz w:val="19"/>
          <w:szCs w:val="19"/>
          <w:b w:val="1"/>
          <w:bCs w:val="1"/>
          <w:color w:val="auto"/>
        </w:rPr>
        <w:t>Controlled</w:t>
      </w:r>
      <w:r>
        <w:rPr>
          <w:rFonts w:ascii="Arial" w:cs="Arial" w:eastAsia="Arial" w:hAnsi="Arial"/>
          <w:sz w:val="19"/>
          <w:szCs w:val="19"/>
          <w:color w:val="auto"/>
        </w:rPr>
        <w:t>” has a correlative meaning.</w:t>
      </w:r>
    </w:p>
    <w:p>
      <w:pPr>
        <w:spacing w:after="0" w:line="105" w:lineRule="exact"/>
        <w:rPr>
          <w:sz w:val="20"/>
          <w:szCs w:val="20"/>
          <w:color w:val="auto"/>
        </w:rPr>
      </w:pPr>
    </w:p>
    <w:p>
      <w:pPr>
        <w:jc w:val="both"/>
        <w:ind w:left="440" w:hanging="539"/>
        <w:spacing w:after="0" w:line="271" w:lineRule="auto"/>
        <w:rPr>
          <w:sz w:val="20"/>
          <w:szCs w:val="20"/>
          <w:color w:val="auto"/>
        </w:rPr>
      </w:pPr>
      <w:r>
        <w:rPr>
          <w:rFonts w:ascii="Arial" w:cs="Arial" w:eastAsia="Arial" w:hAnsi="Arial"/>
          <w:sz w:val="19"/>
          <w:szCs w:val="19"/>
          <w:color w:val="auto"/>
        </w:rPr>
        <w:t>twithstanding anything in this Agreement to the contrary, a Party or its Affiliates will be deemed not to Control any Patents, Know-How, Regulatory Approvals, Regulatory Documents or materials that are owned or in-licensed by an Acquirer except (i) if such Patents, Know-How, Regulatory Approvals, Regulatory Documents or materials owned or in-licensed by the Acquirer were generated from participation by employees or consultants of such Acquirer in furtherance of Development, Manufacturing or Commercialization activities with respect to the Compound or any Product under this Agreement after such Change of Control, (ii) for any Patents, Know-How, Regulatory Approvals, Regulatory Documents or materials owned or in-licensed by such Acquirer not used in the performance of Development, Manufacturing or Commercialization activities with respect to the Compound or any Product under this Agreement prior to the consummation of such Change of Control that, after the consummation of such Change of Control, are used by such acquired Party or any of its Affiliates in the performance of Development, Manufacturing or Commercialization activities with respect to the Compound or any Product under this Agreement, or (iii) if, prior to the consummation of such Change of Control, such acquired Party or any of its Affiliates also Controlled such Patents, Know-How, Regulatory Approvals, Regulatory Documents or materials owned or in-licensed by such Acquirer, in each of which cases ((i)–(iii)), such Patents, Know-How, Regulatory Approvals, Regulatory Documents or materials owned or in-licensed by such Acquirer will be deemed Controlled by the acquired Party or its Affiliates for purposes of this Agreement.</w:t>
      </w:r>
    </w:p>
    <w:p>
      <w:pPr>
        <w:spacing w:after="0" w:line="154" w:lineRule="exact"/>
        <w:rPr>
          <w:sz w:val="20"/>
          <w:szCs w:val="20"/>
          <w:color w:val="auto"/>
        </w:rPr>
      </w:pPr>
    </w:p>
    <w:p>
      <w:pPr>
        <w:jc w:val="both"/>
        <w:ind w:left="440" w:hanging="431"/>
        <w:spacing w:after="0" w:line="300" w:lineRule="auto"/>
        <w:rPr>
          <w:sz w:val="20"/>
          <w:szCs w:val="20"/>
          <w:color w:val="auto"/>
        </w:rPr>
      </w:pPr>
      <w:r>
        <w:rPr>
          <w:rFonts w:ascii="Arial" w:cs="Arial" w:eastAsia="Arial" w:hAnsi="Arial"/>
          <w:sz w:val="19"/>
          <w:szCs w:val="19"/>
          <w:b w:val="1"/>
          <w:bCs w:val="1"/>
          <w:color w:val="auto"/>
        </w:rPr>
        <w:t>1.56.</w:t>
      </w:r>
      <w:r>
        <w:rPr>
          <w:rFonts w:ascii="Arial" w:cs="Arial" w:eastAsia="Arial" w:hAnsi="Arial"/>
          <w:sz w:val="19"/>
          <w:szCs w:val="19"/>
          <w:color w:val="auto"/>
        </w:rPr>
        <w:t>“</w:t>
      </w:r>
      <w:r>
        <w:rPr>
          <w:rFonts w:ascii="Arial" w:cs="Arial" w:eastAsia="Arial" w:hAnsi="Arial"/>
          <w:sz w:val="19"/>
          <w:szCs w:val="19"/>
          <w:b w:val="1"/>
          <w:bCs w:val="1"/>
          <w:color w:val="auto"/>
        </w:rPr>
        <w:t>Cover</w:t>
      </w:r>
      <w:r>
        <w:rPr>
          <w:rFonts w:ascii="Arial" w:cs="Arial" w:eastAsia="Arial" w:hAnsi="Arial"/>
          <w:sz w:val="19"/>
          <w:szCs w:val="19"/>
          <w:color w:val="auto"/>
        </w:rPr>
        <w:t>,” “</w:t>
      </w:r>
      <w:r>
        <w:rPr>
          <w:rFonts w:ascii="Arial" w:cs="Arial" w:eastAsia="Arial" w:hAnsi="Arial"/>
          <w:sz w:val="19"/>
          <w:szCs w:val="19"/>
          <w:b w:val="1"/>
          <w:bCs w:val="1"/>
          <w:color w:val="auto"/>
        </w:rPr>
        <w:t>Covering</w:t>
      </w:r>
      <w:r>
        <w:rPr>
          <w:rFonts w:ascii="Arial" w:cs="Arial" w:eastAsia="Arial" w:hAnsi="Arial"/>
          <w:sz w:val="19"/>
          <w:szCs w:val="19"/>
          <w:color w:val="auto"/>
        </w:rPr>
        <w:t>” or “</w:t>
      </w:r>
      <w:r>
        <w:rPr>
          <w:rFonts w:ascii="Arial" w:cs="Arial" w:eastAsia="Arial" w:hAnsi="Arial"/>
          <w:sz w:val="19"/>
          <w:szCs w:val="19"/>
          <w:b w:val="1"/>
          <w:bCs w:val="1"/>
          <w:color w:val="auto"/>
        </w:rPr>
        <w:t>Covered</w:t>
      </w:r>
      <w:r>
        <w:rPr>
          <w:rFonts w:ascii="Arial" w:cs="Arial" w:eastAsia="Arial" w:hAnsi="Arial"/>
          <w:sz w:val="19"/>
          <w:szCs w:val="19"/>
          <w:color w:val="auto"/>
        </w:rPr>
        <w:t>” means, with respect to the applicable Compound or Product in any country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Patent, that the making, offering for sale, selling, importing or using of such Product would, but for a license granted under such Compound or Patent, infringe any Valid Claim of such Patent in such country in which that activity occurs.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1.57.</w:t>
      </w:r>
      <w:r>
        <w:rPr>
          <w:rFonts w:ascii="Arial" w:cs="Arial" w:eastAsia="Arial" w:hAnsi="Arial"/>
          <w:sz w:val="22"/>
          <w:szCs w:val="22"/>
          <w:color w:val="auto"/>
        </w:rPr>
        <w:t>“</w:t>
      </w:r>
      <w:r>
        <w:rPr>
          <w:rFonts w:ascii="Arial" w:cs="Arial" w:eastAsia="Arial" w:hAnsi="Arial"/>
          <w:sz w:val="22"/>
          <w:szCs w:val="22"/>
          <w:b w:val="1"/>
          <w:bCs w:val="1"/>
          <w:color w:val="auto"/>
        </w:rPr>
        <w:t>Defending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6.5(b)</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80" w:lineRule="auto"/>
        <w:rPr>
          <w:sz w:val="20"/>
          <w:szCs w:val="20"/>
          <w:color w:val="auto"/>
        </w:rPr>
      </w:pPr>
      <w:r>
        <w:rPr>
          <w:rFonts w:ascii="Arial" w:cs="Arial" w:eastAsia="Arial" w:hAnsi="Arial"/>
          <w:sz w:val="19"/>
          <w:szCs w:val="19"/>
          <w:b w:val="1"/>
          <w:bCs w:val="1"/>
          <w:color w:val="auto"/>
        </w:rPr>
        <w:t>1.58.</w:t>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means, with respect to any product, the performance of all research, pre-clinical and clinical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toxicology, pharmacology, test method development and stability testing, process development, formulation development, quality control development, and statistical analysis), Clinical Trials (excluding Clinical Trials conducted after Regulatory Approval of an NDA), Manufacturing and regulatory activities that are required to obtain Regulatory Approval of such product in the Territory. For clarity, the definition of “Development” shall exclude all Commercialization activities. “</w:t>
      </w:r>
      <w:r>
        <w:rPr>
          <w:rFonts w:ascii="Arial" w:cs="Arial" w:eastAsia="Arial" w:hAnsi="Arial"/>
          <w:sz w:val="19"/>
          <w:szCs w:val="19"/>
          <w:b w:val="1"/>
          <w:bCs w:val="1"/>
          <w:color w:val="auto"/>
        </w:rPr>
        <w:t>Developing</w:t>
      </w:r>
      <w:r>
        <w:rPr>
          <w:rFonts w:ascii="Arial" w:cs="Arial" w:eastAsia="Arial" w:hAnsi="Arial"/>
          <w:sz w:val="19"/>
          <w:szCs w:val="19"/>
          <w:color w:val="auto"/>
        </w:rPr>
        <w:t>” and “</w:t>
      </w:r>
      <w:r>
        <w:rPr>
          <w:rFonts w:ascii="Arial" w:cs="Arial" w:eastAsia="Arial" w:hAnsi="Arial"/>
          <w:sz w:val="19"/>
          <w:szCs w:val="19"/>
          <w:b w:val="1"/>
          <w:bCs w:val="1"/>
          <w:color w:val="auto"/>
        </w:rPr>
        <w:t>Development</w:t>
      </w:r>
      <w:r>
        <w:rPr>
          <w:rFonts w:ascii="Arial" w:cs="Arial" w:eastAsia="Arial" w:hAnsi="Arial"/>
          <w:sz w:val="19"/>
          <w:szCs w:val="19"/>
          <w:color w:val="auto"/>
        </w:rPr>
        <w:t>” shall each have a correlative meaning.</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1.59.</w:t>
      </w:r>
      <w:r>
        <w:rPr>
          <w:rFonts w:ascii="Arial" w:cs="Arial" w:eastAsia="Arial" w:hAnsi="Arial"/>
          <w:sz w:val="22"/>
          <w:szCs w:val="22"/>
          <w:color w:val="auto"/>
        </w:rPr>
        <w:t>“</w:t>
      </w:r>
      <w:r>
        <w:rPr>
          <w:rFonts w:ascii="Arial" w:cs="Arial" w:eastAsia="Arial" w:hAnsi="Arial"/>
          <w:sz w:val="22"/>
          <w:szCs w:val="22"/>
          <w:b w:val="1"/>
          <w:bCs w:val="1"/>
          <w:color w:val="auto"/>
        </w:rPr>
        <w:t>Development Milestone Event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1.60.</w:t>
      </w:r>
      <w:r>
        <w:rPr>
          <w:rFonts w:ascii="Arial" w:cs="Arial" w:eastAsia="Arial" w:hAnsi="Arial"/>
          <w:sz w:val="22"/>
          <w:szCs w:val="22"/>
          <w:color w:val="auto"/>
        </w:rPr>
        <w:t>“</w:t>
      </w:r>
      <w:r>
        <w:rPr>
          <w:rFonts w:ascii="Arial" w:cs="Arial" w:eastAsia="Arial" w:hAnsi="Arial"/>
          <w:sz w:val="22"/>
          <w:szCs w:val="22"/>
          <w:b w:val="1"/>
          <w:bCs w:val="1"/>
          <w:color w:val="auto"/>
        </w:rPr>
        <w:t>Development Milestone Payment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1.61.</w:t>
      </w:r>
      <w:r>
        <w:rPr>
          <w:rFonts w:ascii="Arial" w:cs="Arial" w:eastAsia="Arial" w:hAnsi="Arial"/>
          <w:sz w:val="22"/>
          <w:szCs w:val="22"/>
          <w:color w:val="auto"/>
        </w:rPr>
        <w:t>“</w:t>
      </w:r>
      <w:r>
        <w:rPr>
          <w:rFonts w:ascii="Arial" w:cs="Arial" w:eastAsia="Arial" w:hAnsi="Arial"/>
          <w:sz w:val="22"/>
          <w:szCs w:val="22"/>
          <w:b w:val="1"/>
          <w:bCs w:val="1"/>
          <w:color w:val="auto"/>
        </w:rPr>
        <w:t>Development Report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3.8(a)</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260" w:firstLine="8"/>
        <w:spacing w:after="0" w:line="266" w:lineRule="auto"/>
        <w:tabs>
          <w:tab w:leader="none" w:pos="43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1.62.</w:t>
      </w: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1.54</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1.63.</w:t>
      </w: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1.64.</w:t>
      </w: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a successor agency thereto.</w:t>
      </w:r>
    </w:p>
    <w:p>
      <w:pPr>
        <w:spacing w:after="0" w:line="206"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1.65.</w:t>
      </w:r>
      <w:r>
        <w:rPr>
          <w:rFonts w:ascii="Arial" w:cs="Arial" w:eastAsia="Arial" w:hAnsi="Arial"/>
          <w:sz w:val="22"/>
          <w:szCs w:val="22"/>
          <w:color w:val="auto"/>
        </w:rPr>
        <w:t>“</w:t>
      </w:r>
      <w:r>
        <w:rPr>
          <w:rFonts w:ascii="Arial" w:cs="Arial" w:eastAsia="Arial" w:hAnsi="Arial"/>
          <w:sz w:val="22"/>
          <w:szCs w:val="22"/>
          <w:b w:val="1"/>
          <w:bCs w:val="1"/>
          <w:color w:val="auto"/>
        </w:rPr>
        <w:t>Enforcement Action</w:t>
      </w:r>
      <w:r>
        <w:rPr>
          <w:rFonts w:ascii="Arial" w:cs="Arial" w:eastAsia="Arial" w:hAnsi="Arial"/>
          <w:sz w:val="22"/>
          <w:szCs w:val="22"/>
          <w:color w:val="auto"/>
        </w:rPr>
        <w:t>” means, as applicable in context, an infringement action or suit or similar action to abate,</w:t>
      </w:r>
      <w:r>
        <w:rPr>
          <w:rFonts w:ascii="Arial" w:cs="Arial" w:eastAsia="Arial" w:hAnsi="Arial"/>
          <w:sz w:val="22"/>
          <w:szCs w:val="22"/>
          <w:b w:val="1"/>
          <w:bCs w:val="1"/>
          <w:color w:val="auto"/>
        </w:rPr>
        <w:t xml:space="preserve"> </w:t>
      </w:r>
      <w:r>
        <w:rPr>
          <w:rFonts w:ascii="Arial" w:cs="Arial" w:eastAsia="Arial" w:hAnsi="Arial"/>
          <w:sz w:val="22"/>
          <w:szCs w:val="22"/>
          <w:color w:val="auto"/>
        </w:rPr>
        <w:t>compromise or settle any Third Party Competing Infringement, or an action or claim to defend, attempt to resolve, compromise or settle any Third Party Patent Action.</w:t>
      </w:r>
    </w:p>
    <w:p>
      <w:pPr>
        <w:spacing w:after="0" w:line="177"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1.66.</w:t>
      </w:r>
      <w:r>
        <w:rPr>
          <w:rFonts w:ascii="Arial" w:cs="Arial" w:eastAsia="Arial" w:hAnsi="Arial"/>
          <w:sz w:val="22"/>
          <w:szCs w:val="22"/>
          <w:color w:val="auto"/>
        </w:rPr>
        <w:t>“</w:t>
      </w:r>
      <w:r>
        <w:rPr>
          <w:rFonts w:ascii="Arial" w:cs="Arial" w:eastAsia="Arial" w:hAnsi="Arial"/>
          <w:sz w:val="22"/>
          <w:szCs w:val="22"/>
          <w:b w:val="1"/>
          <w:bCs w:val="1"/>
          <w:color w:val="auto"/>
        </w:rPr>
        <w:t>European Union</w:t>
      </w:r>
      <w:r>
        <w:rPr>
          <w:rFonts w:ascii="Arial" w:cs="Arial" w:eastAsia="Arial" w:hAnsi="Arial"/>
          <w:sz w:val="22"/>
          <w:szCs w:val="22"/>
          <w:color w:val="auto"/>
        </w:rPr>
        <w:t>” or “</w:t>
      </w:r>
      <w:r>
        <w:rPr>
          <w:rFonts w:ascii="Arial" w:cs="Arial" w:eastAsia="Arial" w:hAnsi="Arial"/>
          <w:sz w:val="22"/>
          <w:szCs w:val="22"/>
          <w:b w:val="1"/>
          <w:bCs w:val="1"/>
          <w:color w:val="auto"/>
        </w:rPr>
        <w:t>E.U.</w:t>
      </w:r>
      <w:r>
        <w:rPr>
          <w:rFonts w:ascii="Arial" w:cs="Arial" w:eastAsia="Arial" w:hAnsi="Arial"/>
          <w:sz w:val="22"/>
          <w:szCs w:val="22"/>
          <w:color w:val="auto"/>
        </w:rPr>
        <w:t>” means the economic, scientific, and political organization of member states of the European</w:t>
      </w:r>
      <w:r>
        <w:rPr>
          <w:rFonts w:ascii="Arial" w:cs="Arial" w:eastAsia="Arial" w:hAnsi="Arial"/>
          <w:sz w:val="22"/>
          <w:szCs w:val="22"/>
          <w:b w:val="1"/>
          <w:bCs w:val="1"/>
          <w:color w:val="auto"/>
        </w:rPr>
        <w:t xml:space="preserve"> </w:t>
      </w:r>
      <w:r>
        <w:rPr>
          <w:rFonts w:ascii="Arial" w:cs="Arial" w:eastAsia="Arial" w:hAnsi="Arial"/>
          <w:sz w:val="22"/>
          <w:szCs w:val="22"/>
          <w:color w:val="auto"/>
        </w:rPr>
        <w:t>Union as it may be constituted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1.67.</w:t>
      </w:r>
      <w:r>
        <w:rPr>
          <w:rFonts w:ascii="Arial" w:cs="Arial" w:eastAsia="Arial" w:hAnsi="Arial"/>
          <w:sz w:val="22"/>
          <w:szCs w:val="22"/>
          <w:color w:val="auto"/>
        </w:rPr>
        <w:t>“</w:t>
      </w:r>
      <w:r>
        <w:rPr>
          <w:rFonts w:ascii="Arial" w:cs="Arial" w:eastAsia="Arial" w:hAnsi="Arial"/>
          <w:sz w:val="22"/>
          <w:szCs w:val="22"/>
          <w:b w:val="1"/>
          <w:bCs w:val="1"/>
          <w:color w:val="auto"/>
        </w:rPr>
        <w:t>Exclusivity Term</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1.68.</w:t>
      </w:r>
      <w:r>
        <w:rPr>
          <w:rFonts w:ascii="Arial" w:cs="Arial" w:eastAsia="Arial" w:hAnsi="Arial"/>
          <w:sz w:val="22"/>
          <w:szCs w:val="22"/>
          <w:color w:val="auto"/>
        </w:rPr>
        <w:t>“</w:t>
      </w:r>
      <w:r>
        <w:rPr>
          <w:rFonts w:ascii="Arial" w:cs="Arial" w:eastAsia="Arial" w:hAnsi="Arial"/>
          <w:sz w:val="22"/>
          <w:szCs w:val="22"/>
          <w:b w:val="1"/>
          <w:bCs w:val="1"/>
          <w:color w:val="auto"/>
        </w:rPr>
        <w:t>Execution Date</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1.69.</w:t>
      </w:r>
      <w:r>
        <w:rPr>
          <w:rFonts w:ascii="Arial" w:cs="Arial" w:eastAsia="Arial" w:hAnsi="Arial"/>
          <w:sz w:val="22"/>
          <w:szCs w:val="22"/>
          <w:color w:val="auto"/>
        </w:rPr>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together, the Chief Scientific Officer and President R&amp;D of GSK (or a designee) and the Chief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of Arrowhead.</w:t>
      </w:r>
    </w:p>
    <w:p>
      <w:pPr>
        <w:spacing w:after="0" w:line="162"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1.70.</w:t>
      </w:r>
      <w:r>
        <w:rPr>
          <w:rFonts w:ascii="Arial" w:cs="Arial" w:eastAsia="Arial" w:hAnsi="Arial"/>
          <w:sz w:val="22"/>
          <w:szCs w:val="22"/>
          <w:color w:val="auto"/>
        </w:rPr>
        <w:t>“</w:t>
      </w:r>
      <w:r>
        <w:rPr>
          <w:rFonts w:ascii="Arial" w:cs="Arial" w:eastAsia="Arial" w:hAnsi="Arial"/>
          <w:sz w:val="22"/>
          <w:szCs w:val="22"/>
          <w:b w:val="1"/>
          <w:bCs w:val="1"/>
          <w:color w:val="auto"/>
        </w:rPr>
        <w:t>Existing Confidentiality Agreement</w:t>
      </w:r>
      <w:r>
        <w:rPr>
          <w:rFonts w:ascii="Arial" w:cs="Arial" w:eastAsia="Arial" w:hAnsi="Arial"/>
          <w:sz w:val="22"/>
          <w:szCs w:val="22"/>
          <w:color w:val="auto"/>
        </w:rPr>
        <w:t>” means that certain Confidential Disclosure Agreement, by and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GlaxoSmithKline, LLC and Arrowhead, dated as of March 24, 2021.</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1.71.</w:t>
      </w: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or a successor federal agency thereto.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1.72.</w:t>
      </w: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any and all uses.</w:t>
      </w:r>
    </w:p>
    <w:p>
      <w:pPr>
        <w:spacing w:after="0" w:line="206" w:lineRule="exact"/>
        <w:rPr>
          <w:sz w:val="20"/>
          <w:szCs w:val="20"/>
          <w:color w:val="auto"/>
        </w:rPr>
      </w:pPr>
    </w:p>
    <w:p>
      <w:pPr>
        <w:jc w:val="both"/>
        <w:ind w:left="440" w:hanging="431"/>
        <w:spacing w:after="0" w:line="274" w:lineRule="auto"/>
        <w:rPr>
          <w:sz w:val="20"/>
          <w:szCs w:val="20"/>
          <w:color w:val="auto"/>
        </w:rPr>
      </w:pPr>
      <w:r>
        <w:rPr>
          <w:rFonts w:ascii="Arial" w:cs="Arial" w:eastAsia="Arial" w:hAnsi="Arial"/>
          <w:sz w:val="19"/>
          <w:szCs w:val="19"/>
          <w:b w:val="1"/>
          <w:bCs w:val="1"/>
          <w:color w:val="auto"/>
        </w:rPr>
        <w:t>1.73.</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 Product, on a country-by-country basis, the first commercial sale for</w:t>
      </w:r>
      <w:r>
        <w:rPr>
          <w:rFonts w:ascii="Arial" w:cs="Arial" w:eastAsia="Arial" w:hAnsi="Arial"/>
          <w:sz w:val="19"/>
          <w:szCs w:val="19"/>
          <w:b w:val="1"/>
          <w:bCs w:val="1"/>
          <w:color w:val="auto"/>
        </w:rPr>
        <w:t xml:space="preserve"> </w:t>
      </w:r>
      <w:r>
        <w:rPr>
          <w:rFonts w:ascii="Arial" w:cs="Arial" w:eastAsia="Arial" w:hAnsi="Arial"/>
          <w:sz w:val="19"/>
          <w:szCs w:val="19"/>
          <w:color w:val="auto"/>
        </w:rPr>
        <w:t>monetary value in an arms-length transaction of such Product to a Third Party end user by or on behalf of a Party or any of its respective Selling Parties in such country following receipt of applicable Regulatory Approval of such Product in such country; provided, however, that First Commercial Sale shall not include any transfer of a Product (a) between or among a Party or any of its respective Selling Parties for a given Party or any Third Party subcontractors (including CMOs or suppliers (other than wholesalers and distributors)); or (b) for purposes of patient assistance, charitable or promotional purposes, for use in a Clinical Trial or for use in any other tests or studies reasonably necessary to comply with any Law or request by a Regulatory Authority; provided, further, that solely for purposes of defining the Royalty Term as set forth in Section 1.161, the transfers set forth in clauses (a) or (b) above shall only be excluded from the definition of First Commercial Sale hereunder if such transfer are made without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-202565</wp:posOffset>
            </wp:positionV>
            <wp:extent cx="779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1.74.</w:t>
      </w:r>
      <w:r>
        <w:rPr>
          <w:rFonts w:ascii="Arial" w:cs="Arial" w:eastAsia="Arial" w:hAnsi="Arial"/>
          <w:sz w:val="22"/>
          <w:szCs w:val="22"/>
          <w:color w:val="auto"/>
        </w:rPr>
        <w:t>“</w:t>
      </w:r>
      <w:r>
        <w:rPr>
          <w:rFonts w:ascii="Arial" w:cs="Arial" w:eastAsia="Arial" w:hAnsi="Arial"/>
          <w:sz w:val="22"/>
          <w:szCs w:val="22"/>
          <w:b w:val="1"/>
          <w:bCs w:val="1"/>
          <w:color w:val="auto"/>
        </w:rPr>
        <w:t>Force Majeure Events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13.6</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260" w:firstLine="8"/>
        <w:spacing w:after="0" w:line="266" w:lineRule="auto"/>
        <w:tabs>
          <w:tab w:leader="none" w:pos="4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jc w:val="both"/>
        <w:ind w:left="440" w:hanging="431"/>
        <w:spacing w:after="0" w:line="235" w:lineRule="auto"/>
        <w:rPr>
          <w:sz w:val="20"/>
          <w:szCs w:val="20"/>
          <w:color w:val="auto"/>
        </w:rPr>
      </w:pPr>
      <w:r>
        <w:rPr>
          <w:rFonts w:ascii="Arial" w:cs="Arial" w:eastAsia="Arial" w:hAnsi="Arial"/>
          <w:sz w:val="22"/>
          <w:szCs w:val="22"/>
          <w:b w:val="1"/>
          <w:bCs w:val="1"/>
          <w:color w:val="auto"/>
        </w:rPr>
        <w:t>1.75.</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 time person, or in the case of less than a full time person, a full time equivalent person year, carried out</w:t>
      </w:r>
      <w:r>
        <w:rPr>
          <w:rFonts w:ascii="Arial" w:cs="Arial" w:eastAsia="Arial" w:hAnsi="Arial"/>
          <w:sz w:val="22"/>
          <w:szCs w:val="22"/>
          <w:b w:val="1"/>
          <w:bCs w:val="1"/>
          <w:color w:val="auto"/>
        </w:rPr>
        <w:t xml:space="preserve"> </w:t>
      </w:r>
      <w:r>
        <w:rPr>
          <w:rFonts w:ascii="Arial" w:cs="Arial" w:eastAsia="Arial" w:hAnsi="Arial"/>
          <w:sz w:val="22"/>
          <w:szCs w:val="22"/>
          <w:color w:val="auto"/>
        </w:rPr>
        <w:t>by an appropriately qualified employee of a Party or its Affiliates, based on [***] person hours per year. Overtime, and work on weekends, holidays, and the like will not be counted with any multiplier (e.g., time and a half or double time) toward the number of hours that are used to calculate the FTE contribution. Each employee utilized by a Party in connection with its performance under this Agreement may be less than or greater than one FTE based on the hours actually worked by such employee and will be treated as an FTE on a pro rata basis based upon the actual number of such hours worked divided by [***].</w:t>
      </w:r>
    </w:p>
    <w:p>
      <w:pPr>
        <w:spacing w:after="0" w:line="183"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1.76.</w:t>
      </w:r>
      <w:r>
        <w:rPr>
          <w:rFonts w:ascii="Arial" w:cs="Arial" w:eastAsia="Arial" w:hAnsi="Arial"/>
          <w:sz w:val="22"/>
          <w:szCs w:val="22"/>
          <w:color w:val="auto"/>
        </w:rPr>
        <w:t>“</w:t>
      </w:r>
      <w:r>
        <w:rPr>
          <w:rFonts w:ascii="Arial" w:cs="Arial" w:eastAsia="Arial" w:hAnsi="Arial"/>
          <w:sz w:val="22"/>
          <w:szCs w:val="22"/>
          <w:b w:val="1"/>
          <w:bCs w:val="1"/>
          <w:color w:val="auto"/>
        </w:rPr>
        <w:t>FTE Costs</w:t>
      </w:r>
      <w:r>
        <w:rPr>
          <w:rFonts w:ascii="Arial" w:cs="Arial" w:eastAsia="Arial" w:hAnsi="Arial"/>
          <w:sz w:val="22"/>
          <w:szCs w:val="22"/>
          <w:color w:val="auto"/>
        </w:rPr>
        <w:t>” means the FTE Rate multiplied by the number of FTEs, or portion thereof, actually utilized by Arrowhead in</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activities under this Agreement.</w:t>
      </w:r>
    </w:p>
    <w:p>
      <w:pPr>
        <w:spacing w:after="0" w:line="162" w:lineRule="exact"/>
        <w:rPr>
          <w:sz w:val="20"/>
          <w:szCs w:val="20"/>
          <w:color w:val="auto"/>
        </w:rPr>
      </w:pPr>
    </w:p>
    <w:p>
      <w:pPr>
        <w:jc w:val="both"/>
        <w:ind w:left="440" w:hanging="431"/>
        <w:spacing w:after="0" w:line="254" w:lineRule="auto"/>
        <w:rPr>
          <w:sz w:val="20"/>
          <w:szCs w:val="20"/>
          <w:color w:val="auto"/>
        </w:rPr>
      </w:pPr>
      <w:r>
        <w:rPr>
          <w:rFonts w:ascii="Arial" w:cs="Arial" w:eastAsia="Arial" w:hAnsi="Arial"/>
          <w:sz w:val="21"/>
          <w:szCs w:val="21"/>
          <w:b w:val="1"/>
          <w:bCs w:val="1"/>
          <w:color w:val="auto"/>
        </w:rPr>
        <w:t>1.77.</w:t>
      </w:r>
      <w:r>
        <w:rPr>
          <w:rFonts w:ascii="Arial" w:cs="Arial" w:eastAsia="Arial" w:hAnsi="Arial"/>
          <w:sz w:val="21"/>
          <w:szCs w:val="21"/>
          <w:color w:val="auto"/>
        </w:rPr>
        <w:t>“</w:t>
      </w:r>
      <w:r>
        <w:rPr>
          <w:rFonts w:ascii="Arial" w:cs="Arial" w:eastAsia="Arial" w:hAnsi="Arial"/>
          <w:sz w:val="21"/>
          <w:szCs w:val="21"/>
          <w:b w:val="1"/>
          <w:bCs w:val="1"/>
          <w:color w:val="auto"/>
        </w:rPr>
        <w:t>FTE Rate</w:t>
      </w:r>
      <w:r>
        <w:rPr>
          <w:rFonts w:ascii="Arial" w:cs="Arial" w:eastAsia="Arial" w:hAnsi="Arial"/>
          <w:sz w:val="21"/>
          <w:szCs w:val="21"/>
          <w:color w:val="auto"/>
        </w:rPr>
        <w:t>” means, for the period commencing on the Effective Date until such time as the Parties agree otherwise, [***]</w:t>
      </w:r>
      <w:r>
        <w:rPr>
          <w:rFonts w:ascii="Arial" w:cs="Arial" w:eastAsia="Arial" w:hAnsi="Arial"/>
          <w:sz w:val="21"/>
          <w:szCs w:val="21"/>
          <w:b w:val="1"/>
          <w:bCs w:val="1"/>
          <w:color w:val="auto"/>
        </w:rPr>
        <w:t xml:space="preserve"> </w:t>
      </w:r>
      <w:r>
        <w:rPr>
          <w:rFonts w:ascii="Arial" w:cs="Arial" w:eastAsia="Arial" w:hAnsi="Arial"/>
          <w:sz w:val="21"/>
          <w:szCs w:val="21"/>
          <w:color w:val="auto"/>
        </w:rPr>
        <w:t>per year, subject to annual increases beginning on January 1, 2022 to reflect percentage increase in the Consumer Price Index for the US City Average, calculated by the Bureau of Labor Statistics during the immediately preceding Calendar Year and similarly calculated year to year increases each subsequent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1.78.</w:t>
      </w: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43" w:lineRule="auto"/>
        <w:rPr>
          <w:sz w:val="20"/>
          <w:szCs w:val="20"/>
          <w:color w:val="auto"/>
        </w:rPr>
      </w:pPr>
      <w:r>
        <w:rPr>
          <w:rFonts w:ascii="Arial" w:cs="Arial" w:eastAsia="Arial" w:hAnsi="Arial"/>
          <w:sz w:val="22"/>
          <w:szCs w:val="22"/>
          <w:b w:val="1"/>
          <w:bCs w:val="1"/>
          <w:color w:val="auto"/>
        </w:rPr>
        <w:t>1.79.</w:t>
      </w:r>
      <w:r>
        <w:rPr>
          <w:rFonts w:ascii="Arial" w:cs="Arial" w:eastAsia="Arial" w:hAnsi="Arial"/>
          <w:sz w:val="22"/>
          <w:szCs w:val="22"/>
          <w:color w:val="auto"/>
        </w:rPr>
        <w:t>“</w:t>
      </w:r>
      <w:r>
        <w:rPr>
          <w:rFonts w:ascii="Arial" w:cs="Arial" w:eastAsia="Arial" w:hAnsi="Arial"/>
          <w:sz w:val="22"/>
          <w:szCs w:val="22"/>
          <w:b w:val="1"/>
          <w:bCs w:val="1"/>
          <w:color w:val="auto"/>
        </w:rPr>
        <w:t>GCP</w:t>
      </w:r>
      <w:r>
        <w:rPr>
          <w:rFonts w:ascii="Arial" w:cs="Arial" w:eastAsia="Arial" w:hAnsi="Arial"/>
          <w:sz w:val="22"/>
          <w:szCs w:val="22"/>
          <w:color w:val="auto"/>
        </w:rPr>
        <w:t>” means the applicable then-current good clinical practice standards promulgated or endorsed by the FDA,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U.S. 21 C.F.R. Parts 312, 50, 54, and 56 (or such other foreign equivalent regulatory standards in any other country or jurisdiction).</w:t>
      </w:r>
    </w:p>
    <w:p>
      <w:pPr>
        <w:spacing w:after="0" w:line="177" w:lineRule="exact"/>
        <w:rPr>
          <w:sz w:val="20"/>
          <w:szCs w:val="20"/>
          <w:color w:val="auto"/>
        </w:rPr>
      </w:pPr>
    </w:p>
    <w:p>
      <w:pPr>
        <w:jc w:val="both"/>
        <w:ind w:left="440" w:hanging="431"/>
        <w:spacing w:after="0" w:line="275" w:lineRule="auto"/>
        <w:rPr>
          <w:sz w:val="20"/>
          <w:szCs w:val="20"/>
          <w:color w:val="auto"/>
        </w:rPr>
      </w:pPr>
      <w:r>
        <w:rPr>
          <w:rFonts w:ascii="Arial" w:cs="Arial" w:eastAsia="Arial" w:hAnsi="Arial"/>
          <w:sz w:val="19"/>
          <w:szCs w:val="19"/>
          <w:b w:val="1"/>
          <w:bCs w:val="1"/>
          <w:color w:val="auto"/>
        </w:rPr>
        <w:t>1.80.</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particular Product in a particular country, a product on the market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country commercialized by any Third Party that is not a sublicensee of a Party and that did not purchase such product in a chain of distribution that included a Party or any of its respective Selling Parties, that is approved in reliance, in whole or in part, on the prior approval (or on safety or efficacy data submitted in support of the prior approval) of such Product as determined by the applicable Regulatory Authority, including any product that is authorized for sale (a) in the U.S. pursuant to Section 505(j) of the US Federal Food, Drug, and Cosmetic Act (21 USC Section 355(j)); (b) in the European Union pursuant to a provision of Articles 10, 10a or 10b of Parliament and Council Directive 2001/83/EC as amended (including an application under Article 6.1 of Parliament and Council Regulation (EC) No 726/2004 that relies for its content on any such provision); or (c) any foreign equivalent thereof or successors thereto.</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1.81.</w:t>
      </w:r>
      <w:r>
        <w:rPr>
          <w:rFonts w:ascii="Arial" w:cs="Arial" w:eastAsia="Arial" w:hAnsi="Arial"/>
          <w:sz w:val="22"/>
          <w:szCs w:val="22"/>
          <w:color w:val="auto"/>
        </w:rPr>
        <w:t>“</w:t>
      </w:r>
      <w:r>
        <w:rPr>
          <w:rFonts w:ascii="Arial" w:cs="Arial" w:eastAsia="Arial" w:hAnsi="Arial"/>
          <w:sz w:val="22"/>
          <w:szCs w:val="22"/>
          <w:b w:val="1"/>
          <w:bCs w:val="1"/>
          <w:color w:val="auto"/>
        </w:rPr>
        <w:t>Generic Competition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5.4(e)</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334" w:lineRule="auto"/>
        <w:rPr>
          <w:sz w:val="20"/>
          <w:szCs w:val="20"/>
          <w:color w:val="auto"/>
        </w:rPr>
      </w:pPr>
      <w:r>
        <w:rPr>
          <w:rFonts w:ascii="Arial" w:cs="Arial" w:eastAsia="Arial" w:hAnsi="Arial"/>
          <w:sz w:val="19"/>
          <w:szCs w:val="19"/>
          <w:b w:val="1"/>
          <w:bCs w:val="1"/>
          <w:color w:val="auto"/>
        </w:rPr>
        <w:t>1.82.</w:t>
      </w:r>
      <w:r>
        <w:rPr>
          <w:rFonts w:ascii="Arial" w:cs="Arial" w:eastAsia="Arial" w:hAnsi="Arial"/>
          <w:sz w:val="19"/>
          <w:szCs w:val="19"/>
          <w:color w:val="auto"/>
        </w:rPr>
        <w:t>“</w:t>
      </w:r>
      <w:r>
        <w:rPr>
          <w:rFonts w:ascii="Arial" w:cs="Arial" w:eastAsia="Arial" w:hAnsi="Arial"/>
          <w:sz w:val="19"/>
          <w:szCs w:val="19"/>
          <w:b w:val="1"/>
          <w:bCs w:val="1"/>
          <w:color w:val="auto"/>
        </w:rPr>
        <w:t>GLP</w:t>
      </w:r>
      <w:r>
        <w:rPr>
          <w:rFonts w:ascii="Arial" w:cs="Arial" w:eastAsia="Arial" w:hAnsi="Arial"/>
          <w:sz w:val="19"/>
          <w:szCs w:val="19"/>
          <w:color w:val="auto"/>
        </w:rPr>
        <w:t>” means all applicable then-current good laboratory practice standards promulgated or endorsed by the FDA, as</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in U.S. 21 C.F.R. Part 58 (or such other foreign equivalent regulatory standards in any other country or jurisdiction).</w:t>
      </w:r>
    </w:p>
    <w:p>
      <w:pPr>
        <w:spacing w:after="0" w:line="94" w:lineRule="exact"/>
        <w:rPr>
          <w:sz w:val="20"/>
          <w:szCs w:val="20"/>
          <w:color w:val="auto"/>
        </w:rPr>
      </w:pPr>
    </w:p>
    <w:p>
      <w:pPr>
        <w:jc w:val="both"/>
        <w:ind w:left="440" w:hanging="431"/>
        <w:spacing w:after="0" w:line="300" w:lineRule="auto"/>
        <w:rPr>
          <w:sz w:val="20"/>
          <w:szCs w:val="20"/>
          <w:color w:val="auto"/>
        </w:rPr>
      </w:pPr>
      <w:r>
        <w:rPr>
          <w:rFonts w:ascii="Arial" w:cs="Arial" w:eastAsia="Arial" w:hAnsi="Arial"/>
          <w:sz w:val="19"/>
          <w:szCs w:val="19"/>
          <w:b w:val="1"/>
          <w:bCs w:val="1"/>
          <w:color w:val="auto"/>
        </w:rPr>
        <w:t>1.83.</w:t>
      </w:r>
      <w:r>
        <w:rPr>
          <w:rFonts w:ascii="Arial" w:cs="Arial" w:eastAsia="Arial" w:hAnsi="Arial"/>
          <w:sz w:val="19"/>
          <w:szCs w:val="19"/>
          <w:color w:val="auto"/>
        </w:rPr>
        <w:t>“</w:t>
      </w:r>
      <w:r>
        <w:rPr>
          <w:rFonts w:ascii="Arial" w:cs="Arial" w:eastAsia="Arial" w:hAnsi="Arial"/>
          <w:sz w:val="19"/>
          <w:szCs w:val="19"/>
          <w:b w:val="1"/>
          <w:bCs w:val="1"/>
          <w:color w:val="auto"/>
        </w:rPr>
        <w:t>GMP</w:t>
      </w:r>
      <w:r>
        <w:rPr>
          <w:rFonts w:ascii="Arial" w:cs="Arial" w:eastAsia="Arial" w:hAnsi="Arial"/>
          <w:sz w:val="19"/>
          <w:szCs w:val="19"/>
          <w:color w:val="auto"/>
        </w:rPr>
        <w:t>” means all applicable then-current good Manufacturing practice standards, practices, and procedures promulgated or</w:t>
      </w:r>
      <w:r>
        <w:rPr>
          <w:rFonts w:ascii="Arial" w:cs="Arial" w:eastAsia="Arial" w:hAnsi="Arial"/>
          <w:sz w:val="19"/>
          <w:szCs w:val="19"/>
          <w:b w:val="1"/>
          <w:bCs w:val="1"/>
          <w:color w:val="auto"/>
        </w:rPr>
        <w:t xml:space="preserve"> </w:t>
      </w:r>
      <w:r>
        <w:rPr>
          <w:rFonts w:ascii="Arial" w:cs="Arial" w:eastAsia="Arial" w:hAnsi="Arial"/>
          <w:sz w:val="19"/>
          <w:szCs w:val="19"/>
          <w:color w:val="auto"/>
        </w:rPr>
        <w:t>endorsed by the applicable Regulatory Authority as set forth in the guidelines imposed by such Regulatory Authority, as may be updated from time-to-time, including those as set forth in FDA regulations in 21 C.F.R. Parts 210 and 211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right="260" w:firstLine="8"/>
        <w:spacing w:after="0" w:line="266" w:lineRule="auto"/>
        <w:tabs>
          <w:tab w:leader="none" w:pos="43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and all applicable FDA rules, regulations, orders, and guidances, and the requirements with respect to current good Manufacturing practices prescribed by the European Community under provisions of “The Rules Governing Medicinal Products in the European Community, Volume 4, Good Manufacturing Practices, Annex 13, Manufacture of Investigational Medicinal Products, December 2010,” (or such other foreign equivalent regulatory standards in any other country or jurisdiction).</w:t>
      </w:r>
    </w:p>
    <w:p>
      <w:pPr>
        <w:spacing w:after="0" w:line="181" w:lineRule="exact"/>
        <w:rPr>
          <w:sz w:val="20"/>
          <w:szCs w:val="20"/>
          <w:color w:val="auto"/>
        </w:rPr>
      </w:pPr>
    </w:p>
    <w:p>
      <w:pPr>
        <w:jc w:val="both"/>
        <w:ind w:left="440" w:hanging="431"/>
        <w:spacing w:after="0" w:line="247" w:lineRule="auto"/>
        <w:rPr>
          <w:sz w:val="20"/>
          <w:szCs w:val="20"/>
          <w:color w:val="auto"/>
        </w:rPr>
      </w:pPr>
      <w:r>
        <w:rPr>
          <w:rFonts w:ascii="Arial" w:cs="Arial" w:eastAsia="Arial" w:hAnsi="Arial"/>
          <w:sz w:val="21"/>
          <w:szCs w:val="21"/>
          <w:b w:val="1"/>
          <w:bCs w:val="1"/>
          <w:color w:val="auto"/>
        </w:rPr>
        <w:t>1.84.</w:t>
      </w:r>
      <w:r>
        <w:rPr>
          <w:rFonts w:ascii="Arial" w:cs="Arial" w:eastAsia="Arial" w:hAnsi="Arial"/>
          <w:sz w:val="21"/>
          <w:szCs w:val="21"/>
          <w:color w:val="auto"/>
        </w:rPr>
        <w:t>“</w:t>
      </w:r>
      <w:r>
        <w:rPr>
          <w:rFonts w:ascii="Arial" w:cs="Arial" w:eastAsia="Arial" w:hAnsi="Arial"/>
          <w:sz w:val="21"/>
          <w:szCs w:val="21"/>
          <w:b w:val="1"/>
          <w:bCs w:val="1"/>
          <w:color w:val="auto"/>
        </w:rPr>
        <w:t>Governmental Body</w:t>
      </w:r>
      <w:r>
        <w:rPr>
          <w:rFonts w:ascii="Arial" w:cs="Arial" w:eastAsia="Arial" w:hAnsi="Arial"/>
          <w:sz w:val="21"/>
          <w:szCs w:val="21"/>
          <w:color w:val="auto"/>
        </w:rPr>
        <w:t>” means any (a) nation, principality, state, commonwealth, province, territory, county, municipality,</w:t>
      </w:r>
      <w:r>
        <w:rPr>
          <w:rFonts w:ascii="Arial" w:cs="Arial" w:eastAsia="Arial" w:hAnsi="Arial"/>
          <w:sz w:val="21"/>
          <w:szCs w:val="21"/>
          <w:b w:val="1"/>
          <w:bCs w:val="1"/>
          <w:color w:val="auto"/>
        </w:rPr>
        <w:t xml:space="preserve"> </w:t>
      </w:r>
      <w:r>
        <w:rPr>
          <w:rFonts w:ascii="Arial" w:cs="Arial" w:eastAsia="Arial" w:hAnsi="Arial"/>
          <w:sz w:val="21"/>
          <w:szCs w:val="21"/>
          <w:color w:val="auto"/>
        </w:rPr>
        <w:t>district or other jurisdiction of any nature; (b) supranational,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77"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1.85.</w:t>
      </w:r>
      <w:r>
        <w:rPr>
          <w:rFonts w:ascii="Arial" w:cs="Arial" w:eastAsia="Arial" w:hAnsi="Arial"/>
          <w:sz w:val="22"/>
          <w:szCs w:val="22"/>
          <w:color w:val="auto"/>
        </w:rPr>
        <w:t>“</w:t>
      </w:r>
      <w:r>
        <w:rPr>
          <w:rFonts w:ascii="Arial" w:cs="Arial" w:eastAsia="Arial" w:hAnsi="Arial"/>
          <w:sz w:val="22"/>
          <w:szCs w:val="22"/>
          <w:b w:val="1"/>
          <w:bCs w:val="1"/>
          <w:color w:val="auto"/>
        </w:rPr>
        <w:t>Greater China</w:t>
      </w:r>
      <w:r>
        <w:rPr>
          <w:rFonts w:ascii="Arial" w:cs="Arial" w:eastAsia="Arial" w:hAnsi="Arial"/>
          <w:sz w:val="22"/>
          <w:szCs w:val="22"/>
          <w:color w:val="auto"/>
        </w:rPr>
        <w:t>” means (a) the PRC; (b) the Special Administrative Region of Hong Kong; (c) the Special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Region of Macau; and (d) Taiwan; provided that each administrative region of Greater China will be deemed, and may be referred to as, a “country” for all purposes in this Agreement notwithstanding it being referred to in other contexts as a “region”.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1.86.</w:t>
      </w:r>
      <w:r>
        <w:rPr>
          <w:rFonts w:ascii="Arial" w:cs="Arial" w:eastAsia="Arial" w:hAnsi="Arial"/>
          <w:sz w:val="22"/>
          <w:szCs w:val="22"/>
          <w:color w:val="auto"/>
        </w:rPr>
        <w:t>“</w:t>
      </w:r>
      <w:r>
        <w:rPr>
          <w:rFonts w:ascii="Arial" w:cs="Arial" w:eastAsia="Arial" w:hAnsi="Arial"/>
          <w:sz w:val="22"/>
          <w:szCs w:val="22"/>
          <w:b w:val="1"/>
          <w:bCs w:val="1"/>
          <w:color w:val="auto"/>
        </w:rPr>
        <w:t>GSK</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1.87.</w:t>
      </w:r>
      <w:r>
        <w:rPr>
          <w:rFonts w:ascii="Arial" w:cs="Arial" w:eastAsia="Arial" w:hAnsi="Arial"/>
          <w:sz w:val="22"/>
          <w:szCs w:val="22"/>
          <w:color w:val="auto"/>
        </w:rPr>
        <w:t>“</w:t>
      </w:r>
      <w:r>
        <w:rPr>
          <w:rFonts w:ascii="Arial" w:cs="Arial" w:eastAsia="Arial" w:hAnsi="Arial"/>
          <w:sz w:val="22"/>
          <w:szCs w:val="22"/>
          <w:b w:val="1"/>
          <w:bCs w:val="1"/>
          <w:color w:val="auto"/>
        </w:rPr>
        <w:t>GSK Agreement Know-How</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1.88.</w:t>
      </w:r>
      <w:r>
        <w:rPr>
          <w:rFonts w:ascii="Arial" w:cs="Arial" w:eastAsia="Arial" w:hAnsi="Arial"/>
          <w:sz w:val="22"/>
          <w:szCs w:val="22"/>
          <w:color w:val="auto"/>
        </w:rPr>
        <w:t>“</w:t>
      </w:r>
      <w:r>
        <w:rPr>
          <w:rFonts w:ascii="Arial" w:cs="Arial" w:eastAsia="Arial" w:hAnsi="Arial"/>
          <w:sz w:val="22"/>
          <w:szCs w:val="22"/>
          <w:b w:val="1"/>
          <w:bCs w:val="1"/>
          <w:color w:val="auto"/>
        </w:rPr>
        <w:t>GSK Agreement Patents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1.89.</w:t>
      </w:r>
      <w:r>
        <w:rPr>
          <w:rFonts w:ascii="Arial" w:cs="Arial" w:eastAsia="Arial" w:hAnsi="Arial"/>
          <w:sz w:val="19"/>
          <w:szCs w:val="19"/>
          <w:color w:val="auto"/>
        </w:rPr>
        <w:t>“</w:t>
      </w:r>
      <w:r>
        <w:rPr>
          <w:rFonts w:ascii="Arial" w:cs="Arial" w:eastAsia="Arial" w:hAnsi="Arial"/>
          <w:sz w:val="19"/>
          <w:szCs w:val="19"/>
          <w:b w:val="1"/>
          <w:bCs w:val="1"/>
          <w:color w:val="auto"/>
        </w:rPr>
        <w:t>GSK Agreement Technology</w:t>
      </w:r>
      <w:r>
        <w:rPr>
          <w:rFonts w:ascii="Arial" w:cs="Arial" w:eastAsia="Arial" w:hAnsi="Arial"/>
          <w:sz w:val="19"/>
          <w:szCs w:val="19"/>
          <w:color w:val="auto"/>
        </w:rPr>
        <w:t>” means, collectively, the GSK Agreement Know-How and the GSK Agreement Patents.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1.90.</w:t>
      </w:r>
      <w:r>
        <w:rPr>
          <w:rFonts w:ascii="Arial" w:cs="Arial" w:eastAsia="Arial" w:hAnsi="Arial"/>
          <w:sz w:val="22"/>
          <w:szCs w:val="22"/>
          <w:color w:val="auto"/>
        </w:rPr>
        <w:t>“</w:t>
      </w:r>
      <w:r>
        <w:rPr>
          <w:rFonts w:ascii="Arial" w:cs="Arial" w:eastAsia="Arial" w:hAnsi="Arial"/>
          <w:sz w:val="22"/>
          <w:szCs w:val="22"/>
          <w:b w:val="1"/>
          <w:bCs w:val="1"/>
          <w:color w:val="auto"/>
        </w:rPr>
        <w:t>GSK Clinical Trial Transfer Obligations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10.7(c)(ii)</w:t>
      </w:r>
      <w:r>
        <w:rPr>
          <w:rFonts w:ascii="Arial" w:cs="Arial" w:eastAsia="Arial" w:hAnsi="Arial"/>
          <w:sz w:val="22"/>
          <w:szCs w:val="22"/>
          <w:color w:val="auto"/>
        </w:rPr>
        <w:t>.</w:t>
      </w:r>
    </w:p>
    <w:p>
      <w:pPr>
        <w:spacing w:after="0" w:line="206" w:lineRule="exact"/>
        <w:rPr>
          <w:sz w:val="20"/>
          <w:szCs w:val="20"/>
          <w:color w:val="auto"/>
        </w:rPr>
      </w:pPr>
    </w:p>
    <w:p>
      <w:pPr>
        <w:jc w:val="both"/>
        <w:ind w:left="440" w:hanging="431"/>
        <w:spacing w:after="0" w:line="239" w:lineRule="auto"/>
        <w:rPr>
          <w:sz w:val="20"/>
          <w:szCs w:val="20"/>
          <w:color w:val="auto"/>
        </w:rPr>
      </w:pPr>
      <w:r>
        <w:rPr>
          <w:rFonts w:ascii="Arial" w:cs="Arial" w:eastAsia="Arial" w:hAnsi="Arial"/>
          <w:sz w:val="22"/>
          <w:szCs w:val="22"/>
          <w:b w:val="1"/>
          <w:bCs w:val="1"/>
          <w:color w:val="auto"/>
        </w:rPr>
        <w:t>1.91.</w:t>
      </w:r>
      <w:r>
        <w:rPr>
          <w:rFonts w:ascii="Arial" w:cs="Arial" w:eastAsia="Arial" w:hAnsi="Arial"/>
          <w:sz w:val="22"/>
          <w:szCs w:val="22"/>
          <w:color w:val="auto"/>
        </w:rPr>
        <w:t>“</w:t>
      </w:r>
      <w:r>
        <w:rPr>
          <w:rFonts w:ascii="Arial" w:cs="Arial" w:eastAsia="Arial" w:hAnsi="Arial"/>
          <w:sz w:val="22"/>
          <w:szCs w:val="22"/>
          <w:b w:val="1"/>
          <w:bCs w:val="1"/>
          <w:color w:val="auto"/>
        </w:rPr>
        <w:t>GSK Excluded Know-How</w:t>
      </w:r>
      <w:r>
        <w:rPr>
          <w:rFonts w:ascii="Arial" w:cs="Arial" w:eastAsia="Arial" w:hAnsi="Arial"/>
          <w:sz w:val="22"/>
          <w:szCs w:val="22"/>
          <w:color w:val="auto"/>
        </w:rPr>
        <w:t>” means any GSK Agreement Know-How that (a) is not actually used during the Term by or</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GSK (or any of its Affiliates or Sublicensees) in the Development, Manufacture or Commercialization of the Compound or any Products; or (b) is not necessary for the Development, Manufacture or Commercialization of the Compound or any Products in the Arrowhead Territory.</w:t>
      </w:r>
    </w:p>
    <w:p>
      <w:pPr>
        <w:spacing w:after="0" w:line="180" w:lineRule="exact"/>
        <w:rPr>
          <w:sz w:val="20"/>
          <w:szCs w:val="20"/>
          <w:color w:val="auto"/>
        </w:rPr>
      </w:pPr>
    </w:p>
    <w:p>
      <w:pPr>
        <w:jc w:val="both"/>
        <w:ind w:left="440" w:hanging="431"/>
        <w:spacing w:after="0" w:line="256" w:lineRule="auto"/>
        <w:rPr>
          <w:sz w:val="20"/>
          <w:szCs w:val="20"/>
          <w:color w:val="auto"/>
        </w:rPr>
      </w:pPr>
      <w:r>
        <w:rPr>
          <w:rFonts w:ascii="Arial" w:cs="Arial" w:eastAsia="Arial" w:hAnsi="Arial"/>
          <w:sz w:val="22"/>
          <w:szCs w:val="22"/>
          <w:b w:val="1"/>
          <w:bCs w:val="1"/>
          <w:color w:val="auto"/>
        </w:rPr>
        <w:t>1.92.</w:t>
      </w:r>
      <w:r>
        <w:rPr>
          <w:rFonts w:ascii="Arial" w:cs="Arial" w:eastAsia="Arial" w:hAnsi="Arial"/>
          <w:sz w:val="22"/>
          <w:szCs w:val="22"/>
          <w:color w:val="auto"/>
        </w:rPr>
        <w:t>“</w:t>
      </w:r>
      <w:r>
        <w:rPr>
          <w:rFonts w:ascii="Arial" w:cs="Arial" w:eastAsia="Arial" w:hAnsi="Arial"/>
          <w:sz w:val="22"/>
          <w:szCs w:val="22"/>
          <w:b w:val="1"/>
          <w:bCs w:val="1"/>
          <w:color w:val="auto"/>
        </w:rPr>
        <w:t>GSK Excluded Patents</w:t>
      </w:r>
      <w:r>
        <w:rPr>
          <w:rFonts w:ascii="Arial" w:cs="Arial" w:eastAsia="Arial" w:hAnsi="Arial"/>
          <w:sz w:val="22"/>
          <w:szCs w:val="22"/>
          <w:color w:val="auto"/>
        </w:rPr>
        <w:t>” means any Patent that Covers or otherwise claims any GSK Excluded Know-How but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excluding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Patent that also Covers or otherwise claims any GSK Licensed Know-How.</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1.93.</w:t>
      </w:r>
      <w:r>
        <w:rPr>
          <w:rFonts w:ascii="Arial" w:cs="Arial" w:eastAsia="Arial" w:hAnsi="Arial"/>
          <w:sz w:val="21"/>
          <w:szCs w:val="21"/>
          <w:color w:val="auto"/>
        </w:rPr>
        <w:t>“</w:t>
      </w:r>
      <w:r>
        <w:rPr>
          <w:rFonts w:ascii="Arial" w:cs="Arial" w:eastAsia="Arial" w:hAnsi="Arial"/>
          <w:sz w:val="21"/>
          <w:szCs w:val="21"/>
          <w:b w:val="1"/>
          <w:bCs w:val="1"/>
          <w:color w:val="auto"/>
        </w:rPr>
        <w:t>GSK Licensed Know-How</w:t>
      </w:r>
      <w:r>
        <w:rPr>
          <w:rFonts w:ascii="Arial" w:cs="Arial" w:eastAsia="Arial" w:hAnsi="Arial"/>
          <w:sz w:val="21"/>
          <w:szCs w:val="21"/>
          <w:color w:val="auto"/>
        </w:rPr>
        <w:t>” means all GSK Agreement Know-How but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excluding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any GSK Excluded Know-How.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260" w:firstLine="8"/>
        <w:spacing w:after="0" w:line="266" w:lineRule="auto"/>
        <w:tabs>
          <w:tab w:leader="none" w:pos="43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1.94.</w:t>
      </w:r>
      <w:r>
        <w:rPr>
          <w:rFonts w:ascii="Arial" w:cs="Arial" w:eastAsia="Arial" w:hAnsi="Arial"/>
          <w:sz w:val="22"/>
          <w:szCs w:val="22"/>
          <w:color w:val="auto"/>
        </w:rPr>
        <w:t>“</w:t>
      </w:r>
      <w:r>
        <w:rPr>
          <w:rFonts w:ascii="Arial" w:cs="Arial" w:eastAsia="Arial" w:hAnsi="Arial"/>
          <w:sz w:val="22"/>
          <w:szCs w:val="22"/>
          <w:b w:val="1"/>
          <w:bCs w:val="1"/>
          <w:color w:val="auto"/>
        </w:rPr>
        <w:t>GSK Licensed Patents</w:t>
      </w:r>
      <w:r>
        <w:rPr>
          <w:rFonts w:ascii="Arial" w:cs="Arial" w:eastAsia="Arial" w:hAnsi="Arial"/>
          <w:sz w:val="22"/>
          <w:szCs w:val="22"/>
          <w:color w:val="auto"/>
        </w:rPr>
        <w:t>” means all GSK Agreement Patents but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excluding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GSK Excluded Patents.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1.95.</w:t>
      </w:r>
      <w:r>
        <w:rPr>
          <w:rFonts w:ascii="Arial" w:cs="Arial" w:eastAsia="Arial" w:hAnsi="Arial"/>
          <w:sz w:val="21"/>
          <w:szCs w:val="21"/>
          <w:color w:val="auto"/>
        </w:rPr>
        <w:t>“</w:t>
      </w:r>
      <w:r>
        <w:rPr>
          <w:rFonts w:ascii="Arial" w:cs="Arial" w:eastAsia="Arial" w:hAnsi="Arial"/>
          <w:sz w:val="21"/>
          <w:szCs w:val="21"/>
          <w:b w:val="1"/>
          <w:bCs w:val="1"/>
          <w:color w:val="auto"/>
        </w:rPr>
        <w:t>GSK Licensed Technology</w:t>
      </w:r>
      <w:r>
        <w:rPr>
          <w:rFonts w:ascii="Arial" w:cs="Arial" w:eastAsia="Arial" w:hAnsi="Arial"/>
          <w:sz w:val="21"/>
          <w:szCs w:val="21"/>
          <w:color w:val="auto"/>
        </w:rPr>
        <w:t>” means, collectively, the GSK Licensed Know-How and the GSK Licensed Patents.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1.96.</w:t>
      </w:r>
      <w:r>
        <w:rPr>
          <w:rFonts w:ascii="Arial" w:cs="Arial" w:eastAsia="Arial" w:hAnsi="Arial"/>
          <w:sz w:val="22"/>
          <w:szCs w:val="22"/>
          <w:color w:val="auto"/>
        </w:rPr>
        <w:t>“</w:t>
      </w:r>
      <w:r>
        <w:rPr>
          <w:rFonts w:ascii="Arial" w:cs="Arial" w:eastAsia="Arial" w:hAnsi="Arial"/>
          <w:sz w:val="22"/>
          <w:szCs w:val="22"/>
          <w:b w:val="1"/>
          <w:bCs w:val="1"/>
          <w:color w:val="auto"/>
        </w:rPr>
        <w:t>GSK Indemnitees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1.97.</w:t>
      </w:r>
      <w:r>
        <w:rPr>
          <w:rFonts w:ascii="Arial" w:cs="Arial" w:eastAsia="Arial" w:hAnsi="Arial"/>
          <w:sz w:val="22"/>
          <w:szCs w:val="22"/>
          <w:color w:val="auto"/>
        </w:rPr>
        <w:t>“</w:t>
      </w:r>
      <w:r>
        <w:rPr>
          <w:rFonts w:ascii="Arial" w:cs="Arial" w:eastAsia="Arial" w:hAnsi="Arial"/>
          <w:sz w:val="22"/>
          <w:szCs w:val="22"/>
          <w:b w:val="1"/>
          <w:bCs w:val="1"/>
          <w:color w:val="auto"/>
        </w:rPr>
        <w:t>GSK Indemnitees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1.98.</w:t>
      </w:r>
      <w:r>
        <w:rPr>
          <w:rFonts w:ascii="Arial" w:cs="Arial" w:eastAsia="Arial" w:hAnsi="Arial"/>
          <w:sz w:val="22"/>
          <w:szCs w:val="22"/>
          <w:color w:val="auto"/>
        </w:rPr>
        <w:t>“</w:t>
      </w:r>
      <w:r>
        <w:rPr>
          <w:rFonts w:ascii="Arial" w:cs="Arial" w:eastAsia="Arial" w:hAnsi="Arial"/>
          <w:sz w:val="22"/>
          <w:szCs w:val="22"/>
          <w:b w:val="1"/>
          <w:bCs w:val="1"/>
          <w:color w:val="auto"/>
        </w:rPr>
        <w:t>GSK Retained Rights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2.8(c)</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1.99.</w:t>
      </w:r>
      <w:r>
        <w:rPr>
          <w:rFonts w:ascii="Arial" w:cs="Arial" w:eastAsia="Arial" w:hAnsi="Arial"/>
          <w:sz w:val="21"/>
          <w:szCs w:val="21"/>
          <w:color w:val="auto"/>
        </w:rPr>
        <w:t>“</w:t>
      </w:r>
      <w:r>
        <w:rPr>
          <w:rFonts w:ascii="Arial" w:cs="Arial" w:eastAsia="Arial" w:hAnsi="Arial"/>
          <w:sz w:val="21"/>
          <w:szCs w:val="21"/>
          <w:b w:val="1"/>
          <w:bCs w:val="1"/>
          <w:color w:val="auto"/>
        </w:rPr>
        <w:t>GSK Territory</w:t>
      </w:r>
      <w:r>
        <w:rPr>
          <w:rFonts w:ascii="Arial" w:cs="Arial" w:eastAsia="Arial" w:hAnsi="Arial"/>
          <w:sz w:val="21"/>
          <w:szCs w:val="21"/>
          <w:color w:val="auto"/>
        </w:rPr>
        <w:t>” means worldwide but,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2.10(c)</w:t>
      </w:r>
      <w:r>
        <w:rPr>
          <w:rFonts w:ascii="Arial" w:cs="Arial" w:eastAsia="Arial" w:hAnsi="Arial"/>
          <w:sz w:val="21"/>
          <w:szCs w:val="21"/>
          <w:color w:val="auto"/>
        </w:rPr>
        <w:t>, as applicable, excluding the Arrowhead Territory.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1.100.</w:t>
      </w: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37" w:lineRule="auto"/>
        <w:rPr>
          <w:sz w:val="20"/>
          <w:szCs w:val="20"/>
          <w:color w:val="auto"/>
        </w:rPr>
      </w:pPr>
      <w:r>
        <w:rPr>
          <w:rFonts w:ascii="Arial" w:cs="Arial" w:eastAsia="Arial" w:hAnsi="Arial"/>
          <w:sz w:val="22"/>
          <w:szCs w:val="22"/>
          <w:b w:val="1"/>
          <w:bCs w:val="1"/>
          <w:color w:val="auto"/>
        </w:rPr>
        <w:t>1.101.</w:t>
      </w:r>
      <w:r>
        <w:rPr>
          <w:rFonts w:ascii="Arial" w:cs="Arial" w:eastAsia="Arial" w:hAnsi="Arial"/>
          <w:sz w:val="22"/>
          <w:szCs w:val="22"/>
          <w:color w:val="auto"/>
        </w:rPr>
        <w:t>“</w:t>
      </w:r>
      <w:r>
        <w:rPr>
          <w:rFonts w:ascii="Arial" w:cs="Arial" w:eastAsia="Arial" w:hAnsi="Arial"/>
          <w:sz w:val="22"/>
          <w:szCs w:val="22"/>
          <w:b w:val="1"/>
          <w:bCs w:val="1"/>
          <w:color w:val="auto"/>
        </w:rPr>
        <w:t>Human Biological Samples</w:t>
      </w:r>
      <w:r>
        <w:rPr>
          <w:rFonts w:ascii="Arial" w:cs="Arial" w:eastAsia="Arial" w:hAnsi="Arial"/>
          <w:sz w:val="22"/>
          <w:szCs w:val="22"/>
          <w:color w:val="auto"/>
        </w:rPr>
        <w:t>” means any human biological material (including any derivative or progeny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any portion of an organ, any tissue, skin, bone, muscle, connective tissue, blood, cerebrospinal fluid, cells, gametes, or sub-cellular structures such as DNA, or any derivative of such biological material such as stem cells or cell lines; and any human biological product, including, but not limited to, hair, nail clippings, teeth, urine, faeces, breast milk, and sweat.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1.102.</w:t>
      </w:r>
      <w:r>
        <w:rPr>
          <w:rFonts w:ascii="Arial" w:cs="Arial" w:eastAsia="Arial" w:hAnsi="Arial"/>
          <w:sz w:val="22"/>
          <w:szCs w:val="22"/>
          <w:color w:val="auto"/>
        </w:rPr>
        <w:t>“</w:t>
      </w:r>
      <w:r>
        <w:rPr>
          <w:rFonts w:ascii="Arial" w:cs="Arial" w:eastAsia="Arial" w:hAnsi="Arial"/>
          <w:sz w:val="22"/>
          <w:szCs w:val="22"/>
          <w:b w:val="1"/>
          <w:bCs w:val="1"/>
          <w:color w:val="auto"/>
        </w:rPr>
        <w:t>IFRS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89" w:lineRule="auto"/>
        <w:rPr>
          <w:sz w:val="20"/>
          <w:szCs w:val="20"/>
          <w:color w:val="auto"/>
        </w:rPr>
      </w:pPr>
      <w:r>
        <w:rPr>
          <w:rFonts w:ascii="Arial" w:cs="Arial" w:eastAsia="Arial" w:hAnsi="Arial"/>
          <w:sz w:val="19"/>
          <w:szCs w:val="19"/>
          <w:b w:val="1"/>
          <w:bCs w:val="1"/>
          <w:color w:val="auto"/>
        </w:rPr>
        <w:t>1.103.</w:t>
      </w:r>
      <w:r>
        <w:rPr>
          <w:rFonts w:ascii="Arial" w:cs="Arial" w:eastAsia="Arial" w:hAnsi="Arial"/>
          <w:sz w:val="19"/>
          <w:szCs w:val="19"/>
          <w:color w:val="auto"/>
        </w:rPr>
        <w:t>“</w:t>
      </w:r>
      <w:r>
        <w:rPr>
          <w:rFonts w:ascii="Arial" w:cs="Arial" w:eastAsia="Arial" w:hAnsi="Arial"/>
          <w:sz w:val="19"/>
          <w:szCs w:val="19"/>
          <w:b w:val="1"/>
          <w:bCs w:val="1"/>
          <w:color w:val="auto"/>
        </w:rPr>
        <w:t>IND</w:t>
      </w:r>
      <w:r>
        <w:rPr>
          <w:rFonts w:ascii="Arial" w:cs="Arial" w:eastAsia="Arial" w:hAnsi="Arial"/>
          <w:sz w:val="19"/>
          <w:szCs w:val="19"/>
          <w:color w:val="auto"/>
        </w:rPr>
        <w:t>” means, in the United States, an effective Notice of a Claimed Investigational New Drug Application filed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FDA as more fully defined in 21 C.F.R. § 312.3, and, with respect to every other country in the Territory, the clinical trial notification, clinical trial application or other equivalent application (i.e., a filing that must be made prior to commencing clinical testing of any Product in humans) filed with the applicable Regulatory Authority in such country.</w:t>
      </w:r>
    </w:p>
    <w:p>
      <w:pPr>
        <w:spacing w:after="0" w:line="136" w:lineRule="exact"/>
        <w:rPr>
          <w:sz w:val="20"/>
          <w:szCs w:val="20"/>
          <w:color w:val="auto"/>
        </w:rPr>
      </w:pPr>
    </w:p>
    <w:p>
      <w:pPr>
        <w:jc w:val="both"/>
        <w:ind w:left="540" w:right="20" w:hanging="539"/>
        <w:spacing w:after="0" w:line="256" w:lineRule="auto"/>
        <w:rPr>
          <w:sz w:val="20"/>
          <w:szCs w:val="20"/>
          <w:color w:val="auto"/>
        </w:rPr>
      </w:pPr>
      <w:r>
        <w:rPr>
          <w:rFonts w:ascii="Arial" w:cs="Arial" w:eastAsia="Arial" w:hAnsi="Arial"/>
          <w:sz w:val="22"/>
          <w:szCs w:val="22"/>
          <w:b w:val="1"/>
          <w:bCs w:val="1"/>
          <w:color w:val="auto"/>
        </w:rPr>
        <w:t>1.104.</w:t>
      </w:r>
      <w:r>
        <w:rPr>
          <w:rFonts w:ascii="Arial" w:cs="Arial" w:eastAsia="Arial" w:hAnsi="Arial"/>
          <w:sz w:val="22"/>
          <w:szCs w:val="22"/>
          <w:color w:val="auto"/>
        </w:rPr>
        <w:t>“</w:t>
      </w:r>
      <w:r>
        <w:rPr>
          <w:rFonts w:ascii="Arial" w:cs="Arial" w:eastAsia="Arial" w:hAnsi="Arial"/>
          <w:sz w:val="22"/>
          <w:szCs w:val="22"/>
          <w:b w:val="1"/>
          <w:bCs w:val="1"/>
          <w:color w:val="auto"/>
        </w:rPr>
        <w:t>Indemnitees</w:t>
      </w:r>
      <w:r>
        <w:rPr>
          <w:rFonts w:ascii="Arial" w:cs="Arial" w:eastAsia="Arial" w:hAnsi="Arial"/>
          <w:sz w:val="22"/>
          <w:szCs w:val="22"/>
          <w:color w:val="auto"/>
        </w:rPr>
        <w:t>” means (a) with respect to GSK as the indemnifying Party, the Arrowhead Indemnitees; and (b)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Arrowhead as the indemnifying Party, the GSK Indemnitees.</w:t>
      </w:r>
    </w:p>
    <w:p>
      <w:pPr>
        <w:spacing w:after="0" w:line="162" w:lineRule="exact"/>
        <w:rPr>
          <w:sz w:val="20"/>
          <w:szCs w:val="20"/>
          <w:color w:val="auto"/>
        </w:rPr>
      </w:pPr>
    </w:p>
    <w:p>
      <w:pPr>
        <w:jc w:val="both"/>
        <w:ind w:left="540" w:hanging="539"/>
        <w:spacing w:after="0" w:line="275" w:lineRule="auto"/>
        <w:rPr>
          <w:sz w:val="20"/>
          <w:szCs w:val="20"/>
          <w:color w:val="auto"/>
        </w:rPr>
      </w:pPr>
      <w:r>
        <w:rPr>
          <w:rFonts w:ascii="Arial" w:cs="Arial" w:eastAsia="Arial" w:hAnsi="Arial"/>
          <w:sz w:val="19"/>
          <w:szCs w:val="19"/>
          <w:b w:val="1"/>
          <w:bCs w:val="1"/>
          <w:color w:val="auto"/>
        </w:rPr>
        <w:t>1.105.</w:t>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an entirely separate and distinct disease or medical condition in humans (including having a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histology) for which a product may be filed to obtain a label or label expansion or has received a separate and distinct marketing authorization approval with an approved label claim to treat such disease or condition, as applicable. For clarity,</w:t>
      </w:r>
    </w:p>
    <w:p>
      <w:pPr>
        <w:spacing w:after="0" w:line="2" w:lineRule="exact"/>
        <w:rPr>
          <w:sz w:val="20"/>
          <w:szCs w:val="20"/>
          <w:color w:val="auto"/>
        </w:rPr>
      </w:pPr>
    </w:p>
    <w:p>
      <w:pPr>
        <w:jc w:val="both"/>
        <w:ind w:left="540" w:firstLine="8"/>
        <w:spacing w:after="0" w:line="245" w:lineRule="auto"/>
        <w:tabs>
          <w:tab w:leader="none" w:pos="837" w:val="left"/>
        </w:tabs>
        <w:numPr>
          <w:ilvl w:val="0"/>
          <w:numId w:val="24"/>
        </w:numPr>
        <w:rPr>
          <w:rFonts w:ascii="Arial" w:cs="Arial" w:eastAsia="Arial" w:hAnsi="Arial"/>
          <w:sz w:val="21"/>
          <w:szCs w:val="21"/>
          <w:color w:val="auto"/>
        </w:rPr>
      </w:pPr>
      <w:r>
        <w:rPr>
          <w:rFonts w:ascii="Arial" w:cs="Arial" w:eastAsia="Arial" w:hAnsi="Arial"/>
          <w:sz w:val="21"/>
          <w:szCs w:val="21"/>
          <w:color w:val="auto"/>
        </w:rPr>
        <w:t>moving from one line of therapy to another within any disease or medical condition shall not be considered to be a new Indication, a non-limiting example of which is moving from second line therapy to first line therapy; (b) a single Indication would include the primary disease and all variants or sub-divisions or sub-classifications within such primary disease, and regardless of prophylactic or therapeutic use, pediatric or adult use and irrespective of different formulation(s), dosage form(s), dosage strength(s), or delivery system(s) used; and (c)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right="260" w:firstLine="8"/>
        <w:spacing w:after="0" w:line="266" w:lineRule="auto"/>
        <w:tabs>
          <w:tab w:leader="none" w:pos="43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440"/>
        <w:spacing w:after="0" w:line="274" w:lineRule="auto"/>
        <w:rPr>
          <w:sz w:val="20"/>
          <w:szCs w:val="20"/>
          <w:color w:val="auto"/>
        </w:rPr>
      </w:pPr>
      <w:r>
        <w:rPr>
          <w:rFonts w:ascii="Arial" w:cs="Arial" w:eastAsia="Arial" w:hAnsi="Arial"/>
          <w:sz w:val="21"/>
          <w:szCs w:val="21"/>
          <w:color w:val="auto"/>
        </w:rPr>
        <w:t>obtaining a label expansion for use of any product to treat the same primary disease in combination or co-administration with another product in an already approved Indication shall not be considered to be a new Indication.</w:t>
      </w:r>
    </w:p>
    <w:p>
      <w:pPr>
        <w:spacing w:after="0" w:line="145"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1.106.</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with respect to a Clinical Trial of a product, the first dosing of the first human subject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protocol for such Clinical Trial.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1.107.</w:t>
      </w:r>
      <w:r>
        <w:rPr>
          <w:rFonts w:ascii="Arial" w:cs="Arial" w:eastAsia="Arial" w:hAnsi="Arial"/>
          <w:sz w:val="22"/>
          <w:szCs w:val="22"/>
          <w:color w:val="auto"/>
        </w:rPr>
        <w:t>“</w:t>
      </w:r>
      <w:r>
        <w:rPr>
          <w:rFonts w:ascii="Arial" w:cs="Arial" w:eastAsia="Arial" w:hAnsi="Arial"/>
          <w:sz w:val="22"/>
          <w:szCs w:val="22"/>
          <w:b w:val="1"/>
          <w:bCs w:val="1"/>
          <w:color w:val="auto"/>
        </w:rPr>
        <w:t>JMWG</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3.3(c)</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1.108.</w:t>
      </w:r>
      <w:r>
        <w:rPr>
          <w:rFonts w:ascii="Arial" w:cs="Arial" w:eastAsia="Arial" w:hAnsi="Arial"/>
          <w:sz w:val="22"/>
          <w:szCs w:val="22"/>
          <w:color w:val="auto"/>
        </w:rPr>
        <w:t>“</w:t>
      </w:r>
      <w:r>
        <w:rPr>
          <w:rFonts w:ascii="Arial" w:cs="Arial" w:eastAsia="Arial" w:hAnsi="Arial"/>
          <w:sz w:val="22"/>
          <w:szCs w:val="22"/>
          <w:b w:val="1"/>
          <w:bCs w:val="1"/>
          <w:color w:val="auto"/>
        </w:rPr>
        <w:t>Joint Agreement Know-How</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1.109.</w:t>
      </w:r>
      <w:r>
        <w:rPr>
          <w:rFonts w:ascii="Arial" w:cs="Arial" w:eastAsia="Arial" w:hAnsi="Arial"/>
          <w:sz w:val="22"/>
          <w:szCs w:val="22"/>
          <w:color w:val="auto"/>
        </w:rPr>
        <w:t>“</w:t>
      </w:r>
      <w:r>
        <w:rPr>
          <w:rFonts w:ascii="Arial" w:cs="Arial" w:eastAsia="Arial" w:hAnsi="Arial"/>
          <w:sz w:val="22"/>
          <w:szCs w:val="22"/>
          <w:b w:val="1"/>
          <w:bCs w:val="1"/>
          <w:color w:val="auto"/>
        </w:rPr>
        <w:t>Joint Agreement Patents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1.110.</w:t>
      </w:r>
      <w:r>
        <w:rPr>
          <w:rFonts w:ascii="Arial" w:cs="Arial" w:eastAsia="Arial" w:hAnsi="Arial"/>
          <w:sz w:val="19"/>
          <w:szCs w:val="19"/>
          <w:color w:val="auto"/>
        </w:rPr>
        <w:t>“</w:t>
      </w:r>
      <w:r>
        <w:rPr>
          <w:rFonts w:ascii="Arial" w:cs="Arial" w:eastAsia="Arial" w:hAnsi="Arial"/>
          <w:sz w:val="19"/>
          <w:szCs w:val="19"/>
          <w:b w:val="1"/>
          <w:bCs w:val="1"/>
          <w:color w:val="auto"/>
        </w:rPr>
        <w:t>Joint Agreement Technology</w:t>
      </w:r>
      <w:r>
        <w:rPr>
          <w:rFonts w:ascii="Arial" w:cs="Arial" w:eastAsia="Arial" w:hAnsi="Arial"/>
          <w:sz w:val="19"/>
          <w:szCs w:val="19"/>
          <w:color w:val="auto"/>
        </w:rPr>
        <w:t>” means, collectively, the Joint Agreement Know-How and the Joint Agreement Patents.</w:t>
      </w:r>
    </w:p>
    <w:p>
      <w:pPr>
        <w:spacing w:after="0" w:line="241" w:lineRule="exact"/>
        <w:rPr>
          <w:sz w:val="20"/>
          <w:szCs w:val="20"/>
          <w:color w:val="auto"/>
        </w:rPr>
      </w:pPr>
    </w:p>
    <w:p>
      <w:pPr>
        <w:jc w:val="both"/>
        <w:ind w:left="540" w:hanging="525"/>
        <w:spacing w:after="0" w:line="244" w:lineRule="auto"/>
        <w:rPr>
          <w:sz w:val="20"/>
          <w:szCs w:val="20"/>
          <w:color w:val="auto"/>
        </w:rPr>
      </w:pPr>
      <w:r>
        <w:rPr>
          <w:rFonts w:ascii="Arial" w:cs="Arial" w:eastAsia="Arial" w:hAnsi="Arial"/>
          <w:sz w:val="21"/>
          <w:szCs w:val="21"/>
          <w:b w:val="1"/>
          <w:bCs w:val="1"/>
          <w:color w:val="auto"/>
        </w:rPr>
        <w:t>1.111.</w:t>
      </w:r>
      <w:r>
        <w:rPr>
          <w:rFonts w:ascii="Arial" w:cs="Arial" w:eastAsia="Arial" w:hAnsi="Arial"/>
          <w:sz w:val="21"/>
          <w:szCs w:val="21"/>
          <w:color w:val="auto"/>
        </w:rPr>
        <w:t>“</w:t>
      </w:r>
      <w:r>
        <w:rPr>
          <w:rFonts w:ascii="Arial" w:cs="Arial" w:eastAsia="Arial" w:hAnsi="Arial"/>
          <w:sz w:val="21"/>
          <w:szCs w:val="21"/>
          <w:b w:val="1"/>
          <w:bCs w:val="1"/>
          <w:color w:val="auto"/>
        </w:rPr>
        <w:t>Know-How</w:t>
      </w:r>
      <w:r>
        <w:rPr>
          <w:rFonts w:ascii="Arial" w:cs="Arial" w:eastAsia="Arial" w:hAnsi="Arial"/>
          <w:sz w:val="21"/>
          <w:szCs w:val="21"/>
          <w:color w:val="auto"/>
        </w:rPr>
        <w:t>” means any proprietary, scientific or technical information, results and data of any type whatsoever, in any</w:t>
      </w:r>
      <w:r>
        <w:rPr>
          <w:rFonts w:ascii="Arial" w:cs="Arial" w:eastAsia="Arial" w:hAnsi="Arial"/>
          <w:sz w:val="21"/>
          <w:szCs w:val="21"/>
          <w:b w:val="1"/>
          <w:bCs w:val="1"/>
          <w:color w:val="auto"/>
        </w:rPr>
        <w:t xml:space="preserve"> </w:t>
      </w:r>
      <w:r>
        <w:rPr>
          <w:rFonts w:ascii="Arial" w:cs="Arial" w:eastAsia="Arial" w:hAnsi="Arial"/>
          <w:sz w:val="21"/>
          <w:szCs w:val="21"/>
          <w:color w:val="auto"/>
        </w:rPr>
        <w:t>tangible or intangible form whatsoever, that is not in the public domain or otherwise publicly known, including discoveries, inventions, trade secrets, devices, databases, practices, protocols, regulatory filings, methods, processes (including Manufacturing processes, specifications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any Development activities), summaries and information contained in submissions to and information from ethical committees, or Regulatory Authorities, and Manufacturing process and Development information, results and data, whether or not patentable, all to the extent not claimed or disclosed in any Patent. The fact that an item is known to the public shall not be taken to exclude the possibility that a compilation including the item, or a development relating to the item, is (and remains) not known to the public. “Know-How” includes any rights (other than Patents, but including copyright, database or design rights) protecting such Know-How.</w:t>
      </w:r>
    </w:p>
    <w:p>
      <w:pPr>
        <w:spacing w:after="0" w:line="183" w:lineRule="exact"/>
        <w:rPr>
          <w:sz w:val="20"/>
          <w:szCs w:val="20"/>
          <w:color w:val="auto"/>
        </w:rPr>
      </w:pPr>
    </w:p>
    <w:p>
      <w:pPr>
        <w:jc w:val="both"/>
        <w:ind w:left="540" w:hanging="539"/>
        <w:spacing w:after="0" w:line="239" w:lineRule="auto"/>
        <w:rPr>
          <w:sz w:val="20"/>
          <w:szCs w:val="20"/>
          <w:color w:val="auto"/>
        </w:rPr>
      </w:pPr>
      <w:r>
        <w:rPr>
          <w:rFonts w:ascii="Arial" w:cs="Arial" w:eastAsia="Arial" w:hAnsi="Arial"/>
          <w:sz w:val="22"/>
          <w:szCs w:val="22"/>
          <w:b w:val="1"/>
          <w:bCs w:val="1"/>
          <w:color w:val="auto"/>
        </w:rPr>
        <w:t>1.112.</w:t>
      </w: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or “</w:t>
      </w:r>
      <w:r>
        <w:rPr>
          <w:rFonts w:ascii="Arial" w:cs="Arial" w:eastAsia="Arial" w:hAnsi="Arial"/>
          <w:sz w:val="22"/>
          <w:szCs w:val="22"/>
          <w:b w:val="1"/>
          <w:bCs w:val="1"/>
          <w:color w:val="auto"/>
        </w:rPr>
        <w:t>Laws</w:t>
      </w:r>
      <w:r>
        <w:rPr>
          <w:rFonts w:ascii="Arial" w:cs="Arial" w:eastAsia="Arial" w:hAnsi="Arial"/>
          <w:sz w:val="22"/>
          <w:szCs w:val="22"/>
          <w:color w:val="auto"/>
        </w:rPr>
        <w:t>” means all applicable national, supranational, regional, state and local laws, statutes, rules,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ordinances, treaties, administrative codes, guidance, judgments, decrees, directives, injunctions, orders, permits, of or from any court, arbitrator, Regulatory Authority, or Governmental Body having jurisdiction over or related to the subject item, including GCP, GLP and GMP, as applicable.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1.113.</w:t>
      </w: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1.114.</w:t>
      </w:r>
      <w:r>
        <w:rPr>
          <w:rFonts w:ascii="Arial" w:cs="Arial" w:eastAsia="Arial" w:hAnsi="Arial"/>
          <w:sz w:val="22"/>
          <w:szCs w:val="22"/>
          <w:color w:val="auto"/>
        </w:rPr>
        <w:t>“</w:t>
      </w:r>
      <w:r>
        <w:rPr>
          <w:rFonts w:ascii="Arial" w:cs="Arial" w:eastAsia="Arial" w:hAnsi="Arial"/>
          <w:sz w:val="22"/>
          <w:szCs w:val="22"/>
          <w:b w:val="1"/>
          <w:bCs w:val="1"/>
          <w:color w:val="auto"/>
        </w:rPr>
        <w:t>Major European Countries</w:t>
      </w:r>
      <w:r>
        <w:rPr>
          <w:rFonts w:ascii="Arial" w:cs="Arial" w:eastAsia="Arial" w:hAnsi="Arial"/>
          <w:sz w:val="22"/>
          <w:szCs w:val="22"/>
          <w:color w:val="auto"/>
        </w:rPr>
        <w:t>” means, collectively, France, Germany, Italy, Spain and the United Kingdom.</w:t>
      </w:r>
    </w:p>
    <w:p>
      <w:pPr>
        <w:spacing w:after="0" w:line="206"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1.115.</w:t>
      </w:r>
      <w:r>
        <w:rPr>
          <w:rFonts w:ascii="Arial" w:cs="Arial" w:eastAsia="Arial" w:hAnsi="Arial"/>
          <w:sz w:val="22"/>
          <w:szCs w:val="22"/>
          <w:color w:val="auto"/>
        </w:rPr>
        <w:t>“</w:t>
      </w:r>
      <w:r>
        <w:rPr>
          <w:rFonts w:ascii="Arial" w:cs="Arial" w:eastAsia="Arial" w:hAnsi="Arial"/>
          <w:sz w:val="22"/>
          <w:szCs w:val="22"/>
          <w:b w:val="1"/>
          <w:bCs w:val="1"/>
          <w:color w:val="auto"/>
        </w:rPr>
        <w:t>Major Markets</w:t>
      </w:r>
      <w:r>
        <w:rPr>
          <w:rFonts w:ascii="Arial" w:cs="Arial" w:eastAsia="Arial" w:hAnsi="Arial"/>
          <w:sz w:val="22"/>
          <w:szCs w:val="22"/>
          <w:color w:val="auto"/>
        </w:rPr>
        <w:t>” means each of the following countries: the United States, France, Germany, Italy, Spain,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Kingdom, and Japan.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right="260" w:firstLine="8"/>
        <w:spacing w:after="0" w:line="266" w:lineRule="auto"/>
        <w:tabs>
          <w:tab w:leader="none" w:pos="43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jc w:val="both"/>
        <w:ind w:left="540" w:hanging="539"/>
        <w:spacing w:after="0" w:line="280" w:lineRule="auto"/>
        <w:rPr>
          <w:sz w:val="20"/>
          <w:szCs w:val="20"/>
          <w:color w:val="auto"/>
        </w:rPr>
      </w:pPr>
      <w:r>
        <w:rPr>
          <w:rFonts w:ascii="Arial" w:cs="Arial" w:eastAsia="Arial" w:hAnsi="Arial"/>
          <w:sz w:val="19"/>
          <w:szCs w:val="19"/>
          <w:b w:val="1"/>
          <w:bCs w:val="1"/>
          <w:color w:val="auto"/>
        </w:rPr>
        <w:t>1.116.</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means, with respect to any product (including active pharmaceutical ingredient and other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therein), the performance of all activities directed to any stage of manufacture of such product, as applicable, including the planning, purchasing of materials or intermediates, making, having made, producing, manufacturing, process development, processing, filling, finishing, packaging, labeling, leafleting, in-process testing, waste disposal, quality control testing and quality assurance release, disposition, sample retention, stability testing, preparation for shipping, shipping or storage of such product. “</w:t>
      </w:r>
      <w:r>
        <w:rPr>
          <w:rFonts w:ascii="Arial" w:cs="Arial" w:eastAsia="Arial" w:hAnsi="Arial"/>
          <w:sz w:val="19"/>
          <w:szCs w:val="19"/>
          <w:b w:val="1"/>
          <w:bCs w:val="1"/>
          <w:color w:val="auto"/>
        </w:rPr>
        <w:t>Manufactured</w:t>
      </w:r>
      <w:r>
        <w:rPr>
          <w:rFonts w:ascii="Arial" w:cs="Arial" w:eastAsia="Arial" w:hAnsi="Arial"/>
          <w:sz w:val="19"/>
          <w:szCs w:val="19"/>
          <w:color w:val="auto"/>
        </w:rPr>
        <w:t>” or “</w:t>
      </w:r>
      <w:r>
        <w:rPr>
          <w:rFonts w:ascii="Arial" w:cs="Arial" w:eastAsia="Arial" w:hAnsi="Arial"/>
          <w:sz w:val="19"/>
          <w:szCs w:val="19"/>
          <w:b w:val="1"/>
          <w:bCs w:val="1"/>
          <w:color w:val="auto"/>
        </w:rPr>
        <w:t>Manufacturing</w:t>
      </w:r>
      <w:r>
        <w:rPr>
          <w:rFonts w:ascii="Arial" w:cs="Arial" w:eastAsia="Arial" w:hAnsi="Arial"/>
          <w:sz w:val="19"/>
          <w:szCs w:val="19"/>
          <w:color w:val="auto"/>
        </w:rPr>
        <w:t>” shall each have a correlative meaning.</w:t>
      </w:r>
    </w:p>
    <w:p>
      <w:pPr>
        <w:spacing w:after="0" w:line="145" w:lineRule="exact"/>
        <w:rPr>
          <w:sz w:val="20"/>
          <w:szCs w:val="20"/>
          <w:color w:val="auto"/>
        </w:rPr>
      </w:pPr>
    </w:p>
    <w:p>
      <w:pPr>
        <w:jc w:val="both"/>
        <w:ind w:left="540" w:hanging="539"/>
        <w:spacing w:after="0" w:line="236" w:lineRule="auto"/>
        <w:rPr>
          <w:sz w:val="20"/>
          <w:szCs w:val="20"/>
          <w:color w:val="auto"/>
        </w:rPr>
      </w:pPr>
      <w:r>
        <w:rPr>
          <w:rFonts w:ascii="Arial" w:cs="Arial" w:eastAsia="Arial" w:hAnsi="Arial"/>
          <w:sz w:val="22"/>
          <w:szCs w:val="22"/>
          <w:b w:val="1"/>
          <w:bCs w:val="1"/>
          <w:color w:val="auto"/>
        </w:rPr>
        <w:t>1.117.</w:t>
      </w:r>
      <w:r>
        <w:rPr>
          <w:rFonts w:ascii="Arial" w:cs="Arial" w:eastAsia="Arial" w:hAnsi="Arial"/>
          <w:sz w:val="22"/>
          <w:szCs w:val="22"/>
          <w:color w:val="auto"/>
        </w:rPr>
        <w:t>“</w:t>
      </w:r>
      <w:r>
        <w:rPr>
          <w:rFonts w:ascii="Arial" w:cs="Arial" w:eastAsia="Arial" w:hAnsi="Arial"/>
          <w:sz w:val="22"/>
          <w:szCs w:val="22"/>
          <w:b w:val="1"/>
          <w:bCs w:val="1"/>
          <w:color w:val="auto"/>
        </w:rPr>
        <w:t>Manufacturing Costs</w:t>
      </w:r>
      <w:r>
        <w:rPr>
          <w:rFonts w:ascii="Arial" w:cs="Arial" w:eastAsia="Arial" w:hAnsi="Arial"/>
          <w:sz w:val="22"/>
          <w:szCs w:val="22"/>
          <w:color w:val="auto"/>
        </w:rPr>
        <w:t>” means, with respect to any Product Manufactured by or on behalf of a Party,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licensees or sublicensees, such Party’s (or its Affiliate’s licensee’s or sublicensee’s, as applicable) [***] determined in accordance with applicable Accounting Standards, and the terms and conditions of this Agreement, incurred in Manufacturing or acquisition of such Product, in each case, [***] Controlled by such Party (or its Affiliate, licensee or sublicensee, as applicable), which shall include the following costs incurred by such Party (or its Affiliate, licensee or sublicensee, as applicable):</w:t>
      </w:r>
    </w:p>
    <w:p>
      <w:pPr>
        <w:spacing w:after="0" w:line="182" w:lineRule="exact"/>
        <w:rPr>
          <w:sz w:val="20"/>
          <w:szCs w:val="20"/>
          <w:color w:val="auto"/>
        </w:rPr>
      </w:pPr>
    </w:p>
    <w:p>
      <w:pPr>
        <w:jc w:val="both"/>
        <w:ind w:left="1740" w:hanging="436"/>
        <w:spacing w:after="0" w:line="272" w:lineRule="auto"/>
        <w:tabs>
          <w:tab w:leader="none" w:pos="17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Standard Cost of Goods Manufactured</w:t>
      </w:r>
      <w:r>
        <w:rPr>
          <w:rFonts w:ascii="Arial" w:cs="Arial" w:eastAsia="Arial" w:hAnsi="Arial"/>
          <w:sz w:val="19"/>
          <w:szCs w:val="19"/>
          <w:color w:val="auto"/>
        </w:rPr>
        <w:t>” means the budgeted unit costs of direct materials, direct labour, Third Party fees, depreciation of Manufacturing equipment (including buildings, fixtures, and fittings), inter-plant/inter-location transportation expenses and a reasonable allocation of indirect expenses and overhead connected therewith (to the extent allocable to forecasted production of materials for use in or sale of such product recorded as an expense by such Party (or its Affiliate, licensee or sublicensee, as applicable)), which allocation is made in a manner consistent with such allocations applied to other products made in the same production center, and consistent with customary practice, in each case, calculated in accordance with applicable Accounting Standards, consistently applied by such Party (or its Affiliate, licensee or sublicensee, as applicable) in accordance with its standard accounting practice for public financial reporting purposes; provided that the Standard Cost of Goods Manufactured will be updated annually as part of such Party’s (or its Affiliate’s, licensee’s or sublicensee’s, as applicable) customary practice for its other products, plus any reasonable and documented costs in respect of local testing (or retesting), destruction, freight, insurance, warehousing, duty, import and transportation costs;</w:t>
      </w:r>
    </w:p>
    <w:p>
      <w:pPr>
        <w:spacing w:after="0" w:line="155" w:lineRule="exact"/>
        <w:rPr>
          <w:rFonts w:ascii="Arial" w:cs="Arial" w:eastAsia="Arial" w:hAnsi="Arial"/>
          <w:sz w:val="19"/>
          <w:szCs w:val="19"/>
          <w:color w:val="auto"/>
        </w:rPr>
      </w:pPr>
    </w:p>
    <w:p>
      <w:pPr>
        <w:jc w:val="both"/>
        <w:ind w:left="1740" w:hanging="436"/>
        <w:spacing w:after="0" w:line="247" w:lineRule="auto"/>
        <w:tabs>
          <w:tab w:leader="none" w:pos="1740" w:val="left"/>
        </w:tabs>
        <w:numPr>
          <w:ilvl w:val="0"/>
          <w:numId w:val="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Cost Variances</w:t>
      </w:r>
      <w:r>
        <w:rPr>
          <w:rFonts w:ascii="Arial" w:cs="Arial" w:eastAsia="Arial" w:hAnsi="Arial"/>
          <w:sz w:val="21"/>
          <w:szCs w:val="21"/>
          <w:color w:val="auto"/>
        </w:rPr>
        <w:t>” means actual costs of Manufacturing versus Standard Cost of Goods Manufactures, including direct materials variances (including material usage variances and purchase price variances), direct labour variances, and indirect expenses and overhead variances (to the extent allocable to forecasted production of materials for use in or sale of such product recorded as an expense by such Party (or its Affiliate, licensee or sublicensee, as applicable)), which allocation is made in a manner consistent with customary practice (including volume variances, variable overhead spending variances and fixed overhead spending variances);</w:t>
      </w:r>
    </w:p>
    <w:p>
      <w:pPr>
        <w:spacing w:after="0" w:line="183" w:lineRule="exact"/>
        <w:rPr>
          <w:rFonts w:ascii="Arial" w:cs="Arial" w:eastAsia="Arial" w:hAnsi="Arial"/>
          <w:sz w:val="21"/>
          <w:szCs w:val="21"/>
          <w:color w:val="auto"/>
        </w:rPr>
      </w:pPr>
    </w:p>
    <w:p>
      <w:pPr>
        <w:ind w:left="1740" w:right="20" w:hanging="436"/>
        <w:spacing w:after="0" w:line="250" w:lineRule="auto"/>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To the extent Products are Manufactured by any CMOs, the Out-of-Pocket Costs invoiced by and paid to such Third Party contractor(s) for the Manufacture of such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right="260" w:firstLine="8"/>
        <w:spacing w:after="0" w:line="266" w:lineRule="auto"/>
        <w:tabs>
          <w:tab w:leader="none" w:pos="43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1740"/>
        <w:spacing w:after="0" w:line="252" w:lineRule="auto"/>
        <w:rPr>
          <w:sz w:val="20"/>
          <w:szCs w:val="20"/>
          <w:color w:val="auto"/>
        </w:rPr>
      </w:pPr>
      <w:r>
        <w:rPr>
          <w:rFonts w:ascii="Arial" w:cs="Arial" w:eastAsia="Arial" w:hAnsi="Arial"/>
          <w:sz w:val="21"/>
          <w:szCs w:val="21"/>
          <w:color w:val="auto"/>
        </w:rPr>
        <w:t>Product, including depreciation of Manufacturing equipment (including buildings, fixtures, and fittings) either purchased by such Party (or its Affiliate, licensee or sublicensee, as applicable) or the applicable Third Party contractor, any reasonable and documented costs in respect of local testing (or retesting), destruction, freight, insurance, warehousing, duty, import and transportation costs; and</w:t>
      </w:r>
    </w:p>
    <w:p>
      <w:pPr>
        <w:spacing w:after="0" w:line="174" w:lineRule="exact"/>
        <w:rPr>
          <w:sz w:val="20"/>
          <w:szCs w:val="20"/>
          <w:color w:val="auto"/>
        </w:rPr>
      </w:pPr>
    </w:p>
    <w:p>
      <w:pPr>
        <w:jc w:val="both"/>
        <w:ind w:left="1740" w:hanging="436"/>
        <w:spacing w:after="0" w:line="275" w:lineRule="auto"/>
        <w:tabs>
          <w:tab w:leader="none" w:pos="17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Manufacturing Cost shall not include capital costs or costs associated with physical plant improvements; provided that, subject to the foregoing, all Manufacturing Costs shall be calculated on a pro-rata basis based on the use of the components of Manufacturing activities devoted to the Products as opposed to all other products using the same components; provided, further, that Manufacturing Costs shall exclude costs that result from the gross negligence or willful misconduct of a Party (or any of its Affiliates, licensees, sublicensees or Third Party contractor manufacturer(s)) or a failure by a Party (or any of its Affiliates, licensees, sublicensees or Third Party contractor manufacturer(s)) to follow the documented manufacturing process or any other Manufacturing defect arising from such Manufacture of the applicable Product.</w:t>
      </w:r>
    </w:p>
    <w:p>
      <w:pPr>
        <w:spacing w:after="0" w:line="151" w:lineRule="exact"/>
        <w:rPr>
          <w:sz w:val="20"/>
          <w:szCs w:val="20"/>
          <w:color w:val="auto"/>
        </w:rPr>
      </w:pPr>
    </w:p>
    <w:p>
      <w:pPr>
        <w:jc w:val="both"/>
        <w:ind w:left="540" w:hanging="539"/>
        <w:spacing w:after="0" w:line="254" w:lineRule="auto"/>
        <w:rPr>
          <w:sz w:val="20"/>
          <w:szCs w:val="20"/>
          <w:color w:val="auto"/>
        </w:rPr>
      </w:pPr>
      <w:r>
        <w:rPr>
          <w:rFonts w:ascii="Arial" w:cs="Arial" w:eastAsia="Arial" w:hAnsi="Arial"/>
          <w:sz w:val="21"/>
          <w:szCs w:val="21"/>
          <w:b w:val="1"/>
          <w:bCs w:val="1"/>
          <w:color w:val="auto"/>
        </w:rPr>
        <w:t>1.118.</w:t>
      </w:r>
      <w:r>
        <w:rPr>
          <w:rFonts w:ascii="Arial" w:cs="Arial" w:eastAsia="Arial" w:hAnsi="Arial"/>
          <w:sz w:val="21"/>
          <w:szCs w:val="21"/>
          <w:color w:val="auto"/>
        </w:rPr>
        <w:t>“</w:t>
      </w:r>
      <w:r>
        <w:rPr>
          <w:rFonts w:ascii="Arial" w:cs="Arial" w:eastAsia="Arial" w:hAnsi="Arial"/>
          <w:sz w:val="21"/>
          <w:szCs w:val="21"/>
          <w:b w:val="1"/>
          <w:bCs w:val="1"/>
          <w:color w:val="auto"/>
        </w:rPr>
        <w:t>NDA</w:t>
      </w:r>
      <w:r>
        <w:rPr>
          <w:rFonts w:ascii="Arial" w:cs="Arial" w:eastAsia="Arial" w:hAnsi="Arial"/>
          <w:sz w:val="21"/>
          <w:szCs w:val="21"/>
          <w:color w:val="auto"/>
        </w:rPr>
        <w:t>” means any New Drug Application, submitted pursuant to the requirements of the FDA, as more fully defined in 21</w:t>
      </w:r>
      <w:r>
        <w:rPr>
          <w:rFonts w:ascii="Arial" w:cs="Arial" w:eastAsia="Arial" w:hAnsi="Arial"/>
          <w:sz w:val="21"/>
          <w:szCs w:val="21"/>
          <w:b w:val="1"/>
          <w:bCs w:val="1"/>
          <w:color w:val="auto"/>
        </w:rPr>
        <w:t xml:space="preserve"> </w:t>
      </w:r>
      <w:r>
        <w:rPr>
          <w:rFonts w:ascii="Arial" w:cs="Arial" w:eastAsia="Arial" w:hAnsi="Arial"/>
          <w:sz w:val="21"/>
          <w:szCs w:val="21"/>
          <w:color w:val="auto"/>
        </w:rPr>
        <w:t>C.F.R. § 314.3 et seq. and any equivalent application to any of the foregoing (e.g., Marketing Authorization Application filed with the EMA) submitted in any country in the Territory, including all additions, deletions or supplements thereto, and as any and all such requirements may be amended, or supplanted,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1.119.</w:t>
      </w:r>
      <w:r>
        <w:rPr>
          <w:rFonts w:ascii="Arial" w:cs="Arial" w:eastAsia="Arial" w:hAnsi="Arial"/>
          <w:sz w:val="22"/>
          <w:szCs w:val="22"/>
          <w:color w:val="auto"/>
        </w:rPr>
        <w:t>“</w:t>
      </w:r>
      <w:r>
        <w:rPr>
          <w:rFonts w:ascii="Arial" w:cs="Arial" w:eastAsia="Arial" w:hAnsi="Arial"/>
          <w:sz w:val="22"/>
          <w:szCs w:val="22"/>
          <w:b w:val="1"/>
          <w:bCs w:val="1"/>
          <w:color w:val="auto"/>
        </w:rPr>
        <w:t>Negotiation Period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73" w:lineRule="auto"/>
        <w:rPr>
          <w:sz w:val="20"/>
          <w:szCs w:val="20"/>
          <w:color w:val="auto"/>
        </w:rPr>
      </w:pPr>
      <w:r>
        <w:rPr>
          <w:rFonts w:ascii="Arial" w:cs="Arial" w:eastAsia="Arial" w:hAnsi="Arial"/>
          <w:sz w:val="19"/>
          <w:szCs w:val="19"/>
          <w:b w:val="1"/>
          <w:bCs w:val="1"/>
          <w:color w:val="auto"/>
        </w:rPr>
        <w:t>1.120.</w:t>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with respect to a Product during a stated time period, the gross invoiced sales amounts for such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sold by or on behalf of (a) with respect to the GSK Territory, GSK or any of its Affiliates or Sublicensees in arm’s length transactions to Third Parties (but not including sales relating to transactions by and between GSK, its Affiliates or Sublicensees, but including sales to wholesalers and distributors); or (b) with respect to Arrowhead’s royalty payment obligations pursuant to </w:t>
      </w:r>
      <w:r>
        <w:rPr>
          <w:rFonts w:ascii="Arial" w:cs="Arial" w:eastAsia="Arial" w:hAnsi="Arial"/>
          <w:sz w:val="19"/>
          <w:szCs w:val="19"/>
          <w:u w:val="single" w:color="auto"/>
          <w:color w:val="auto"/>
        </w:rPr>
        <w:t>Section 10.7(c)(iv)(B)</w:t>
      </w:r>
      <w:r>
        <w:rPr>
          <w:rFonts w:ascii="Arial" w:cs="Arial" w:eastAsia="Arial" w:hAnsi="Arial"/>
          <w:sz w:val="19"/>
          <w:szCs w:val="19"/>
          <w:color w:val="auto"/>
        </w:rPr>
        <w:t>, Arrowhead or any of its Affiliates, licensees or sublicensees in arm’s length transactions to Third Parties (but not including sales relating to transactions by and between Arrowhead, its Affiliates, licensees or sublicensees, but including sales to wholesalers and distributors) (in each case ((a) and (b)), any such Affiliates, licensees or sublicensees of a Party, a “</w:t>
      </w:r>
      <w:r>
        <w:rPr>
          <w:rFonts w:ascii="Arial" w:cs="Arial" w:eastAsia="Arial" w:hAnsi="Arial"/>
          <w:sz w:val="19"/>
          <w:szCs w:val="19"/>
          <w:b w:val="1"/>
          <w:bCs w:val="1"/>
          <w:color w:val="auto"/>
        </w:rPr>
        <w:t>Selling Party</w:t>
      </w:r>
      <w:r>
        <w:rPr>
          <w:rFonts w:ascii="Arial" w:cs="Arial" w:eastAsia="Arial" w:hAnsi="Arial"/>
          <w:sz w:val="19"/>
          <w:szCs w:val="19"/>
          <w:color w:val="auto"/>
        </w:rPr>
        <w:t>”), less the following deductions from such gross amounts which are actually incurred, allowed, paid, accrued or specifically allocated to such Product and to the extent that such amounts are deducted from gross invoiced sales amounts as reported by such a Party or any of its respective Selling Parties in its financial statements in accordance with its applicable Accounting Standard, applied on a consistent basis:</w:t>
      </w:r>
    </w:p>
    <w:p>
      <w:pPr>
        <w:spacing w:after="0" w:line="161" w:lineRule="exact"/>
        <w:rPr>
          <w:sz w:val="20"/>
          <w:szCs w:val="20"/>
          <w:color w:val="auto"/>
        </w:rPr>
      </w:pPr>
    </w:p>
    <w:p>
      <w:pPr>
        <w:ind w:left="1740" w:hanging="436"/>
        <w:spacing w:after="0" w:line="250" w:lineRule="auto"/>
        <w:tabs>
          <w:tab w:leader="none" w:pos="17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credits or allowances actually granted for any damaged Product, returns or rejections of such Product, price adjustments and billing errors;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right="260" w:firstLine="8"/>
        <w:spacing w:after="0" w:line="266" w:lineRule="auto"/>
        <w:tabs>
          <w:tab w:leader="none" w:pos="4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9" w:lineRule="exact"/>
        <w:rPr>
          <w:rFonts w:ascii="Arial" w:cs="Arial" w:eastAsia="Arial" w:hAnsi="Arial"/>
          <w:sz w:val="18"/>
          <w:szCs w:val="18"/>
          <w:b w:val="1"/>
          <w:bCs w:val="1"/>
          <w:color w:val="auto"/>
        </w:rPr>
      </w:pPr>
    </w:p>
    <w:p>
      <w:pPr>
        <w:ind w:left="1740" w:hanging="436"/>
        <w:spacing w:after="0" w:line="328" w:lineRule="auto"/>
        <w:tabs>
          <w:tab w:leader="none" w:pos="17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government mandated discounts and rebates (or equivalents thereof) to national, state, provincial, local and other Governmental Bodies, their agencies and purchasers, and reimbursers, or to trade customers;</w:t>
      </w:r>
    </w:p>
    <w:p>
      <w:pPr>
        <w:spacing w:after="0" w:line="104" w:lineRule="exact"/>
        <w:rPr>
          <w:rFonts w:ascii="Arial" w:cs="Arial" w:eastAsia="Arial" w:hAnsi="Arial"/>
          <w:sz w:val="19"/>
          <w:szCs w:val="19"/>
          <w:color w:val="auto"/>
        </w:rPr>
      </w:pPr>
    </w:p>
    <w:p>
      <w:pPr>
        <w:ind w:left="1740" w:hanging="436"/>
        <w:spacing w:after="0"/>
        <w:tabs>
          <w:tab w:leader="none" w:pos="17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normal and customary trade, cash and quantity discounts actually given on such Product sold;</w:t>
      </w:r>
    </w:p>
    <w:p>
      <w:pPr>
        <w:spacing w:after="0" w:line="206" w:lineRule="exact"/>
        <w:rPr>
          <w:rFonts w:ascii="Arial" w:cs="Arial" w:eastAsia="Arial" w:hAnsi="Arial"/>
          <w:sz w:val="22"/>
          <w:szCs w:val="22"/>
          <w:color w:val="auto"/>
        </w:rPr>
      </w:pPr>
    </w:p>
    <w:p>
      <w:pPr>
        <w:ind w:left="1740" w:right="20" w:hanging="436"/>
        <w:spacing w:after="0" w:line="250" w:lineRule="auto"/>
        <w:tabs>
          <w:tab w:leader="none" w:pos="17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transportation costs, including insurance, for outbound freight related to delivery of such Product to the extent included and separately itemized in the gross amount invoiced;</w:t>
      </w:r>
    </w:p>
    <w:p>
      <w:pPr>
        <w:spacing w:after="0" w:line="174" w:lineRule="exact"/>
        <w:rPr>
          <w:rFonts w:ascii="Arial" w:cs="Arial" w:eastAsia="Arial" w:hAnsi="Arial"/>
          <w:sz w:val="22"/>
          <w:szCs w:val="22"/>
          <w:color w:val="auto"/>
        </w:rPr>
      </w:pPr>
    </w:p>
    <w:p>
      <w:pPr>
        <w:ind w:left="1740" w:hanging="436"/>
        <w:spacing w:after="0" w:line="250" w:lineRule="auto"/>
        <w:tabs>
          <w:tab w:leader="none" w:pos="17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non-recoverable sales taxes, value added taxes, and other taxes directly linked to the sales of such Product to the extent included in the gross amount invoiced; and</w:t>
      </w:r>
    </w:p>
    <w:p>
      <w:pPr>
        <w:spacing w:after="0" w:line="174" w:lineRule="exact"/>
        <w:rPr>
          <w:rFonts w:ascii="Arial" w:cs="Arial" w:eastAsia="Arial" w:hAnsi="Arial"/>
          <w:sz w:val="22"/>
          <w:szCs w:val="22"/>
          <w:color w:val="auto"/>
        </w:rPr>
      </w:pPr>
    </w:p>
    <w:p>
      <w:pPr>
        <w:jc w:val="both"/>
        <w:ind w:left="1740" w:hanging="436"/>
        <w:spacing w:after="0"/>
        <w:tabs>
          <w:tab w:leader="none" w:pos="17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items actually deducted from gross invoiced sales amounts as reported by such Party or any of its respective Selling Parties in its financial statements in accordance with its applicable Accounting Standard, applied on a consistent basis.</w:t>
      </w:r>
    </w:p>
    <w:p>
      <w:pPr>
        <w:spacing w:after="0" w:line="186" w:lineRule="exact"/>
        <w:rPr>
          <w:sz w:val="20"/>
          <w:szCs w:val="20"/>
          <w:color w:val="auto"/>
        </w:rPr>
      </w:pPr>
    </w:p>
    <w:p>
      <w:pPr>
        <w:jc w:val="both"/>
        <w:ind w:left="1740" w:hanging="730"/>
        <w:spacing w:after="0" w:line="250" w:lineRule="auto"/>
        <w:rPr>
          <w:sz w:val="20"/>
          <w:szCs w:val="20"/>
          <w:color w:val="auto"/>
        </w:rPr>
      </w:pPr>
      <w:r>
        <w:rPr>
          <w:rFonts w:ascii="Arial" w:cs="Arial" w:eastAsia="Arial" w:hAnsi="Arial"/>
          <w:sz w:val="22"/>
          <w:szCs w:val="22"/>
          <w:color w:val="auto"/>
        </w:rPr>
        <w:t>provided, however, that in no event shall any particular amount identified above be deducted more than once in calculating Net Sales (i.e., no “double counting” of deductions).</w:t>
      </w:r>
    </w:p>
    <w:p>
      <w:pPr>
        <w:spacing w:after="0" w:line="175" w:lineRule="exact"/>
        <w:rPr>
          <w:sz w:val="20"/>
          <w:szCs w:val="20"/>
          <w:color w:val="auto"/>
        </w:rPr>
      </w:pPr>
    </w:p>
    <w:p>
      <w:pPr>
        <w:jc w:val="both"/>
        <w:ind w:left="1740" w:hanging="730"/>
        <w:spacing w:after="0" w:line="244" w:lineRule="auto"/>
        <w:rPr>
          <w:sz w:val="20"/>
          <w:szCs w:val="20"/>
          <w:color w:val="auto"/>
        </w:rPr>
      </w:pPr>
      <w:r>
        <w:rPr>
          <w:rFonts w:ascii="Arial" w:cs="Arial" w:eastAsia="Arial" w:hAnsi="Arial"/>
          <w:sz w:val="21"/>
          <w:szCs w:val="21"/>
          <w:color w:val="auto"/>
        </w:rPr>
        <w:t>To the extent that a Party or any of its respective Selling Parties receives consideration other than or in addition to cash upon the sale or disposition of a Product, Net Sales will be calculated based on the average price charged for such Product, as applicable, during the preceding royalty period, or in the absence of such sales, based on such Party’s (or its Selling Party’s, as applicable) reasonable determination of the fair market value of the Product. The permitted deductions of clauses (a) through (e) above will be fairly allocated to the Product and, as between the Product and other products or services of such Party (or its Selling Party, as applicable), will not be inappropriately allocated. Such Party (or its Selling Party, as applicable) will not attempt to reduce compensation rightly due to the other Party under this Agreement by shifting compensation otherwise payable to such Party (or its Selling Party, as applicable) from a Third Party with respect to any Product to another product or service for which no royalties are payable to the other Party under this Agreement.</w:t>
      </w:r>
    </w:p>
    <w:p>
      <w:pPr>
        <w:spacing w:after="0" w:line="188" w:lineRule="exact"/>
        <w:rPr>
          <w:sz w:val="20"/>
          <w:szCs w:val="20"/>
          <w:color w:val="auto"/>
        </w:rPr>
      </w:pPr>
    </w:p>
    <w:p>
      <w:pPr>
        <w:jc w:val="both"/>
        <w:ind w:left="1740" w:hanging="730"/>
        <w:spacing w:after="0" w:line="277" w:lineRule="auto"/>
        <w:rPr>
          <w:sz w:val="20"/>
          <w:szCs w:val="20"/>
          <w:color w:val="auto"/>
        </w:rPr>
      </w:pPr>
      <w:r>
        <w:rPr>
          <w:rFonts w:ascii="Arial" w:cs="Arial" w:eastAsia="Arial" w:hAnsi="Arial"/>
          <w:sz w:val="19"/>
          <w:szCs w:val="19"/>
          <w:color w:val="auto"/>
        </w:rPr>
        <w:t xml:space="preserve">For purposes of the definition of Net Sales: If any Product under this Agreement is sold in the form of a Combination Product, and such Product and Other Components are sold separately, the Net Sales of such Combination Product for any period shall be determined by multiplying the Net Sales (as defined above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1.120) of such Combination Product for such period by the fraction, A/(A+B) where A is the weighted (by sales volume) average gross sale price in a particular country of such Product during such period when sold separately in finished form and B is the weighted average gross sale price in such country during such period of the Other Components sold separately in finished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-514985</wp:posOffset>
            </wp:positionV>
            <wp:extent cx="308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right="260" w:firstLine="8"/>
        <w:spacing w:after="0" w:line="266" w:lineRule="auto"/>
        <w:tabs>
          <w:tab w:leader="none" w:pos="43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1740" w:hanging="730"/>
        <w:spacing w:after="0" w:line="235" w:lineRule="auto"/>
        <w:rPr>
          <w:sz w:val="20"/>
          <w:szCs w:val="20"/>
          <w:color w:val="auto"/>
        </w:rPr>
      </w:pPr>
      <w:r>
        <w:rPr>
          <w:rFonts w:ascii="Arial" w:cs="Arial" w:eastAsia="Arial" w:hAnsi="Arial"/>
          <w:sz w:val="22"/>
          <w:szCs w:val="22"/>
          <w:color w:val="auto"/>
        </w:rPr>
        <w:t>In the event that the weighted average gross sale price of such Product for a period can be determined but the weighted average gross sale price of the Other Components cannot be determined, the Net Sales of such Product for such period shall be calculated by multiplying the Net Sales of such Combination Product for such period by the fraction A/C where A is the weighted average gross sale price of such Product during such period when sold separately in finished form and C is the weighted average gross sale price of such Combination Product during such period.</w:t>
      </w:r>
    </w:p>
    <w:p>
      <w:pPr>
        <w:spacing w:after="0" w:line="188" w:lineRule="exact"/>
        <w:rPr>
          <w:sz w:val="20"/>
          <w:szCs w:val="20"/>
          <w:color w:val="auto"/>
        </w:rPr>
      </w:pPr>
    </w:p>
    <w:p>
      <w:pPr>
        <w:jc w:val="both"/>
        <w:ind w:left="1740" w:hanging="730"/>
        <w:spacing w:after="0" w:line="234" w:lineRule="auto"/>
        <w:rPr>
          <w:sz w:val="20"/>
          <w:szCs w:val="20"/>
          <w:color w:val="auto"/>
        </w:rPr>
      </w:pPr>
      <w:r>
        <w:rPr>
          <w:rFonts w:ascii="Arial" w:cs="Arial" w:eastAsia="Arial" w:hAnsi="Arial"/>
          <w:sz w:val="22"/>
          <w:szCs w:val="22"/>
          <w:color w:val="auto"/>
        </w:rPr>
        <w:t>In the event that the weighted average gross sale price of the Other Components for a period can be determined but the weighted average gross sale price of such Product for such period cannot be determined, the Net Sales of such Product for such period shall be calculated by multiplying the Net Sales of such Combination Product for such period by a fraction determined by the following formula: one (1) minus B/C where B is the weighted average gross sale price of the Other Components during such period when sold separately in finished form and C is the weighted average gross sale price of such Combination Product during such period.</w:t>
      </w:r>
    </w:p>
    <w:p>
      <w:pPr>
        <w:spacing w:after="0" w:line="191" w:lineRule="exact"/>
        <w:rPr>
          <w:sz w:val="20"/>
          <w:szCs w:val="20"/>
          <w:color w:val="auto"/>
        </w:rPr>
      </w:pPr>
    </w:p>
    <w:p>
      <w:pPr>
        <w:jc w:val="both"/>
        <w:ind w:left="1740" w:hanging="730"/>
        <w:spacing w:after="0" w:line="270" w:lineRule="auto"/>
        <w:rPr>
          <w:sz w:val="20"/>
          <w:szCs w:val="20"/>
          <w:color w:val="auto"/>
        </w:rPr>
      </w:pPr>
      <w:r>
        <w:rPr>
          <w:rFonts w:ascii="Arial" w:cs="Arial" w:eastAsia="Arial" w:hAnsi="Arial"/>
          <w:sz w:val="19"/>
          <w:szCs w:val="19"/>
          <w:color w:val="auto"/>
        </w:rPr>
        <w:t>In the event that the weighted average gross sale price of both such Product and the Other Components in such Combination Product cannot be determined for a period, the Net Sales of such Product for such period shall be based upon the relative value contributed by each component. Such Party (or its Selling Party, as applicable) shall propose a value for the weighted average gross sale price of such Product and the Other Components in such Combination Product. Within twenty (20) Business Days after such Party (or its Selling Party, as applicable) submits such proposal to Arrowhead, the Parties shall meet to discuss, acting reasonably and in good faith, and agree upon (which agreement shall not be unreasonably withheld) the weighted average gross sales price of such Product and the Other Components in such Combination Product for such period. The weighted average gross sale price for such Product, Other Components, or Combination Product for such period shall be calculated once each Calendar Year and such price shall be used during all applicable reporting periods for the entire following Calendar Year. When determining the weighted average gross sale price of a Product, Other Components, or Combination Product for a period, the weighted average gross sale price shall be calculated by dividing the sales dollars (translated into US Dollars) by the units of active ingredient sold during the twelve (12) months (or the number of months sold in a partial Calendar Year) of the preceding Calendar Year for such Product, Other Components, or Combination Product. In the initial Calendar Year, a forecasted weighted average gross sale price will be used for such Product, Other Components, or Combination Product. Any over or under payment due to a difference between forecasted and actual weighted average gross sale prices will be paid or credited in the first applicable payment of the following Calendar Year.</w:t>
      </w:r>
    </w:p>
    <w:p>
      <w:pPr>
        <w:spacing w:after="0" w:line="200" w:lineRule="exact"/>
        <w:rPr>
          <w:sz w:val="20"/>
          <w:szCs w:val="20"/>
          <w:color w:val="auto"/>
        </w:rPr>
      </w:pPr>
    </w:p>
    <w:p>
      <w:pPr>
        <w:spacing w:after="0" w:line="209" w:lineRule="exact"/>
        <w:rPr>
          <w:sz w:val="20"/>
          <w:szCs w:val="20"/>
          <w:color w:val="auto"/>
        </w:rPr>
      </w:pPr>
    </w:p>
    <w:p>
      <w:pPr>
        <w:jc w:val="both"/>
        <w:ind w:left="1740" w:hanging="730"/>
        <w:spacing w:after="0"/>
        <w:rPr>
          <w:sz w:val="20"/>
          <w:szCs w:val="20"/>
          <w:color w:val="auto"/>
        </w:rPr>
      </w:pPr>
      <w:r>
        <w:rPr>
          <w:rFonts w:ascii="Arial" w:cs="Arial" w:eastAsia="Arial" w:hAnsi="Arial"/>
          <w:sz w:val="22"/>
          <w:szCs w:val="22"/>
          <w:color w:val="auto"/>
        </w:rPr>
        <w:t>Sales of Products among a Party and any of its respective Selling Parties (including sales by any such Selling Party to such Party or another Selling Party of such Party) for resale by such entity to a Third Party shall not be deemed a sale for purposes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right="260" w:firstLine="8"/>
        <w:spacing w:after="0" w:line="266" w:lineRule="auto"/>
        <w:tabs>
          <w:tab w:leader="none" w:pos="43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1740"/>
        <w:spacing w:after="0" w:line="277" w:lineRule="auto"/>
        <w:rPr>
          <w:sz w:val="20"/>
          <w:szCs w:val="20"/>
          <w:color w:val="auto"/>
        </w:rPr>
      </w:pPr>
      <w:r>
        <w:rPr>
          <w:rFonts w:ascii="Arial" w:cs="Arial" w:eastAsia="Arial" w:hAnsi="Arial"/>
          <w:sz w:val="19"/>
          <w:szCs w:val="19"/>
          <w:color w:val="auto"/>
        </w:rPr>
        <w:t>this definition of “Net Sales”; provided that the resale of such Products by such entity to such Third Party (other than a sublicensee (or, in the case of GSK, a Sublicensee), but including wholesalers and distributors) shall be deemed a sale for the purposes of this definition of “Net Sales.” If any Affiliate or sublicensee of a Party that purchases Products from such Party or any of its other Affiliates or sublicensees that is the end user of such Product, then Net Sales shall include the value of such sale, calculated at the higher of (i) the actual price paid in such sale for such Product or (ii) the fair market value of such Product at the time of such sale (as determined by the mutual agreement of the Parties, acting reasonably and in good faith).</w:t>
      </w:r>
    </w:p>
    <w:p>
      <w:pPr>
        <w:spacing w:after="0" w:line="152" w:lineRule="exact"/>
        <w:rPr>
          <w:sz w:val="20"/>
          <w:szCs w:val="20"/>
          <w:color w:val="auto"/>
        </w:rPr>
      </w:pPr>
    </w:p>
    <w:p>
      <w:pPr>
        <w:jc w:val="both"/>
        <w:ind w:left="1740" w:hanging="730"/>
        <w:spacing w:after="0" w:line="235" w:lineRule="auto"/>
        <w:rPr>
          <w:sz w:val="20"/>
          <w:szCs w:val="20"/>
          <w:color w:val="auto"/>
        </w:rPr>
      </w:pPr>
      <w:r>
        <w:rPr>
          <w:rFonts w:ascii="Arial" w:cs="Arial" w:eastAsia="Arial" w:hAnsi="Arial"/>
          <w:sz w:val="22"/>
          <w:szCs w:val="22"/>
          <w:color w:val="auto"/>
        </w:rPr>
        <w:t>Transfers or dispositions of Product for no monetary consideration: (A) in connection with patient assistance programs; (B) for charitable or promotional purposes; (C) for preclinical, clinical, regulatory or governmental purposes or under so-called “named patient” or other limited access programs; or (D) for use in any tests or studies, including Clinical Trials, reasonably necessary to comply with any Law, regulation or request by a Regulatory Authority shall not, in each case ((A) through (D)), be deemed sales of such Product for purposes of this definition of “Net Sales.”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1.121.</w:t>
      </w:r>
      <w:r>
        <w:rPr>
          <w:rFonts w:ascii="Arial" w:cs="Arial" w:eastAsia="Arial" w:hAnsi="Arial"/>
          <w:sz w:val="22"/>
          <w:szCs w:val="22"/>
          <w:color w:val="auto"/>
        </w:rPr>
        <w:t>“</w:t>
      </w:r>
      <w:r>
        <w:rPr>
          <w:rFonts w:ascii="Arial" w:cs="Arial" w:eastAsia="Arial" w:hAnsi="Arial"/>
          <w:sz w:val="22"/>
          <w:szCs w:val="22"/>
          <w:b w:val="1"/>
          <w:bCs w:val="1"/>
          <w:color w:val="auto"/>
        </w:rPr>
        <w:t>New License Agreement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10.7(d)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1.122.</w:t>
      </w:r>
      <w:r>
        <w:rPr>
          <w:rFonts w:ascii="Arial" w:cs="Arial" w:eastAsia="Arial" w:hAnsi="Arial"/>
          <w:sz w:val="22"/>
          <w:szCs w:val="22"/>
          <w:color w:val="auto"/>
        </w:rPr>
        <w:t>“</w:t>
      </w:r>
      <w:r>
        <w:rPr>
          <w:rFonts w:ascii="Arial" w:cs="Arial" w:eastAsia="Arial" w:hAnsi="Arial"/>
          <w:sz w:val="22"/>
          <w:szCs w:val="22"/>
          <w:b w:val="1"/>
          <w:bCs w:val="1"/>
          <w:color w:val="auto"/>
        </w:rPr>
        <w:t>New [***] Know-How</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1.123.</w:t>
      </w:r>
      <w:r>
        <w:rPr>
          <w:rFonts w:ascii="Arial" w:cs="Arial" w:eastAsia="Arial" w:hAnsi="Arial"/>
          <w:sz w:val="22"/>
          <w:szCs w:val="22"/>
          <w:color w:val="auto"/>
        </w:rPr>
        <w:t>“</w:t>
      </w:r>
      <w:r>
        <w:rPr>
          <w:rFonts w:ascii="Arial" w:cs="Arial" w:eastAsia="Arial" w:hAnsi="Arial"/>
          <w:sz w:val="22"/>
          <w:szCs w:val="22"/>
          <w:b w:val="1"/>
          <w:bCs w:val="1"/>
          <w:color w:val="auto"/>
        </w:rPr>
        <w:t>New [***] Patents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6.1(a)(i)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1.124.</w:t>
      </w:r>
      <w:r>
        <w:rPr>
          <w:rFonts w:ascii="Arial" w:cs="Arial" w:eastAsia="Arial" w:hAnsi="Arial"/>
          <w:sz w:val="22"/>
          <w:szCs w:val="22"/>
          <w:color w:val="auto"/>
        </w:rPr>
        <w:t>“</w:t>
      </w:r>
      <w:r>
        <w:rPr>
          <w:rFonts w:ascii="Arial" w:cs="Arial" w:eastAsia="Arial" w:hAnsi="Arial"/>
          <w:sz w:val="22"/>
          <w:szCs w:val="22"/>
          <w:b w:val="1"/>
          <w:bCs w:val="1"/>
          <w:color w:val="auto"/>
        </w:rPr>
        <w:t>Non-Bankrupt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10.8</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1.125.</w:t>
      </w:r>
      <w:r>
        <w:rPr>
          <w:rFonts w:ascii="Arial" w:cs="Arial" w:eastAsia="Arial" w:hAnsi="Arial"/>
          <w:sz w:val="22"/>
          <w:szCs w:val="22"/>
          <w:color w:val="auto"/>
        </w:rPr>
        <w:t>“</w:t>
      </w:r>
      <w:r>
        <w:rPr>
          <w:rFonts w:ascii="Arial" w:cs="Arial" w:eastAsia="Arial" w:hAnsi="Arial"/>
          <w:sz w:val="22"/>
          <w:szCs w:val="22"/>
          <w:b w:val="1"/>
          <w:bCs w:val="1"/>
          <w:color w:val="auto"/>
        </w:rPr>
        <w:t>Non-Breaching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1.126.</w:t>
      </w:r>
      <w:r>
        <w:rPr>
          <w:rFonts w:ascii="Arial" w:cs="Arial" w:eastAsia="Arial" w:hAnsi="Arial"/>
          <w:sz w:val="22"/>
          <w:szCs w:val="22"/>
          <w:color w:val="auto"/>
        </w:rPr>
        <w:t>“</w:t>
      </w:r>
      <w:r>
        <w:rPr>
          <w:rFonts w:ascii="Arial" w:cs="Arial" w:eastAsia="Arial" w:hAnsi="Arial"/>
          <w:sz w:val="22"/>
          <w:szCs w:val="22"/>
          <w:b w:val="1"/>
          <w:bCs w:val="1"/>
          <w:color w:val="auto"/>
        </w:rPr>
        <w:t>Non-Defending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6.5(b)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1.127.</w:t>
      </w:r>
      <w:r>
        <w:rPr>
          <w:rFonts w:ascii="Arial" w:cs="Arial" w:eastAsia="Arial" w:hAnsi="Arial"/>
          <w:sz w:val="22"/>
          <w:szCs w:val="22"/>
          <w:color w:val="auto"/>
        </w:rPr>
        <w:t>“</w:t>
      </w:r>
      <w:r>
        <w:rPr>
          <w:rFonts w:ascii="Arial" w:cs="Arial" w:eastAsia="Arial" w:hAnsi="Arial"/>
          <w:sz w:val="22"/>
          <w:szCs w:val="22"/>
          <w:b w:val="1"/>
          <w:bCs w:val="1"/>
          <w:color w:val="auto"/>
        </w:rPr>
        <w:t>Non-Escalatable Dispute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39" w:lineRule="auto"/>
        <w:rPr>
          <w:sz w:val="20"/>
          <w:szCs w:val="20"/>
          <w:color w:val="auto"/>
        </w:rPr>
      </w:pPr>
      <w:r>
        <w:rPr>
          <w:rFonts w:ascii="Arial" w:cs="Arial" w:eastAsia="Arial" w:hAnsi="Arial"/>
          <w:sz w:val="22"/>
          <w:szCs w:val="22"/>
          <w:b w:val="1"/>
          <w:bCs w:val="1"/>
          <w:color w:val="auto"/>
        </w:rPr>
        <w:t>1.128.</w:t>
      </w:r>
      <w:r>
        <w:rPr>
          <w:rFonts w:ascii="Arial" w:cs="Arial" w:eastAsia="Arial" w:hAnsi="Arial"/>
          <w:sz w:val="22"/>
          <w:szCs w:val="22"/>
          <w:color w:val="auto"/>
        </w:rPr>
        <w:t>“</w:t>
      </w:r>
      <w:r>
        <w:rPr>
          <w:rFonts w:ascii="Arial" w:cs="Arial" w:eastAsia="Arial" w:hAnsi="Arial"/>
          <w:sz w:val="22"/>
          <w:szCs w:val="22"/>
          <w:b w:val="1"/>
          <w:bCs w:val="1"/>
          <w:color w:val="auto"/>
        </w:rPr>
        <w:t>Ongoing Phase 1 Clinical Trial</w:t>
      </w:r>
      <w:r>
        <w:rPr>
          <w:rFonts w:ascii="Arial" w:cs="Arial" w:eastAsia="Arial" w:hAnsi="Arial"/>
          <w:sz w:val="22"/>
          <w:szCs w:val="22"/>
          <w:color w:val="auto"/>
        </w:rPr>
        <w:t>” means the Phase I Clinical Trial of the Compound entitled: A Phase 1 Single and</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Dose Study to Evaluate the Safety, Tolerability, Pharmacokinetics and Pharmacodynamic Effects of ARO-HSD in Normal Healthy Volunteers as well as in Patients with NASH or suspected NASH, being conducted by Arrowhead as of the Execution Date.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1.129.</w:t>
      </w:r>
      <w:r>
        <w:rPr>
          <w:rFonts w:ascii="Arial" w:cs="Arial" w:eastAsia="Arial" w:hAnsi="Arial"/>
          <w:sz w:val="22"/>
          <w:szCs w:val="22"/>
          <w:color w:val="auto"/>
        </w:rPr>
        <w:t>“</w:t>
      </w:r>
      <w:r>
        <w:rPr>
          <w:rFonts w:ascii="Arial" w:cs="Arial" w:eastAsia="Arial" w:hAnsi="Arial"/>
          <w:sz w:val="22"/>
          <w:szCs w:val="22"/>
          <w:b w:val="1"/>
          <w:bCs w:val="1"/>
          <w:color w:val="auto"/>
        </w:rPr>
        <w:t>Opt-In Exercise Notice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1.130.</w:t>
      </w:r>
      <w:r>
        <w:rPr>
          <w:rFonts w:ascii="Arial" w:cs="Arial" w:eastAsia="Arial" w:hAnsi="Arial"/>
          <w:sz w:val="22"/>
          <w:szCs w:val="22"/>
          <w:color w:val="auto"/>
        </w:rPr>
        <w:t>“</w:t>
      </w:r>
      <w:r>
        <w:rPr>
          <w:rFonts w:ascii="Arial" w:cs="Arial" w:eastAsia="Arial" w:hAnsi="Arial"/>
          <w:sz w:val="22"/>
          <w:szCs w:val="22"/>
          <w:b w:val="1"/>
          <w:bCs w:val="1"/>
          <w:color w:val="auto"/>
        </w:rPr>
        <w:t>Opt-In Exercise Period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1.131.</w:t>
      </w:r>
      <w:r>
        <w:rPr>
          <w:rFonts w:ascii="Arial" w:cs="Arial" w:eastAsia="Arial" w:hAnsi="Arial"/>
          <w:sz w:val="22"/>
          <w:szCs w:val="22"/>
          <w:color w:val="auto"/>
        </w:rPr>
        <w:t>“</w:t>
      </w:r>
      <w:r>
        <w:rPr>
          <w:rFonts w:ascii="Arial" w:cs="Arial" w:eastAsia="Arial" w:hAnsi="Arial"/>
          <w:sz w:val="22"/>
          <w:szCs w:val="22"/>
          <w:b w:val="1"/>
          <w:bCs w:val="1"/>
          <w:color w:val="auto"/>
        </w:rPr>
        <w:t>Opt-In Right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1.132.</w:t>
      </w:r>
      <w:r>
        <w:rPr>
          <w:rFonts w:ascii="Arial" w:cs="Arial" w:eastAsia="Arial" w:hAnsi="Arial"/>
          <w:sz w:val="22"/>
          <w:szCs w:val="22"/>
          <w:color w:val="auto"/>
        </w:rPr>
        <w:t>“</w:t>
      </w:r>
      <w:r>
        <w:rPr>
          <w:rFonts w:ascii="Arial" w:cs="Arial" w:eastAsia="Arial" w:hAnsi="Arial"/>
          <w:sz w:val="22"/>
          <w:szCs w:val="22"/>
          <w:b w:val="1"/>
          <w:bCs w:val="1"/>
          <w:color w:val="auto"/>
        </w:rPr>
        <w:t>Other Components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1.46</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right="260" w:firstLine="8"/>
        <w:spacing w:after="0" w:line="266" w:lineRule="auto"/>
        <w:tabs>
          <w:tab w:leader="none" w:pos="43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jc w:val="both"/>
        <w:ind w:left="540" w:right="20" w:hanging="539"/>
        <w:spacing w:after="0" w:line="239" w:lineRule="auto"/>
        <w:rPr>
          <w:sz w:val="20"/>
          <w:szCs w:val="20"/>
          <w:color w:val="auto"/>
        </w:rPr>
      </w:pPr>
      <w:r>
        <w:rPr>
          <w:rFonts w:ascii="Arial" w:cs="Arial" w:eastAsia="Arial" w:hAnsi="Arial"/>
          <w:sz w:val="22"/>
          <w:szCs w:val="22"/>
          <w:b w:val="1"/>
          <w:bCs w:val="1"/>
          <w:color w:val="auto"/>
        </w:rPr>
        <w:t>1.133.</w:t>
      </w: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with respect to certain activities hereunder, direct expenses paid or payable by either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its Affiliates to Third Parties and specifically identifiable and incurred to conduct such activities for the Compound or any Product, including payments to contract personnel (including contractors, consultants and subcontractors).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1.134.</w:t>
      </w: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and “</w:t>
      </w:r>
      <w:r>
        <w:rPr>
          <w:rFonts w:ascii="Arial" w:cs="Arial" w:eastAsia="Arial" w:hAnsi="Arial"/>
          <w:sz w:val="22"/>
          <w:szCs w:val="22"/>
          <w:b w:val="1"/>
          <w:bCs w:val="1"/>
          <w:color w:val="auto"/>
        </w:rPr>
        <w:t>Parties</w:t>
      </w:r>
      <w:r>
        <w:rPr>
          <w:rFonts w:ascii="Arial" w:cs="Arial" w:eastAsia="Arial" w:hAnsi="Arial"/>
          <w:sz w:val="22"/>
          <w:szCs w:val="22"/>
          <w:color w:val="auto"/>
        </w:rPr>
        <w:t>” have the meaning set forth in the preamble.</w:t>
      </w:r>
    </w:p>
    <w:p>
      <w:pPr>
        <w:spacing w:after="0" w:line="206" w:lineRule="exact"/>
        <w:rPr>
          <w:sz w:val="20"/>
          <w:szCs w:val="20"/>
          <w:color w:val="auto"/>
        </w:rPr>
      </w:pPr>
    </w:p>
    <w:p>
      <w:pPr>
        <w:jc w:val="both"/>
        <w:ind w:left="540" w:hanging="539"/>
        <w:spacing w:after="0" w:line="289" w:lineRule="auto"/>
        <w:rPr>
          <w:sz w:val="20"/>
          <w:szCs w:val="20"/>
          <w:color w:val="auto"/>
        </w:rPr>
      </w:pPr>
      <w:r>
        <w:rPr>
          <w:rFonts w:ascii="Arial" w:cs="Arial" w:eastAsia="Arial" w:hAnsi="Arial"/>
          <w:sz w:val="19"/>
          <w:szCs w:val="19"/>
          <w:b w:val="1"/>
          <w:bCs w:val="1"/>
          <w:color w:val="auto"/>
        </w:rPr>
        <w:t>1.135.</w:t>
      </w:r>
      <w:r>
        <w:rPr>
          <w:rFonts w:ascii="Arial" w:cs="Arial" w:eastAsia="Arial" w:hAnsi="Arial"/>
          <w:sz w:val="19"/>
          <w:szCs w:val="19"/>
          <w:color w:val="auto"/>
        </w:rPr>
        <w:t>“</w:t>
      </w:r>
      <w:r>
        <w:rPr>
          <w:rFonts w:ascii="Arial" w:cs="Arial" w:eastAsia="Arial" w:hAnsi="Arial"/>
          <w:sz w:val="19"/>
          <w:szCs w:val="19"/>
          <w:b w:val="1"/>
          <w:bCs w:val="1"/>
          <w:color w:val="auto"/>
        </w:rPr>
        <w:t>Patent</w:t>
      </w:r>
      <w:r>
        <w:rPr>
          <w:rFonts w:ascii="Arial" w:cs="Arial" w:eastAsia="Arial" w:hAnsi="Arial"/>
          <w:sz w:val="19"/>
          <w:szCs w:val="19"/>
          <w:color w:val="auto"/>
        </w:rPr>
        <w:t>” or “</w:t>
      </w:r>
      <w:r>
        <w:rPr>
          <w:rFonts w:ascii="Arial" w:cs="Arial" w:eastAsia="Arial" w:hAnsi="Arial"/>
          <w:sz w:val="19"/>
          <w:szCs w:val="19"/>
          <w:b w:val="1"/>
          <w:bCs w:val="1"/>
          <w:color w:val="auto"/>
        </w:rPr>
        <w:t>Patents</w:t>
      </w:r>
      <w:r>
        <w:rPr>
          <w:rFonts w:ascii="Arial" w:cs="Arial" w:eastAsia="Arial" w:hAnsi="Arial"/>
          <w:sz w:val="19"/>
          <w:szCs w:val="19"/>
          <w:color w:val="auto"/>
        </w:rPr>
        <w:t>” means any and all (a) issued or granted patents, including any extensions, supplemental protection</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certificates, registrations, confirmations, reissues, reexaminations or renewals thereof; (b) pending patent applications, including any continuations, divisionals, continuations-in-part, substitutes or provisional applications; and (c) counterparts or foreign equivalents of any of the foregoing issued by or filed in any country or other jurisdiction.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1.136.</w:t>
      </w:r>
      <w:r>
        <w:rPr>
          <w:rFonts w:ascii="Arial" w:cs="Arial" w:eastAsia="Arial" w:hAnsi="Arial"/>
          <w:sz w:val="22"/>
          <w:szCs w:val="22"/>
          <w:color w:val="auto"/>
        </w:rPr>
        <w:t>“</w:t>
      </w:r>
      <w:r>
        <w:rPr>
          <w:rFonts w:ascii="Arial" w:cs="Arial" w:eastAsia="Arial" w:hAnsi="Arial"/>
          <w:sz w:val="22"/>
          <w:szCs w:val="22"/>
          <w:b w:val="1"/>
          <w:bCs w:val="1"/>
          <w:color w:val="auto"/>
        </w:rPr>
        <w:t>Patent Term Extension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6.3(g)</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1.137.</w:t>
      </w:r>
      <w:r>
        <w:rPr>
          <w:rFonts w:ascii="Arial" w:cs="Arial" w:eastAsia="Arial" w:hAnsi="Arial"/>
          <w:sz w:val="22"/>
          <w:szCs w:val="22"/>
          <w:color w:val="auto"/>
        </w:rPr>
        <w:t>“</w:t>
      </w:r>
      <w:r>
        <w:rPr>
          <w:rFonts w:ascii="Arial" w:cs="Arial" w:eastAsia="Arial" w:hAnsi="Arial"/>
          <w:sz w:val="22"/>
          <w:szCs w:val="22"/>
          <w:b w:val="1"/>
          <w:bCs w:val="1"/>
          <w:color w:val="auto"/>
        </w:rPr>
        <w:t>Patent Working Group</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1.138.</w:t>
      </w:r>
      <w:r>
        <w:rPr>
          <w:rFonts w:ascii="Arial" w:cs="Arial" w:eastAsia="Arial" w:hAnsi="Arial"/>
          <w:sz w:val="22"/>
          <w:szCs w:val="22"/>
          <w:color w:val="auto"/>
        </w:rPr>
        <w:t>“</w:t>
      </w:r>
      <w:r>
        <w:rPr>
          <w:rFonts w:ascii="Arial" w:cs="Arial" w:eastAsia="Arial" w:hAnsi="Arial"/>
          <w:sz w:val="22"/>
          <w:szCs w:val="22"/>
          <w:b w:val="1"/>
          <w:bCs w:val="1"/>
          <w:color w:val="auto"/>
        </w:rPr>
        <w:t>Payee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1.139.</w:t>
      </w:r>
      <w:r>
        <w:rPr>
          <w:rFonts w:ascii="Arial" w:cs="Arial" w:eastAsia="Arial" w:hAnsi="Arial"/>
          <w:sz w:val="22"/>
          <w:szCs w:val="22"/>
          <w:color w:val="auto"/>
        </w:rPr>
        <w:t>“</w:t>
      </w:r>
      <w:r>
        <w:rPr>
          <w:rFonts w:ascii="Arial" w:cs="Arial" w:eastAsia="Arial" w:hAnsi="Arial"/>
          <w:sz w:val="22"/>
          <w:szCs w:val="22"/>
          <w:b w:val="1"/>
          <w:bCs w:val="1"/>
          <w:color w:val="auto"/>
        </w:rPr>
        <w:t>Payor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1.140.</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firm, business trust, joint venture, association, organization,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or other business entity, or any government or agency or political subdivision thereof.</w:t>
      </w:r>
    </w:p>
    <w:p>
      <w:pPr>
        <w:spacing w:after="0" w:line="162"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1.141.</w:t>
      </w:r>
      <w:r>
        <w:rPr>
          <w:rFonts w:ascii="Arial" w:cs="Arial" w:eastAsia="Arial" w:hAnsi="Arial"/>
          <w:sz w:val="22"/>
          <w:szCs w:val="22"/>
          <w:color w:val="auto"/>
        </w:rPr>
        <w:t>“</w:t>
      </w:r>
      <w:r>
        <w:rPr>
          <w:rFonts w:ascii="Arial" w:cs="Arial" w:eastAsia="Arial" w:hAnsi="Arial"/>
          <w:sz w:val="22"/>
          <w:szCs w:val="22"/>
          <w:b w:val="1"/>
          <w:bCs w:val="1"/>
          <w:color w:val="auto"/>
        </w:rPr>
        <w:t>Personnel</w:t>
      </w:r>
      <w:r>
        <w:rPr>
          <w:rFonts w:ascii="Arial" w:cs="Arial" w:eastAsia="Arial" w:hAnsi="Arial"/>
          <w:sz w:val="22"/>
          <w:szCs w:val="22"/>
          <w:color w:val="auto"/>
        </w:rPr>
        <w:t>” means, with respect to any Person, its officers, directors, employees, workers, contractors, advisors,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consultants, agents or other representatives.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1.142.</w:t>
      </w:r>
      <w:r>
        <w:rPr>
          <w:rFonts w:ascii="Arial" w:cs="Arial" w:eastAsia="Arial" w:hAnsi="Arial"/>
          <w:sz w:val="22"/>
          <w:szCs w:val="22"/>
          <w:color w:val="auto"/>
        </w:rPr>
        <w:t>“</w:t>
      </w:r>
      <w:r>
        <w:rPr>
          <w:rFonts w:ascii="Arial" w:cs="Arial" w:eastAsia="Arial" w:hAnsi="Arial"/>
          <w:sz w:val="22"/>
          <w:szCs w:val="22"/>
          <w:b w:val="1"/>
          <w:bCs w:val="1"/>
          <w:color w:val="auto"/>
        </w:rPr>
        <w:t>Pharmacovigilance Agreement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37" w:lineRule="auto"/>
        <w:rPr>
          <w:sz w:val="20"/>
          <w:szCs w:val="20"/>
          <w:color w:val="auto"/>
        </w:rPr>
      </w:pPr>
      <w:r>
        <w:rPr>
          <w:rFonts w:ascii="Arial" w:cs="Arial" w:eastAsia="Arial" w:hAnsi="Arial"/>
          <w:sz w:val="22"/>
          <w:szCs w:val="22"/>
          <w:b w:val="1"/>
          <w:bCs w:val="1"/>
          <w:color w:val="auto"/>
        </w:rPr>
        <w:t>1.143.</w:t>
      </w:r>
      <w:r>
        <w:rPr>
          <w:rFonts w:ascii="Arial" w:cs="Arial" w:eastAsia="Arial" w:hAnsi="Arial"/>
          <w:sz w:val="22"/>
          <w:szCs w:val="22"/>
          <w:color w:val="auto"/>
        </w:rPr>
        <w:t>“</w:t>
      </w:r>
      <w:r>
        <w:rPr>
          <w:rFonts w:ascii="Arial" w:cs="Arial" w:eastAsia="Arial" w:hAnsi="Arial"/>
          <w:sz w:val="22"/>
          <w:szCs w:val="22"/>
          <w:b w:val="1"/>
          <w:bCs w:val="1"/>
          <w:color w:val="auto"/>
        </w:rPr>
        <w:t>Phase I Clinical Trial</w:t>
      </w:r>
      <w:r>
        <w:rPr>
          <w:rFonts w:ascii="Arial" w:cs="Arial" w:eastAsia="Arial" w:hAnsi="Arial"/>
          <w:sz w:val="22"/>
          <w:szCs w:val="22"/>
          <w:color w:val="auto"/>
        </w:rPr>
        <w:t>” means any Clinical Trial of any product, the principal purpose of which is a preliminary</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safety, pharmacokinetics, and pharmacodynamic parameters in healthy individuals or patients, or a similar clinical study prescribed by the relevant Regulatory Authority in a country , from time to time, pursuant to Law or otherwise, including those trials referred to in 21 C.F.R. § 312.21(a), as amended, or analogous provisions outside the United States.</w:t>
      </w:r>
    </w:p>
    <w:p>
      <w:pPr>
        <w:spacing w:after="0" w:line="182" w:lineRule="exact"/>
        <w:rPr>
          <w:sz w:val="20"/>
          <w:szCs w:val="20"/>
          <w:color w:val="auto"/>
        </w:rPr>
      </w:pPr>
    </w:p>
    <w:p>
      <w:pPr>
        <w:jc w:val="both"/>
        <w:ind w:left="540" w:hanging="539"/>
        <w:spacing w:after="0" w:line="251" w:lineRule="auto"/>
        <w:rPr>
          <w:sz w:val="20"/>
          <w:szCs w:val="20"/>
          <w:color w:val="auto"/>
        </w:rPr>
      </w:pPr>
      <w:r>
        <w:rPr>
          <w:rFonts w:ascii="Arial" w:cs="Arial" w:eastAsia="Arial" w:hAnsi="Arial"/>
          <w:sz w:val="21"/>
          <w:szCs w:val="21"/>
          <w:b w:val="1"/>
          <w:bCs w:val="1"/>
          <w:color w:val="auto"/>
        </w:rPr>
        <w:t>1.144.</w:t>
      </w:r>
      <w:r>
        <w:rPr>
          <w:rFonts w:ascii="Arial" w:cs="Arial" w:eastAsia="Arial" w:hAnsi="Arial"/>
          <w:sz w:val="21"/>
          <w:szCs w:val="21"/>
          <w:color w:val="auto"/>
        </w:rPr>
        <w:t>“</w:t>
      </w:r>
      <w:r>
        <w:rPr>
          <w:rFonts w:ascii="Arial" w:cs="Arial" w:eastAsia="Arial" w:hAnsi="Arial"/>
          <w:sz w:val="21"/>
          <w:szCs w:val="21"/>
          <w:b w:val="1"/>
          <w:bCs w:val="1"/>
          <w:color w:val="auto"/>
        </w:rPr>
        <w:t>Phase II Clinical Trial</w:t>
      </w:r>
      <w:r>
        <w:rPr>
          <w:rFonts w:ascii="Arial" w:cs="Arial" w:eastAsia="Arial" w:hAnsi="Arial"/>
          <w:sz w:val="21"/>
          <w:szCs w:val="21"/>
          <w:color w:val="auto"/>
        </w:rPr>
        <w:t>” means a Clinical Trial of any product, the principal purpose of which is a determination of safety</w:t>
      </w:r>
      <w:r>
        <w:rPr>
          <w:rFonts w:ascii="Arial" w:cs="Arial" w:eastAsia="Arial" w:hAnsi="Arial"/>
          <w:sz w:val="21"/>
          <w:szCs w:val="21"/>
          <w:b w:val="1"/>
          <w:bCs w:val="1"/>
          <w:color w:val="auto"/>
        </w:rPr>
        <w:t xml:space="preserve"> </w:t>
      </w:r>
      <w:r>
        <w:rPr>
          <w:rFonts w:ascii="Arial" w:cs="Arial" w:eastAsia="Arial" w:hAnsi="Arial"/>
          <w:sz w:val="21"/>
          <w:szCs w:val="21"/>
          <w:color w:val="auto"/>
        </w:rPr>
        <w:t>and efficacy in the target patient population, which is prospectively designed to generate sufficient data that may permit commencement of pivotal clinical trials, or a similar clinical study prescribed by the relevant Regulatory Authority in a country, from time to time, pursuant to Law or otherwise, including the trials referred to in 21 C.F.R. § 312.21(b), as amended, or analogous provisions outside the United States.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1.145.</w:t>
      </w:r>
      <w:r>
        <w:rPr>
          <w:rFonts w:ascii="Arial" w:cs="Arial" w:eastAsia="Arial" w:hAnsi="Arial"/>
          <w:sz w:val="19"/>
          <w:szCs w:val="19"/>
          <w:color w:val="auto"/>
        </w:rPr>
        <w:t>“</w:t>
      </w:r>
      <w:r>
        <w:rPr>
          <w:rFonts w:ascii="Arial" w:cs="Arial" w:eastAsia="Arial" w:hAnsi="Arial"/>
          <w:sz w:val="19"/>
          <w:szCs w:val="19"/>
          <w:b w:val="1"/>
          <w:bCs w:val="1"/>
          <w:color w:val="auto"/>
        </w:rPr>
        <w:t>Phase III Clinical Trial</w:t>
      </w:r>
      <w:r>
        <w:rPr>
          <w:rFonts w:ascii="Arial" w:cs="Arial" w:eastAsia="Arial" w:hAnsi="Arial"/>
          <w:sz w:val="19"/>
          <w:szCs w:val="19"/>
          <w:color w:val="auto"/>
        </w:rPr>
        <w:t>” means a Clinical Trial of any product that would satisfy the requirements of U.S. 21 C.F.R. Part</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312.21(c), or analogous provisions outside the United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right="260" w:firstLine="8"/>
        <w:spacing w:after="0" w:line="266" w:lineRule="auto"/>
        <w:tabs>
          <w:tab w:leader="none" w:pos="43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440"/>
        <w:spacing w:after="0" w:line="238" w:lineRule="auto"/>
        <w:rPr>
          <w:sz w:val="20"/>
          <w:szCs w:val="20"/>
          <w:color w:val="auto"/>
        </w:rPr>
      </w:pPr>
      <w:r>
        <w:rPr>
          <w:rFonts w:ascii="Arial" w:cs="Arial" w:eastAsia="Arial" w:hAnsi="Arial"/>
          <w:sz w:val="22"/>
          <w:szCs w:val="22"/>
          <w:color w:val="auto"/>
        </w:rPr>
        <w:t>States, and is intended to: (a) establish that the product is safe and efficacious for its intended use; (b) define contraindications, warnings, precautions and adverse reactions that are associated with the product in the dosage range to be prescribed; and (c) support Regulatory Approval for such product in the Territory, or a similar clinical study prescribed by the relevant Regulatory Authority in a country.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1.146.</w:t>
      </w:r>
      <w:r>
        <w:rPr>
          <w:rFonts w:ascii="Arial" w:cs="Arial" w:eastAsia="Arial" w:hAnsi="Arial"/>
          <w:sz w:val="22"/>
          <w:szCs w:val="22"/>
          <w:color w:val="auto"/>
        </w:rPr>
        <w:t>“</w:t>
      </w:r>
      <w:r>
        <w:rPr>
          <w:rFonts w:ascii="Arial" w:cs="Arial" w:eastAsia="Arial" w:hAnsi="Arial"/>
          <w:sz w:val="22"/>
          <w:szCs w:val="22"/>
          <w:b w:val="1"/>
          <w:bCs w:val="1"/>
          <w:color w:val="auto"/>
        </w:rPr>
        <w:t>Post-Grant Proceedings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6.3(a)</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1.147.</w:t>
      </w:r>
      <w:r>
        <w:rPr>
          <w:rFonts w:ascii="Arial" w:cs="Arial" w:eastAsia="Arial" w:hAnsi="Arial"/>
          <w:sz w:val="22"/>
          <w:szCs w:val="22"/>
          <w:color w:val="auto"/>
        </w:rPr>
        <w:t>“</w:t>
      </w:r>
      <w:r>
        <w:rPr>
          <w:rFonts w:ascii="Arial" w:cs="Arial" w:eastAsia="Arial" w:hAnsi="Arial"/>
          <w:sz w:val="22"/>
          <w:szCs w:val="22"/>
          <w:b w:val="1"/>
          <w:bCs w:val="1"/>
          <w:color w:val="auto"/>
        </w:rPr>
        <w:t>PRC</w:t>
      </w:r>
      <w:r>
        <w:rPr>
          <w:rFonts w:ascii="Arial" w:cs="Arial" w:eastAsia="Arial" w:hAnsi="Arial"/>
          <w:sz w:val="22"/>
          <w:szCs w:val="22"/>
          <w:color w:val="auto"/>
        </w:rPr>
        <w:t>” or “</w:t>
      </w:r>
      <w:r>
        <w:rPr>
          <w:rFonts w:ascii="Arial" w:cs="Arial" w:eastAsia="Arial" w:hAnsi="Arial"/>
          <w:sz w:val="22"/>
          <w:szCs w:val="22"/>
          <w:b w:val="1"/>
          <w:bCs w:val="1"/>
          <w:color w:val="auto"/>
        </w:rPr>
        <w:t>China</w:t>
      </w:r>
      <w:r>
        <w:rPr>
          <w:rFonts w:ascii="Arial" w:cs="Arial" w:eastAsia="Arial" w:hAnsi="Arial"/>
          <w:sz w:val="22"/>
          <w:szCs w:val="22"/>
          <w:color w:val="auto"/>
        </w:rPr>
        <w:t>” means the People’s Republic of China, which for the purpose of this Agreement excludes the Special</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Region of Hong Kong, the Special Administrative Region of Macau, and Taiwan.</w:t>
      </w:r>
    </w:p>
    <w:p>
      <w:pPr>
        <w:spacing w:after="0" w:line="162"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1.148.</w:t>
      </w:r>
      <w:r>
        <w:rPr>
          <w:rFonts w:ascii="Arial" w:cs="Arial" w:eastAsia="Arial" w:hAnsi="Arial"/>
          <w:sz w:val="22"/>
          <w:szCs w:val="22"/>
          <w:color w:val="auto"/>
        </w:rPr>
        <w:t>“</w:t>
      </w:r>
      <w:r>
        <w:rPr>
          <w:rFonts w:ascii="Arial" w:cs="Arial" w:eastAsia="Arial" w:hAnsi="Arial"/>
          <w:sz w:val="22"/>
          <w:szCs w:val="22"/>
          <w:b w:val="1"/>
          <w:bCs w:val="1"/>
          <w:color w:val="auto"/>
        </w:rPr>
        <w:t>Proceeding</w:t>
      </w:r>
      <w:r>
        <w:rPr>
          <w:rFonts w:ascii="Arial" w:cs="Arial" w:eastAsia="Arial" w:hAnsi="Arial"/>
          <w:sz w:val="22"/>
          <w:szCs w:val="22"/>
          <w:color w:val="auto"/>
        </w:rPr>
        <w:t>” means any action, arbitration, investigation, litigation or suit commenced, brought, conducted, or heard by or</w:t>
      </w:r>
      <w:r>
        <w:rPr>
          <w:rFonts w:ascii="Arial" w:cs="Arial" w:eastAsia="Arial" w:hAnsi="Arial"/>
          <w:sz w:val="22"/>
          <w:szCs w:val="22"/>
          <w:b w:val="1"/>
          <w:bCs w:val="1"/>
          <w:color w:val="auto"/>
        </w:rPr>
        <w:t xml:space="preserve"> </w:t>
      </w:r>
      <w:r>
        <w:rPr>
          <w:rFonts w:ascii="Arial" w:cs="Arial" w:eastAsia="Arial" w:hAnsi="Arial"/>
          <w:sz w:val="22"/>
          <w:szCs w:val="22"/>
          <w:color w:val="auto"/>
        </w:rPr>
        <w:t>before, or otherwise involving, any Governmental Body or arbitrator.</w:t>
      </w:r>
    </w:p>
    <w:p>
      <w:pPr>
        <w:spacing w:after="0" w:line="162" w:lineRule="exact"/>
        <w:rPr>
          <w:sz w:val="20"/>
          <w:szCs w:val="20"/>
          <w:color w:val="auto"/>
        </w:rPr>
      </w:pPr>
    </w:p>
    <w:p>
      <w:pPr>
        <w:jc w:val="both"/>
        <w:ind w:left="540" w:hanging="539"/>
        <w:spacing w:after="0" w:line="300" w:lineRule="auto"/>
        <w:rPr>
          <w:sz w:val="20"/>
          <w:szCs w:val="20"/>
          <w:color w:val="auto"/>
        </w:rPr>
      </w:pPr>
      <w:r>
        <w:rPr>
          <w:rFonts w:ascii="Arial" w:cs="Arial" w:eastAsia="Arial" w:hAnsi="Arial"/>
          <w:sz w:val="19"/>
          <w:szCs w:val="19"/>
          <w:b w:val="1"/>
          <w:bCs w:val="1"/>
          <w:color w:val="auto"/>
        </w:rPr>
        <w:t>1.149.</w:t>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any and all pharmaceutical products in any dosage form and strengths, or formulation, or method of</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including any improvements thereto, that contains a Compound as an active ingredient, whether as the sole therapeutically active ingredient or in combination or adjunct therapy with one or more Other Component(s).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1.150.</w:t>
      </w: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1.54</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1.151.</w:t>
      </w:r>
      <w:r>
        <w:rPr>
          <w:rFonts w:ascii="Arial" w:cs="Arial" w:eastAsia="Arial" w:hAnsi="Arial"/>
          <w:sz w:val="19"/>
          <w:szCs w:val="19"/>
          <w:color w:val="auto"/>
        </w:rPr>
        <w:t>“</w:t>
      </w:r>
      <w:r>
        <w:rPr>
          <w:rFonts w:ascii="Arial" w:cs="Arial" w:eastAsia="Arial" w:hAnsi="Arial"/>
          <w:sz w:val="19"/>
          <w:szCs w:val="19"/>
          <w:b w:val="1"/>
          <w:bCs w:val="1"/>
          <w:color w:val="auto"/>
        </w:rPr>
        <w:t>Registered Starting Material ([***])</w:t>
      </w:r>
      <w:r>
        <w:rPr>
          <w:rFonts w:ascii="Arial" w:cs="Arial" w:eastAsia="Arial" w:hAnsi="Arial"/>
          <w:sz w:val="19"/>
          <w:szCs w:val="19"/>
          <w:color w:val="auto"/>
        </w:rPr>
        <w:t>” means Arrowhead's proprietary [***] used in the Manufacture of the Compound.</w:t>
      </w:r>
    </w:p>
    <w:p>
      <w:pPr>
        <w:spacing w:after="0" w:line="241" w:lineRule="exact"/>
        <w:rPr>
          <w:sz w:val="20"/>
          <w:szCs w:val="20"/>
          <w:color w:val="auto"/>
        </w:rPr>
      </w:pPr>
    </w:p>
    <w:p>
      <w:pPr>
        <w:jc w:val="both"/>
        <w:ind w:left="540" w:hanging="539"/>
        <w:spacing w:after="0" w:line="260" w:lineRule="auto"/>
        <w:rPr>
          <w:sz w:val="20"/>
          <w:szCs w:val="20"/>
          <w:color w:val="auto"/>
        </w:rPr>
      </w:pPr>
      <w:r>
        <w:rPr>
          <w:rFonts w:ascii="Arial" w:cs="Arial" w:eastAsia="Arial" w:hAnsi="Arial"/>
          <w:sz w:val="21"/>
          <w:szCs w:val="21"/>
          <w:b w:val="1"/>
          <w:bCs w:val="1"/>
          <w:color w:val="auto"/>
        </w:rPr>
        <w:t>1.152.</w:t>
      </w: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any and all approvals, licenses, registrations, or authorizations of the relevant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including any pricing or pricing reimbursement approval or determination, necessary for the Development, Manufacture or Commercialization of the applicable Product in a particular country or jurisdiction.</w:t>
      </w:r>
    </w:p>
    <w:p>
      <w:pPr>
        <w:spacing w:after="0" w:line="160" w:lineRule="exact"/>
        <w:rPr>
          <w:sz w:val="20"/>
          <w:szCs w:val="20"/>
          <w:color w:val="auto"/>
        </w:rPr>
      </w:pPr>
    </w:p>
    <w:p>
      <w:pPr>
        <w:jc w:val="both"/>
        <w:ind w:left="540" w:hanging="539"/>
        <w:spacing w:after="0" w:line="243" w:lineRule="auto"/>
        <w:rPr>
          <w:sz w:val="20"/>
          <w:szCs w:val="20"/>
          <w:color w:val="auto"/>
        </w:rPr>
      </w:pPr>
      <w:r>
        <w:rPr>
          <w:rFonts w:ascii="Arial" w:cs="Arial" w:eastAsia="Arial" w:hAnsi="Arial"/>
          <w:sz w:val="22"/>
          <w:szCs w:val="22"/>
          <w:b w:val="1"/>
          <w:bCs w:val="1"/>
          <w:color w:val="auto"/>
        </w:rPr>
        <w:t>1.153.</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 in the U.S., the FDA, (b) in the E.U., the EMA, or (c) in any other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anywhere in the world, any regulatory body with similar regulatory authority over pharmaceutical products (including the Pharmaceuticals and Medical Devices Agency in Japan).</w:t>
      </w:r>
    </w:p>
    <w:p>
      <w:pPr>
        <w:spacing w:after="0" w:line="177" w:lineRule="exact"/>
        <w:rPr>
          <w:sz w:val="20"/>
          <w:szCs w:val="20"/>
          <w:color w:val="auto"/>
        </w:rPr>
      </w:pPr>
    </w:p>
    <w:p>
      <w:pPr>
        <w:jc w:val="both"/>
        <w:ind w:left="540" w:hanging="539"/>
        <w:spacing w:after="0" w:line="247" w:lineRule="auto"/>
        <w:rPr>
          <w:sz w:val="20"/>
          <w:szCs w:val="20"/>
          <w:color w:val="auto"/>
        </w:rPr>
      </w:pPr>
      <w:r>
        <w:rPr>
          <w:rFonts w:ascii="Arial" w:cs="Arial" w:eastAsia="Arial" w:hAnsi="Arial"/>
          <w:sz w:val="21"/>
          <w:szCs w:val="21"/>
          <w:b w:val="1"/>
          <w:bCs w:val="1"/>
          <w:color w:val="auto"/>
        </w:rPr>
        <w:t>1.154.</w:t>
      </w:r>
      <w:r>
        <w:rPr>
          <w:rFonts w:ascii="Arial" w:cs="Arial" w:eastAsia="Arial" w:hAnsi="Arial"/>
          <w:sz w:val="21"/>
          <w:szCs w:val="21"/>
          <w:color w:val="auto"/>
        </w:rPr>
        <w:t>“</w:t>
      </w:r>
      <w:r>
        <w:rPr>
          <w:rFonts w:ascii="Arial" w:cs="Arial" w:eastAsia="Arial" w:hAnsi="Arial"/>
          <w:sz w:val="21"/>
          <w:szCs w:val="21"/>
          <w:b w:val="1"/>
          <w:bCs w:val="1"/>
          <w:color w:val="auto"/>
        </w:rPr>
        <w:t>Regulatory Documents</w:t>
      </w:r>
      <w:r>
        <w:rPr>
          <w:rFonts w:ascii="Arial" w:cs="Arial" w:eastAsia="Arial" w:hAnsi="Arial"/>
          <w:sz w:val="21"/>
          <w:szCs w:val="21"/>
          <w:color w:val="auto"/>
        </w:rPr>
        <w:t>” means any and all applications and filings (and any supplement or amendment thereto) made</w:t>
      </w:r>
      <w:r>
        <w:rPr>
          <w:rFonts w:ascii="Arial" w:cs="Arial" w:eastAsia="Arial" w:hAnsi="Arial"/>
          <w:sz w:val="21"/>
          <w:szCs w:val="21"/>
          <w:b w:val="1"/>
          <w:bCs w:val="1"/>
          <w:color w:val="auto"/>
        </w:rPr>
        <w:t xml:space="preserve"> </w:t>
      </w:r>
      <w:r>
        <w:rPr>
          <w:rFonts w:ascii="Arial" w:cs="Arial" w:eastAsia="Arial" w:hAnsi="Arial"/>
          <w:sz w:val="21"/>
          <w:szCs w:val="21"/>
          <w:color w:val="auto"/>
        </w:rPr>
        <w:t>with any Regulatory Authority in the Territory with respect to the Compound or any Product, including any IND, NDA or orphan drug designations, import/export applications, or any other application for regulatory consultations or consideration, including sponsorship thereof, and any and all associated source documents, related communication, correspondence and documentation submitted to or received from Regulatory Authorities (including minutes and official contact reports relating to any communications with any Regulatory Authority), regulatory drug lists, adverse event files and complaint files, and submissions to regulatory advisory boards.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right="260" w:firstLine="8"/>
        <w:spacing w:after="0" w:line="266" w:lineRule="auto"/>
        <w:tabs>
          <w:tab w:leader="none" w:pos="43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jc w:val="both"/>
        <w:ind w:left="540" w:hanging="539"/>
        <w:spacing w:after="0" w:line="237" w:lineRule="auto"/>
        <w:rPr>
          <w:sz w:val="20"/>
          <w:szCs w:val="20"/>
          <w:color w:val="auto"/>
        </w:rPr>
      </w:pPr>
      <w:r>
        <w:rPr>
          <w:rFonts w:ascii="Arial" w:cs="Arial" w:eastAsia="Arial" w:hAnsi="Arial"/>
          <w:sz w:val="22"/>
          <w:szCs w:val="22"/>
          <w:b w:val="1"/>
          <w:bCs w:val="1"/>
          <w:color w:val="auto"/>
        </w:rPr>
        <w:t>1.155.</w:t>
      </w:r>
      <w:r>
        <w:rPr>
          <w:rFonts w:ascii="Arial" w:cs="Arial" w:eastAsia="Arial" w:hAnsi="Arial"/>
          <w:sz w:val="22"/>
          <w:szCs w:val="22"/>
          <w:color w:val="auto"/>
        </w:rPr>
        <w:t>“</w:t>
      </w:r>
      <w:r>
        <w:rPr>
          <w:rFonts w:ascii="Arial" w:cs="Arial" w:eastAsia="Arial" w:hAnsi="Arial"/>
          <w:sz w:val="22"/>
          <w:szCs w:val="22"/>
          <w:b w:val="1"/>
          <w:bCs w:val="1"/>
          <w:color w:val="auto"/>
        </w:rPr>
        <w:t>Regulatory Exclusivity Period</w:t>
      </w:r>
      <w:r>
        <w:rPr>
          <w:rFonts w:ascii="Arial" w:cs="Arial" w:eastAsia="Arial" w:hAnsi="Arial"/>
          <w:sz w:val="22"/>
          <w:szCs w:val="22"/>
          <w:color w:val="auto"/>
        </w:rPr>
        <w:t>” means, with respect to any Product in any country in the Territory, a period of</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exclusivity (other than Patent exclusivity) granted or afforded by Law or by a Regulatory Authority in such country that confers exclusive marketing or data rights with respect to such Product in such country, such as new chemical entity exclusivity, new use or Indication exclusivity, new formulation exclusivity, orphan drug exclusivity, non-patent related pediatric exclusivity or any other applicable marketing and data exclusivity.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1.156.</w:t>
      </w: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1.157.</w:t>
      </w:r>
      <w:r>
        <w:rPr>
          <w:rFonts w:ascii="Arial" w:cs="Arial" w:eastAsia="Arial" w:hAnsi="Arial"/>
          <w:sz w:val="22"/>
          <w:szCs w:val="22"/>
          <w:color w:val="auto"/>
        </w:rPr>
        <w:t>“</w:t>
      </w:r>
      <w:r>
        <w:rPr>
          <w:rFonts w:ascii="Arial" w:cs="Arial" w:eastAsia="Arial" w:hAnsi="Arial"/>
          <w:sz w:val="22"/>
          <w:szCs w:val="22"/>
          <w:b w:val="1"/>
          <w:bCs w:val="1"/>
          <w:color w:val="auto"/>
        </w:rPr>
        <w:t>Reversion Trademarks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10.7(c)(vi)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1.158.</w:t>
      </w:r>
      <w:r>
        <w:rPr>
          <w:rFonts w:ascii="Arial" w:cs="Arial" w:eastAsia="Arial" w:hAnsi="Arial"/>
          <w:sz w:val="22"/>
          <w:szCs w:val="22"/>
          <w:color w:val="auto"/>
        </w:rPr>
        <w:t>“</w:t>
      </w:r>
      <w:r>
        <w:rPr>
          <w:rFonts w:ascii="Arial" w:cs="Arial" w:eastAsia="Arial" w:hAnsi="Arial"/>
          <w:sz w:val="22"/>
          <w:szCs w:val="22"/>
          <w:b w:val="1"/>
          <w:bCs w:val="1"/>
          <w:color w:val="auto"/>
        </w:rPr>
        <w:t>RNA Molecule</w:t>
      </w:r>
      <w:r>
        <w:rPr>
          <w:rFonts w:ascii="Arial" w:cs="Arial" w:eastAsia="Arial" w:hAnsi="Arial"/>
          <w:sz w:val="22"/>
          <w:szCs w:val="22"/>
          <w:color w:val="auto"/>
        </w:rPr>
        <w:t>” means an oligonucleotide comprised of RNA or chemically modified RNA.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1.159.</w:t>
      </w:r>
      <w:r>
        <w:rPr>
          <w:rFonts w:ascii="Arial" w:cs="Arial" w:eastAsia="Arial" w:hAnsi="Arial"/>
          <w:sz w:val="22"/>
          <w:szCs w:val="22"/>
          <w:color w:val="auto"/>
        </w:rPr>
        <w:t>“</w:t>
      </w:r>
      <w:r>
        <w:rPr>
          <w:rFonts w:ascii="Arial" w:cs="Arial" w:eastAsia="Arial" w:hAnsi="Arial"/>
          <w:sz w:val="22"/>
          <w:szCs w:val="22"/>
          <w:b w:val="1"/>
          <w:bCs w:val="1"/>
          <w:color w:val="auto"/>
        </w:rPr>
        <w:t>Royalty/Manufacturing Costs Amount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5.4(f)</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1.160.</w:t>
      </w:r>
      <w:r>
        <w:rPr>
          <w:rFonts w:ascii="Arial" w:cs="Arial" w:eastAsia="Arial" w:hAnsi="Arial"/>
          <w:sz w:val="22"/>
          <w:szCs w:val="22"/>
          <w:color w:val="auto"/>
        </w:rPr>
        <w:t>“</w:t>
      </w:r>
      <w:r>
        <w:rPr>
          <w:rFonts w:ascii="Arial" w:cs="Arial" w:eastAsia="Arial" w:hAnsi="Arial"/>
          <w:sz w:val="22"/>
          <w:szCs w:val="22"/>
          <w:b w:val="1"/>
          <w:bCs w:val="1"/>
          <w:color w:val="auto"/>
        </w:rPr>
        <w:t>Royalty Report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5.4(b)</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75" w:lineRule="auto"/>
        <w:rPr>
          <w:sz w:val="20"/>
          <w:szCs w:val="20"/>
          <w:color w:val="auto"/>
        </w:rPr>
      </w:pPr>
      <w:r>
        <w:rPr>
          <w:rFonts w:ascii="Arial" w:cs="Arial" w:eastAsia="Arial" w:hAnsi="Arial"/>
          <w:sz w:val="19"/>
          <w:szCs w:val="19"/>
          <w:b w:val="1"/>
          <w:bCs w:val="1"/>
          <w:color w:val="auto"/>
        </w:rPr>
        <w:t>1.161.</w:t>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means, on a Product-by-Product and country-by-country basis, the period from the First Commercial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Product in such country until the latest of (a) the expiration of the last to expire Valid Claim of an Arrowhead Patent that claims the Compound contained within such Product or the method of use of such Product in such country;</w:t>
      </w:r>
    </w:p>
    <w:p>
      <w:pPr>
        <w:spacing w:after="0" w:line="2" w:lineRule="exact"/>
        <w:rPr>
          <w:sz w:val="20"/>
          <w:szCs w:val="20"/>
          <w:color w:val="auto"/>
        </w:rPr>
      </w:pPr>
    </w:p>
    <w:p>
      <w:pPr>
        <w:ind w:left="540" w:firstLine="8"/>
        <w:spacing w:after="0" w:line="236" w:lineRule="auto"/>
        <w:tabs>
          <w:tab w:leader="none" w:pos="879"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expiration of the Regulatory Exclusivity Period for such Product in such country; and (c) [***] after the First Commercial Sale of such Product in such country.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1.162.</w:t>
      </w:r>
      <w:r>
        <w:rPr>
          <w:rFonts w:ascii="Arial" w:cs="Arial" w:eastAsia="Arial" w:hAnsi="Arial"/>
          <w:sz w:val="22"/>
          <w:szCs w:val="22"/>
          <w:color w:val="auto"/>
        </w:rPr>
        <w:t>“</w:t>
      </w:r>
      <w:r>
        <w:rPr>
          <w:rFonts w:ascii="Arial" w:cs="Arial" w:eastAsia="Arial" w:hAnsi="Arial"/>
          <w:sz w:val="22"/>
          <w:szCs w:val="22"/>
          <w:b w:val="1"/>
          <w:bCs w:val="1"/>
          <w:color w:val="auto"/>
        </w:rPr>
        <w:t>Royalty Threshold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5.4(f)</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1.163.</w:t>
      </w:r>
      <w:r>
        <w:rPr>
          <w:rFonts w:ascii="Arial" w:cs="Arial" w:eastAsia="Arial" w:hAnsi="Arial"/>
          <w:sz w:val="22"/>
          <w:szCs w:val="22"/>
          <w:color w:val="auto"/>
        </w:rPr>
        <w:t>“</w:t>
      </w:r>
      <w:r>
        <w:rPr>
          <w:rFonts w:ascii="Arial" w:cs="Arial" w:eastAsia="Arial" w:hAnsi="Arial"/>
          <w:sz w:val="22"/>
          <w:szCs w:val="22"/>
          <w:b w:val="1"/>
          <w:bCs w:val="1"/>
          <w:color w:val="auto"/>
        </w:rPr>
        <w:t>Sales Milestone Event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1.164.</w:t>
      </w:r>
      <w:r>
        <w:rPr>
          <w:rFonts w:ascii="Arial" w:cs="Arial" w:eastAsia="Arial" w:hAnsi="Arial"/>
          <w:sz w:val="22"/>
          <w:szCs w:val="22"/>
          <w:color w:val="auto"/>
        </w:rPr>
        <w:t>“</w:t>
      </w:r>
      <w:r>
        <w:rPr>
          <w:rFonts w:ascii="Arial" w:cs="Arial" w:eastAsia="Arial" w:hAnsi="Arial"/>
          <w:sz w:val="22"/>
          <w:szCs w:val="22"/>
          <w:b w:val="1"/>
          <w:bCs w:val="1"/>
          <w:color w:val="auto"/>
        </w:rPr>
        <w:t>Sales Milestone Payment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1.165.</w:t>
      </w:r>
      <w:r>
        <w:rPr>
          <w:rFonts w:ascii="Arial" w:cs="Arial" w:eastAsia="Arial" w:hAnsi="Arial"/>
          <w:sz w:val="22"/>
          <w:szCs w:val="22"/>
          <w:color w:val="auto"/>
        </w:rPr>
        <w:t>“</w:t>
      </w:r>
      <w:r>
        <w:rPr>
          <w:rFonts w:ascii="Arial" w:cs="Arial" w:eastAsia="Arial" w:hAnsi="Arial"/>
          <w:sz w:val="22"/>
          <w:szCs w:val="22"/>
          <w:b w:val="1"/>
          <w:bCs w:val="1"/>
          <w:color w:val="auto"/>
        </w:rPr>
        <w:t>Securitization Transaction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13.2(b)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1.166.</w:t>
      </w:r>
      <w:r>
        <w:rPr>
          <w:rFonts w:ascii="Arial" w:cs="Arial" w:eastAsia="Arial" w:hAnsi="Arial"/>
          <w:sz w:val="22"/>
          <w:szCs w:val="22"/>
          <w:color w:val="auto"/>
        </w:rPr>
        <w:t>“</w:t>
      </w:r>
      <w:r>
        <w:rPr>
          <w:rFonts w:ascii="Arial" w:cs="Arial" w:eastAsia="Arial" w:hAnsi="Arial"/>
          <w:sz w:val="22"/>
          <w:szCs w:val="22"/>
          <w:b w:val="1"/>
          <w:bCs w:val="1"/>
          <w:color w:val="auto"/>
        </w:rPr>
        <w:t>Selling Party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1.120</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83" w:lineRule="auto"/>
        <w:rPr>
          <w:sz w:val="20"/>
          <w:szCs w:val="20"/>
          <w:color w:val="auto"/>
        </w:rPr>
      </w:pPr>
      <w:r>
        <w:rPr>
          <w:rFonts w:ascii="Arial" w:cs="Arial" w:eastAsia="Arial" w:hAnsi="Arial"/>
          <w:sz w:val="19"/>
          <w:szCs w:val="19"/>
          <w:b w:val="1"/>
          <w:bCs w:val="1"/>
          <w:color w:val="auto"/>
        </w:rPr>
        <w:t>1.167.</w:t>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means any Third Party to which GSK or any of its Affiliates has granted or grants any sublicense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covenant not to sue under any of the rights or licenses granted to GSK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any further sublicensee of such Third Party (regardless of the number of tiers, layers or levels of sublicenses or covenants not to sue of such rights)), in each case, as permitted under this Agreement; provided that “Sublicensee” shall exclude distributors and subcontractors performing activities by or on behalf of GSK or its Affiliates in accordance with </w:t>
      </w:r>
      <w:r>
        <w:rPr>
          <w:rFonts w:ascii="Arial" w:cs="Arial" w:eastAsia="Arial" w:hAnsi="Arial"/>
          <w:sz w:val="19"/>
          <w:szCs w:val="19"/>
          <w:u w:val="single" w:color="auto"/>
          <w:color w:val="auto"/>
        </w:rPr>
        <w:t>Section 3.6</w:t>
      </w:r>
      <w:r>
        <w:rPr>
          <w:rFonts w:ascii="Arial" w:cs="Arial" w:eastAsia="Arial" w:hAnsi="Arial"/>
          <w:sz w:val="19"/>
          <w:szCs w:val="19"/>
          <w:color w:val="auto"/>
        </w:rPr>
        <w:t>, as applicable.</w:t>
      </w:r>
    </w:p>
    <w:p>
      <w:pPr>
        <w:spacing w:after="0" w:line="143" w:lineRule="exact"/>
        <w:rPr>
          <w:sz w:val="20"/>
          <w:szCs w:val="20"/>
          <w:color w:val="auto"/>
        </w:rPr>
      </w:pPr>
    </w:p>
    <w:p>
      <w:pPr>
        <w:jc w:val="both"/>
        <w:ind w:left="540" w:right="20" w:hanging="539"/>
        <w:spacing w:after="0" w:line="300" w:lineRule="auto"/>
        <w:rPr>
          <w:sz w:val="20"/>
          <w:szCs w:val="20"/>
          <w:color w:val="auto"/>
        </w:rPr>
      </w:pPr>
      <w:r>
        <w:rPr>
          <w:rFonts w:ascii="Arial" w:cs="Arial" w:eastAsia="Arial" w:hAnsi="Arial"/>
          <w:sz w:val="19"/>
          <w:szCs w:val="19"/>
          <w:b w:val="1"/>
          <w:bCs w:val="1"/>
          <w:color w:val="auto"/>
        </w:rPr>
        <w:t>1.168.</w:t>
      </w: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Taxes</w:t>
      </w:r>
      <w:r>
        <w:rPr>
          <w:rFonts w:ascii="Arial" w:cs="Arial" w:eastAsia="Arial" w:hAnsi="Arial"/>
          <w:sz w:val="19"/>
          <w:szCs w:val="19"/>
          <w:color w:val="auto"/>
        </w:rPr>
        <w:t>” means any federal, state, local or foreign income, gross receipts, license, payroll, employment, excise,</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stamp, occupation, premium, windfall profits, environmental, customs duties, capital stock, franchise, profits, withholding, social security, unemployment, disability, real property, personal property, sales, use, transfer, registration,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right="260" w:firstLine="8"/>
        <w:spacing w:after="0" w:line="266" w:lineRule="auto"/>
        <w:tabs>
          <w:tab w:leader="none" w:pos="4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440" w:right="20"/>
        <w:spacing w:after="0" w:line="250" w:lineRule="auto"/>
        <w:rPr>
          <w:sz w:val="20"/>
          <w:szCs w:val="20"/>
          <w:color w:val="auto"/>
        </w:rPr>
      </w:pPr>
      <w:r>
        <w:rPr>
          <w:rFonts w:ascii="Arial" w:cs="Arial" w:eastAsia="Arial" w:hAnsi="Arial"/>
          <w:sz w:val="22"/>
          <w:szCs w:val="22"/>
          <w:color w:val="auto"/>
        </w:rPr>
        <w:t>value added, alternative or add-on minimum, estimated, or other tax of any kind whatsoever, including any interest, penalty, or addition thereto, whether disputed or not.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1.169.</w:t>
      </w:r>
      <w:r>
        <w:rPr>
          <w:rFonts w:ascii="Arial" w:cs="Arial" w:eastAsia="Arial" w:hAnsi="Arial"/>
          <w:sz w:val="22"/>
          <w:szCs w:val="22"/>
          <w:color w:val="auto"/>
        </w:rPr>
        <w:t>“</w:t>
      </w:r>
      <w:r>
        <w:rPr>
          <w:rFonts w:ascii="Arial" w:cs="Arial" w:eastAsia="Arial" w:hAnsi="Arial"/>
          <w:sz w:val="22"/>
          <w:szCs w:val="22"/>
          <w:b w:val="1"/>
          <w:bCs w:val="1"/>
          <w:color w:val="auto"/>
        </w:rPr>
        <w:t>Technology Transfer Committee</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1.170.</w:t>
      </w:r>
      <w:r>
        <w:rPr>
          <w:rFonts w:ascii="Arial" w:cs="Arial" w:eastAsia="Arial" w:hAnsi="Arial"/>
          <w:sz w:val="22"/>
          <w:szCs w:val="22"/>
          <w:color w:val="auto"/>
        </w:rPr>
        <w:t>“</w:t>
      </w:r>
      <w:r>
        <w:rPr>
          <w:rFonts w:ascii="Arial" w:cs="Arial" w:eastAsia="Arial" w:hAnsi="Arial"/>
          <w:sz w:val="22"/>
          <w:szCs w:val="22"/>
          <w:b w:val="1"/>
          <w:bCs w:val="1"/>
          <w:color w:val="auto"/>
        </w:rPr>
        <w:t>Technology Transfer Period</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1.171.</w:t>
      </w:r>
      <w:r>
        <w:rPr>
          <w:rFonts w:ascii="Arial" w:cs="Arial" w:eastAsia="Arial" w:hAnsi="Arial"/>
          <w:sz w:val="19"/>
          <w:szCs w:val="19"/>
          <w:color w:val="auto"/>
        </w:rPr>
        <w:t>“</w:t>
      </w:r>
      <w:r>
        <w:rPr>
          <w:rFonts w:ascii="Arial" w:cs="Arial" w:eastAsia="Arial" w:hAnsi="Arial"/>
          <w:sz w:val="19"/>
          <w:szCs w:val="19"/>
          <w:b w:val="1"/>
          <w:bCs w:val="1"/>
          <w:color w:val="auto"/>
        </w:rPr>
        <w:t>Technology Transfer Plan</w:t>
      </w:r>
      <w:r>
        <w:rPr>
          <w:rFonts w:ascii="Arial" w:cs="Arial" w:eastAsia="Arial" w:hAnsi="Arial"/>
          <w:sz w:val="19"/>
          <w:szCs w:val="19"/>
          <w:color w:val="auto"/>
        </w:rPr>
        <w:t>” means the technology transfer plan agreed by the Parties, as attached hereto on</w:t>
      </w:r>
      <w:r>
        <w:rPr>
          <w:rFonts w:ascii="Arial" w:cs="Arial" w:eastAsia="Arial" w:hAnsi="Arial"/>
          <w:sz w:val="19"/>
          <w:szCs w:val="19"/>
          <w:b w:val="1"/>
          <w:bCs w:val="1"/>
          <w:color w:val="auto"/>
        </w:rPr>
        <w:t xml:space="preserve"> Schedule 2.4</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1.172.</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43" w:lineRule="auto"/>
        <w:rPr>
          <w:sz w:val="20"/>
          <w:szCs w:val="20"/>
          <w:color w:val="auto"/>
        </w:rPr>
      </w:pPr>
      <w:r>
        <w:rPr>
          <w:rFonts w:ascii="Arial" w:cs="Arial" w:eastAsia="Arial" w:hAnsi="Arial"/>
          <w:sz w:val="22"/>
          <w:szCs w:val="22"/>
          <w:b w:val="1"/>
          <w:bCs w:val="1"/>
          <w:color w:val="auto"/>
        </w:rPr>
        <w:t>1.173.</w:t>
      </w:r>
      <w:r>
        <w:rPr>
          <w:rFonts w:ascii="Arial" w:cs="Arial" w:eastAsia="Arial" w:hAnsi="Arial"/>
          <w:sz w:val="22"/>
          <w:szCs w:val="22"/>
          <w:color w:val="auto"/>
        </w:rPr>
        <w:t>“</w:t>
      </w:r>
      <w:r>
        <w:rPr>
          <w:rFonts w:ascii="Arial" w:cs="Arial" w:eastAsia="Arial" w:hAnsi="Arial"/>
          <w:sz w:val="22"/>
          <w:szCs w:val="22"/>
          <w:b w:val="1"/>
          <w:bCs w:val="1"/>
          <w:color w:val="auto"/>
        </w:rPr>
        <w:t>Terminated Territory</w:t>
      </w:r>
      <w:r>
        <w:rPr>
          <w:rFonts w:ascii="Arial" w:cs="Arial" w:eastAsia="Arial" w:hAnsi="Arial"/>
          <w:sz w:val="22"/>
          <w:szCs w:val="22"/>
          <w:color w:val="auto"/>
        </w:rPr>
        <w:t>” means (a) if this Agreement is terminated in its entirety, the GSK Territory as a whole; or (b) if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terminated in part in accordance with Article 10, the country or those countries, as applicable, with respect to which this Agreement has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-186690</wp:posOffset>
            </wp:positionV>
            <wp:extent cx="569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959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1.174.</w:t>
      </w:r>
      <w:r>
        <w:rPr>
          <w:rFonts w:ascii="Arial" w:cs="Arial" w:eastAsia="Arial" w:hAnsi="Arial"/>
          <w:sz w:val="22"/>
          <w:szCs w:val="22"/>
          <w:color w:val="auto"/>
        </w:rPr>
        <w:t>“</w:t>
      </w:r>
      <w:r>
        <w:rPr>
          <w:rFonts w:ascii="Arial" w:cs="Arial" w:eastAsia="Arial" w:hAnsi="Arial"/>
          <w:sz w:val="22"/>
          <w:szCs w:val="22"/>
          <w:b w:val="1"/>
          <w:bCs w:val="1"/>
          <w:color w:val="auto"/>
        </w:rPr>
        <w:t>Termination and Wind-Down Plan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10.7(c)</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56" w:lineRule="auto"/>
        <w:rPr>
          <w:sz w:val="20"/>
          <w:szCs w:val="20"/>
          <w:color w:val="auto"/>
        </w:rPr>
      </w:pPr>
      <w:r>
        <w:rPr>
          <w:rFonts w:ascii="Arial" w:cs="Arial" w:eastAsia="Arial" w:hAnsi="Arial"/>
          <w:sz w:val="22"/>
          <w:szCs w:val="22"/>
          <w:b w:val="1"/>
          <w:bCs w:val="1"/>
          <w:color w:val="auto"/>
        </w:rPr>
        <w:t>1.175.</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(a) with respect to Arrowhead, the Arrowhead Territory; or (b) with respect to GSK, the GSK Territory,</w:t>
      </w:r>
      <w:r>
        <w:rPr>
          <w:rFonts w:ascii="Arial" w:cs="Arial" w:eastAsia="Arial" w:hAnsi="Arial"/>
          <w:sz w:val="22"/>
          <w:szCs w:val="22"/>
          <w:b w:val="1"/>
          <w:bCs w:val="1"/>
          <w:color w:val="auto"/>
        </w:rPr>
        <w:t xml:space="preserve"> </w:t>
      </w:r>
      <w:r>
        <w:rPr>
          <w:rFonts w:ascii="Arial" w:cs="Arial" w:eastAsia="Arial" w:hAnsi="Arial"/>
          <w:sz w:val="22"/>
          <w:szCs w:val="22"/>
          <w:color w:val="auto"/>
        </w:rPr>
        <w:t>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1.176.</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Arrowhead, GSK or any of their respective Affiliates.</w:t>
      </w:r>
    </w:p>
    <w:p>
      <w:pPr>
        <w:spacing w:after="0" w:line="206" w:lineRule="exact"/>
        <w:rPr>
          <w:sz w:val="20"/>
          <w:szCs w:val="20"/>
          <w:color w:val="auto"/>
        </w:rPr>
      </w:pPr>
    </w:p>
    <w:p>
      <w:pPr>
        <w:jc w:val="both"/>
        <w:ind w:left="540" w:hanging="539"/>
        <w:spacing w:after="0" w:line="260" w:lineRule="auto"/>
        <w:rPr>
          <w:sz w:val="20"/>
          <w:szCs w:val="20"/>
          <w:color w:val="auto"/>
        </w:rPr>
      </w:pPr>
      <w:r>
        <w:rPr>
          <w:rFonts w:ascii="Arial" w:cs="Arial" w:eastAsia="Arial" w:hAnsi="Arial"/>
          <w:sz w:val="21"/>
          <w:szCs w:val="21"/>
          <w:b w:val="1"/>
          <w:bCs w:val="1"/>
          <w:color w:val="auto"/>
        </w:rPr>
        <w:t>1.177.</w:t>
      </w:r>
      <w:r>
        <w:rPr>
          <w:rFonts w:ascii="Arial" w:cs="Arial" w:eastAsia="Arial" w:hAnsi="Arial"/>
          <w:sz w:val="21"/>
          <w:szCs w:val="21"/>
          <w:color w:val="auto"/>
        </w:rPr>
        <w:t>“</w:t>
      </w:r>
      <w:r>
        <w:rPr>
          <w:rFonts w:ascii="Arial" w:cs="Arial" w:eastAsia="Arial" w:hAnsi="Arial"/>
          <w:sz w:val="21"/>
          <w:szCs w:val="21"/>
          <w:b w:val="1"/>
          <w:bCs w:val="1"/>
          <w:color w:val="auto"/>
        </w:rPr>
        <w:t>Third Party Agreement</w:t>
      </w:r>
      <w:r>
        <w:rPr>
          <w:rFonts w:ascii="Arial" w:cs="Arial" w:eastAsia="Arial" w:hAnsi="Arial"/>
          <w:sz w:val="21"/>
          <w:szCs w:val="21"/>
          <w:color w:val="auto"/>
        </w:rPr>
        <w:t>” means any agreement between GSK (or its Affiliate or Sublicensee) and a Third Party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grant of rights under any Patents owned or otherwise controlled by such Third Party, which Patents are necessary to Manufacture, Commercialize, use or otherwise exploit any Product in the GSK Territory.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1.178.</w:t>
      </w:r>
      <w:r>
        <w:rPr>
          <w:rFonts w:ascii="Arial" w:cs="Arial" w:eastAsia="Arial" w:hAnsi="Arial"/>
          <w:sz w:val="22"/>
          <w:szCs w:val="22"/>
          <w:color w:val="auto"/>
        </w:rPr>
        <w:t>“</w:t>
      </w:r>
      <w:r>
        <w:rPr>
          <w:rFonts w:ascii="Arial" w:cs="Arial" w:eastAsia="Arial" w:hAnsi="Arial"/>
          <w:sz w:val="22"/>
          <w:szCs w:val="22"/>
          <w:b w:val="1"/>
          <w:bCs w:val="1"/>
          <w:color w:val="auto"/>
        </w:rPr>
        <w:t>Third Party Claims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1.179.</w:t>
      </w:r>
      <w:r>
        <w:rPr>
          <w:rFonts w:ascii="Arial" w:cs="Arial" w:eastAsia="Arial" w:hAnsi="Arial"/>
          <w:sz w:val="22"/>
          <w:szCs w:val="22"/>
          <w:color w:val="auto"/>
        </w:rPr>
        <w:t>“</w:t>
      </w:r>
      <w:r>
        <w:rPr>
          <w:rFonts w:ascii="Arial" w:cs="Arial" w:eastAsia="Arial" w:hAnsi="Arial"/>
          <w:sz w:val="22"/>
          <w:szCs w:val="22"/>
          <w:b w:val="1"/>
          <w:bCs w:val="1"/>
          <w:color w:val="auto"/>
        </w:rPr>
        <w:t>Third Party Competing Infringement</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89" w:lineRule="auto"/>
        <w:rPr>
          <w:sz w:val="20"/>
          <w:szCs w:val="20"/>
          <w:color w:val="auto"/>
        </w:rPr>
      </w:pPr>
      <w:r>
        <w:rPr>
          <w:rFonts w:ascii="Arial" w:cs="Arial" w:eastAsia="Arial" w:hAnsi="Arial"/>
          <w:sz w:val="19"/>
          <w:szCs w:val="19"/>
          <w:b w:val="1"/>
          <w:bCs w:val="1"/>
          <w:color w:val="auto"/>
        </w:rPr>
        <w:t>1.180.</w:t>
      </w:r>
      <w:r>
        <w:rPr>
          <w:rFonts w:ascii="Arial" w:cs="Arial" w:eastAsia="Arial" w:hAnsi="Arial"/>
          <w:sz w:val="19"/>
          <w:szCs w:val="19"/>
          <w:color w:val="auto"/>
        </w:rPr>
        <w:t>“</w:t>
      </w:r>
      <w:r>
        <w:rPr>
          <w:rFonts w:ascii="Arial" w:cs="Arial" w:eastAsia="Arial" w:hAnsi="Arial"/>
          <w:sz w:val="19"/>
          <w:szCs w:val="19"/>
          <w:b w:val="1"/>
          <w:bCs w:val="1"/>
          <w:color w:val="auto"/>
        </w:rPr>
        <w:t>Third Party Enforcement Action</w:t>
      </w:r>
      <w:r>
        <w:rPr>
          <w:rFonts w:ascii="Arial" w:cs="Arial" w:eastAsia="Arial" w:hAnsi="Arial"/>
          <w:sz w:val="19"/>
          <w:szCs w:val="19"/>
          <w:color w:val="auto"/>
        </w:rPr>
        <w:t>” means any claim or other similar action made by a Third Party against 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that claims that the Compound or any Product, or its Development, Manufacture or Commercialization infringes or misappropriates such Third Party’s intellectual property rights; provided that, with respect to a Combination Product, a Third Party Action shall only include claims or actions if and to the extent the underlying claim relates to the Compound.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1.181.</w:t>
      </w:r>
      <w:r>
        <w:rPr>
          <w:rFonts w:ascii="Arial" w:cs="Arial" w:eastAsia="Arial" w:hAnsi="Arial"/>
          <w:sz w:val="22"/>
          <w:szCs w:val="22"/>
          <w:color w:val="auto"/>
        </w:rPr>
        <w:t>“</w:t>
      </w:r>
      <w:r>
        <w:rPr>
          <w:rFonts w:ascii="Arial" w:cs="Arial" w:eastAsia="Arial" w:hAnsi="Arial"/>
          <w:sz w:val="22"/>
          <w:szCs w:val="22"/>
          <w:b w:val="1"/>
          <w:bCs w:val="1"/>
          <w:color w:val="auto"/>
        </w:rPr>
        <w:t>Third Party Patent Action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1.182.</w:t>
      </w:r>
      <w:r>
        <w:rPr>
          <w:rFonts w:ascii="Arial" w:cs="Arial" w:eastAsia="Arial" w:hAnsi="Arial"/>
          <w:sz w:val="22"/>
          <w:szCs w:val="22"/>
          <w:color w:val="auto"/>
        </w:rPr>
        <w:t>“</w:t>
      </w:r>
      <w:r>
        <w:rPr>
          <w:rFonts w:ascii="Arial" w:cs="Arial" w:eastAsia="Arial" w:hAnsi="Arial"/>
          <w:sz w:val="22"/>
          <w:szCs w:val="22"/>
          <w:b w:val="1"/>
          <w:bCs w:val="1"/>
          <w:color w:val="auto"/>
        </w:rPr>
        <w:t>Third Party Payments</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5.4(d)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1.183.</w:t>
      </w:r>
      <w:r>
        <w:rPr>
          <w:rFonts w:ascii="Arial" w:cs="Arial" w:eastAsia="Arial" w:hAnsi="Arial"/>
          <w:sz w:val="22"/>
          <w:szCs w:val="22"/>
          <w:color w:val="auto"/>
        </w:rPr>
        <w:t>“</w:t>
      </w:r>
      <w:r>
        <w:rPr>
          <w:rFonts w:ascii="Arial" w:cs="Arial" w:eastAsia="Arial" w:hAnsi="Arial"/>
          <w:sz w:val="22"/>
          <w:szCs w:val="22"/>
          <w:b w:val="1"/>
          <w:bCs w:val="1"/>
          <w:color w:val="auto"/>
        </w:rPr>
        <w:t>Transition Plan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1.184.</w:t>
      </w:r>
      <w:r>
        <w:rPr>
          <w:rFonts w:ascii="Arial" w:cs="Arial" w:eastAsia="Arial" w:hAnsi="Arial"/>
          <w:sz w:val="22"/>
          <w:szCs w:val="22"/>
          <w:color w:val="auto"/>
        </w:rPr>
        <w:t>“</w:t>
      </w:r>
      <w:r>
        <w:rPr>
          <w:rFonts w:ascii="Arial" w:cs="Arial" w:eastAsia="Arial" w:hAnsi="Arial"/>
          <w:sz w:val="22"/>
          <w:szCs w:val="22"/>
          <w:b w:val="1"/>
          <w:bCs w:val="1"/>
          <w:color w:val="auto"/>
        </w:rPr>
        <w:t>Triggering Transaction</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right="260" w:firstLine="8"/>
        <w:spacing w:after="0" w:line="266" w:lineRule="auto"/>
        <w:tabs>
          <w:tab w:leader="none" w:pos="43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1.185.</w:t>
      </w:r>
      <w:r>
        <w:rPr>
          <w:rFonts w:ascii="Arial" w:cs="Arial" w:eastAsia="Arial" w:hAnsi="Arial"/>
          <w:sz w:val="22"/>
          <w:szCs w:val="22"/>
          <w:color w:val="auto"/>
        </w:rPr>
        <w:t>“</w:t>
      </w:r>
      <w:r>
        <w:rPr>
          <w:rFonts w:ascii="Arial" w:cs="Arial" w:eastAsia="Arial" w:hAnsi="Arial"/>
          <w:sz w:val="22"/>
          <w:szCs w:val="22"/>
          <w:b w:val="1"/>
          <w:bCs w:val="1"/>
          <w:color w:val="auto"/>
        </w:rPr>
        <w:t>United Kingdom</w:t>
      </w:r>
      <w:r>
        <w:rPr>
          <w:rFonts w:ascii="Arial" w:cs="Arial" w:eastAsia="Arial" w:hAnsi="Arial"/>
          <w:sz w:val="22"/>
          <w:szCs w:val="22"/>
          <w:color w:val="auto"/>
        </w:rPr>
        <w:t>” or “</w:t>
      </w:r>
      <w:r>
        <w:rPr>
          <w:rFonts w:ascii="Arial" w:cs="Arial" w:eastAsia="Arial" w:hAnsi="Arial"/>
          <w:sz w:val="22"/>
          <w:szCs w:val="22"/>
          <w:b w:val="1"/>
          <w:bCs w:val="1"/>
          <w:color w:val="auto"/>
        </w:rPr>
        <w:t>U.K.</w:t>
      </w:r>
      <w:r>
        <w:rPr>
          <w:rFonts w:ascii="Arial" w:cs="Arial" w:eastAsia="Arial" w:hAnsi="Arial"/>
          <w:sz w:val="22"/>
          <w:szCs w:val="22"/>
          <w:color w:val="auto"/>
        </w:rPr>
        <w:t>” means the United Kingdom and its territories and possessions.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1.186.</w:t>
      </w: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1.187.</w:t>
      </w:r>
      <w:r>
        <w:rPr>
          <w:rFonts w:ascii="Arial" w:cs="Arial" w:eastAsia="Arial" w:hAnsi="Arial"/>
          <w:sz w:val="22"/>
          <w:szCs w:val="22"/>
          <w:color w:val="auto"/>
        </w:rPr>
        <w:t>“</w:t>
      </w:r>
      <w:r>
        <w:rPr>
          <w:rFonts w:ascii="Arial" w:cs="Arial" w:eastAsia="Arial" w:hAnsi="Arial"/>
          <w:sz w:val="22"/>
          <w:szCs w:val="22"/>
          <w:b w:val="1"/>
          <w:bCs w:val="1"/>
          <w:color w:val="auto"/>
        </w:rPr>
        <w:t>U.S. 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States.</w:t>
      </w:r>
    </w:p>
    <w:p>
      <w:pPr>
        <w:spacing w:after="0" w:line="206" w:lineRule="exact"/>
        <w:rPr>
          <w:sz w:val="20"/>
          <w:szCs w:val="20"/>
          <w:color w:val="auto"/>
        </w:rPr>
      </w:pPr>
    </w:p>
    <w:p>
      <w:pPr>
        <w:jc w:val="both"/>
        <w:ind w:left="540" w:hanging="539"/>
        <w:spacing w:after="0" w:line="251" w:lineRule="auto"/>
        <w:rPr>
          <w:sz w:val="20"/>
          <w:szCs w:val="20"/>
          <w:color w:val="auto"/>
        </w:rPr>
      </w:pPr>
      <w:r>
        <w:rPr>
          <w:rFonts w:ascii="Arial" w:cs="Arial" w:eastAsia="Arial" w:hAnsi="Arial"/>
          <w:sz w:val="21"/>
          <w:szCs w:val="21"/>
          <w:b w:val="1"/>
          <w:bCs w:val="1"/>
          <w:color w:val="auto"/>
        </w:rPr>
        <w:t>1.188.</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of a Patent (including any extensions) which has not lapsed or been revoked, abandoned or</w:t>
      </w:r>
      <w:r>
        <w:rPr>
          <w:rFonts w:ascii="Arial" w:cs="Arial" w:eastAsia="Arial" w:hAnsi="Arial"/>
          <w:sz w:val="21"/>
          <w:szCs w:val="21"/>
          <w:b w:val="1"/>
          <w:bCs w:val="1"/>
          <w:color w:val="auto"/>
        </w:rPr>
        <w:t xml:space="preserve"> </w:t>
      </w:r>
      <w:r>
        <w:rPr>
          <w:rFonts w:ascii="Arial" w:cs="Arial" w:eastAsia="Arial" w:hAnsi="Arial"/>
          <w:sz w:val="21"/>
          <w:szCs w:val="21"/>
          <w:color w:val="auto"/>
        </w:rPr>
        <w:t>held unpatentable, unenforceable or invalid by a final decision of a court or Governmental Body of competent jurisdiction that is unappealable or unappealed within the time allowed for appeal, and which has not been disclaimed, denied or admitted to be invalid or unenforceable through reissue, reexamination or disclaimer or otherwise. In order to be a Valid Claim, any claim being prosecuted in a pending patent application must [***]</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1.189.</w:t>
      </w:r>
      <w:r>
        <w:rPr>
          <w:rFonts w:ascii="Arial" w:cs="Arial" w:eastAsia="Arial" w:hAnsi="Arial"/>
          <w:sz w:val="22"/>
          <w:szCs w:val="22"/>
          <w:color w:val="auto"/>
        </w:rPr>
        <w:t>“</w:t>
      </w:r>
      <w:r>
        <w:rPr>
          <w:rFonts w:ascii="Arial" w:cs="Arial" w:eastAsia="Arial" w:hAnsi="Arial"/>
          <w:sz w:val="22"/>
          <w:szCs w:val="22"/>
          <w:b w:val="1"/>
          <w:bCs w:val="1"/>
          <w:color w:val="auto"/>
        </w:rPr>
        <w:t>Valid Invoice</w:t>
      </w:r>
      <w:r>
        <w:rPr>
          <w:rFonts w:ascii="Arial" w:cs="Arial" w:eastAsia="Arial" w:hAnsi="Arial"/>
          <w:sz w:val="22"/>
          <w:szCs w:val="22"/>
          <w:color w:val="auto"/>
        </w:rPr>
        <w:t>” has the meaning set forth on</w:t>
      </w:r>
      <w:r>
        <w:rPr>
          <w:rFonts w:ascii="Arial" w:cs="Arial" w:eastAsia="Arial" w:hAnsi="Arial"/>
          <w:sz w:val="22"/>
          <w:szCs w:val="22"/>
          <w:b w:val="1"/>
          <w:bCs w:val="1"/>
          <w:color w:val="auto"/>
        </w:rPr>
        <w:t xml:space="preserve"> Schedule 5.6</w:t>
      </w:r>
      <w:r>
        <w:rPr>
          <w:rFonts w:ascii="Arial" w:cs="Arial" w:eastAsia="Arial" w:hAnsi="Arial"/>
          <w:sz w:val="22"/>
          <w:szCs w:val="22"/>
          <w:color w:val="auto"/>
        </w:rPr>
        <w:t>.</w:t>
      </w:r>
    </w:p>
    <w:p>
      <w:pPr>
        <w:spacing w:after="0" w:line="206" w:lineRule="exact"/>
        <w:rPr>
          <w:sz w:val="20"/>
          <w:szCs w:val="20"/>
          <w:color w:val="auto"/>
        </w:rPr>
      </w:pPr>
    </w:p>
    <w:p>
      <w:pPr>
        <w:jc w:val="both"/>
        <w:ind w:left="540" w:hanging="539"/>
        <w:spacing w:after="0" w:line="243" w:lineRule="auto"/>
        <w:rPr>
          <w:sz w:val="20"/>
          <w:szCs w:val="20"/>
          <w:color w:val="auto"/>
        </w:rPr>
      </w:pPr>
      <w:r>
        <w:rPr>
          <w:rFonts w:ascii="Arial" w:cs="Arial" w:eastAsia="Arial" w:hAnsi="Arial"/>
          <w:sz w:val="22"/>
          <w:szCs w:val="22"/>
          <w:b w:val="1"/>
          <w:bCs w:val="1"/>
          <w:color w:val="auto"/>
        </w:rPr>
        <w:t>1.190.</w:t>
      </w:r>
      <w:r>
        <w:rPr>
          <w:rFonts w:ascii="Arial" w:cs="Arial" w:eastAsia="Arial" w:hAnsi="Arial"/>
          <w:sz w:val="22"/>
          <w:szCs w:val="22"/>
          <w:color w:val="auto"/>
        </w:rPr>
        <w:t>“</w:t>
      </w:r>
      <w:r>
        <w:rPr>
          <w:rFonts w:ascii="Arial" w:cs="Arial" w:eastAsia="Arial" w:hAnsi="Arial"/>
          <w:sz w:val="22"/>
          <w:szCs w:val="22"/>
          <w:b w:val="1"/>
          <w:bCs w:val="1"/>
          <w:color w:val="auto"/>
        </w:rPr>
        <w:t>VAT and Indirect Taxes</w:t>
      </w:r>
      <w:r>
        <w:rPr>
          <w:rFonts w:ascii="Arial" w:cs="Arial" w:eastAsia="Arial" w:hAnsi="Arial"/>
          <w:sz w:val="22"/>
          <w:szCs w:val="22"/>
          <w:color w:val="auto"/>
        </w:rPr>
        <w:t>” means any value added, sales, purchase, turnover or consumption tax as may be applicable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any relevant jurisdiction, including but not limited to value added tax chargeable under legislation implementing E.U. Council Directive 2006/112/EC on the common system of value added tax.</w:t>
      </w:r>
    </w:p>
    <w:p>
      <w:pPr>
        <w:spacing w:after="0" w:line="17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LICENSE GRANTS; EXCLUSIVITY</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License Grant to GSK</w:t>
      </w:r>
    </w:p>
    <w:p>
      <w:pPr>
        <w:spacing w:after="0" w:line="212" w:lineRule="exact"/>
        <w:rPr>
          <w:sz w:val="20"/>
          <w:szCs w:val="20"/>
          <w:color w:val="auto"/>
        </w:rPr>
      </w:pPr>
    </w:p>
    <w:p>
      <w:pPr>
        <w:ind w:left="880" w:hanging="806"/>
        <w:spacing w:after="0" w:line="245" w:lineRule="auto"/>
        <w:tabs>
          <w:tab w:leader="none" w:pos="311"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On the Effective Date and subject to the terms and conditions of this Agreement, Arrowhead, on behalf of itself and its Affiliates, hereby grants to GSK and its Affiliates (a) an exclusive (even as to Arrowhead and its Affiliates, subject to the Arrowhead Retained Rights), royalty-bearing, sublicensable (in accordance with Section 2.2), transferable (in accordance with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license under the Arrowhead Technology to Develop, Manufacture (including to have Manufactured) and Commercialize the Compound and any Products in the Field in the GSK Territory; and (b) a non-exclusive, royalty-free, sublicensable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transferable (in accordance with </w:t>
      </w:r>
      <w:r>
        <w:rPr>
          <w:rFonts w:ascii="Arial" w:cs="Arial" w:eastAsia="Arial" w:hAnsi="Arial"/>
          <w:sz w:val="21"/>
          <w:szCs w:val="21"/>
          <w:u w:val="single" w:color="auto"/>
          <w:color w:val="auto"/>
        </w:rPr>
        <w:t>Section 13.2</w:t>
      </w:r>
      <w:r>
        <w:rPr>
          <w:rFonts w:ascii="Arial" w:cs="Arial" w:eastAsia="Arial" w:hAnsi="Arial"/>
          <w:sz w:val="21"/>
          <w:szCs w:val="21"/>
          <w:color w:val="auto"/>
        </w:rPr>
        <w:t>) license under the Arrowhead Technology to Manufacture (including to have Manufactured) the Compound and any Products in the Arrowhead Territory solely for Development and Commercialization of the Compound and any Product in the Field in the GSK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5478145</wp:posOffset>
            </wp:positionH>
            <wp:positionV relativeFrom="paragraph">
              <wp:posOffset>-957580</wp:posOffset>
            </wp:positionV>
            <wp:extent cx="642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Sublicensing by GSK</w:t>
      </w:r>
    </w:p>
    <w:p>
      <w:pPr>
        <w:spacing w:after="0" w:line="212" w:lineRule="exact"/>
        <w:rPr>
          <w:sz w:val="20"/>
          <w:szCs w:val="20"/>
          <w:color w:val="auto"/>
        </w:rPr>
      </w:pPr>
    </w:p>
    <w:p>
      <w:pPr>
        <w:ind w:left="880" w:hanging="806"/>
        <w:spacing w:after="0" w:line="279" w:lineRule="auto"/>
        <w:tabs>
          <w:tab w:leader="none" w:pos="201"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GSK (or any of its Affiliates) shall have the right to grant sublicenses (including the right to grant further sublicenses through multiple tiers), in whole or in part, under the licenses granted in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to any Third Party; provided that (a) each such sublicense will be in writing and shall require the applicable Sublicensee to comply with all applicable terms and conditions of this Agreement, including obligations of confidentiality, non-disclosure and non-use of Confidential Information, and allocation of intellectual property rights that are at least as restrictive or protective of Confidential Information and intellectual property rights (including with respect to GSK Licensed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right="260" w:firstLine="8"/>
        <w:spacing w:after="0" w:line="266" w:lineRule="auto"/>
        <w:tabs>
          <w:tab w:leader="none" w:pos="43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Technology, Arrowhead Agreement Technology and Joint Agreement Technology) as set forth in this Agreement; and</w:t>
      </w:r>
    </w:p>
    <w:p>
      <w:pPr>
        <w:spacing w:after="0" w:line="43" w:lineRule="exact"/>
        <w:rPr>
          <w:sz w:val="20"/>
          <w:szCs w:val="20"/>
          <w:color w:val="auto"/>
        </w:rPr>
      </w:pPr>
    </w:p>
    <w:p>
      <w:pPr>
        <w:jc w:val="both"/>
        <w:ind w:left="880" w:hanging="8"/>
        <w:spacing w:after="0" w:line="234" w:lineRule="auto"/>
        <w:tabs>
          <w:tab w:leader="none" w:pos="1193" w:val="left"/>
        </w:tabs>
        <w:numPr>
          <w:ilvl w:val="0"/>
          <w:numId w:val="43"/>
        </w:numPr>
        <w:rPr>
          <w:rFonts w:ascii="Arial" w:cs="Arial" w:eastAsia="Arial" w:hAnsi="Arial"/>
          <w:sz w:val="22"/>
          <w:szCs w:val="22"/>
          <w:color w:val="auto"/>
        </w:rPr>
      </w:pPr>
      <w:r>
        <w:rPr>
          <w:rFonts w:ascii="Arial" w:cs="Arial" w:eastAsia="Arial" w:hAnsi="Arial"/>
          <w:sz w:val="22"/>
          <w:szCs w:val="22"/>
          <w:color w:val="auto"/>
        </w:rPr>
        <w:t>GSK shall remain primarily liable to Arrowhead for the performance of all of GSK’s obligations under, and GSK’s compliance with all provisions of, this Agreement and Arrowhead will have the right to proceed directly against GSK without any obligation to first proceed against the Sublicensee.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Arrowhead Retained Rights</w:t>
      </w:r>
    </w:p>
    <w:p>
      <w:pPr>
        <w:spacing w:after="0" w:line="212" w:lineRule="exact"/>
        <w:rPr>
          <w:sz w:val="20"/>
          <w:szCs w:val="20"/>
          <w:color w:val="auto"/>
        </w:rPr>
      </w:pPr>
    </w:p>
    <w:p>
      <w:pPr>
        <w:ind w:left="880" w:hanging="806"/>
        <w:spacing w:after="0" w:line="274" w:lineRule="auto"/>
        <w:tabs>
          <w:tab w:leader="none" w:pos="20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Notwithstanding the exclusive license granted by Arrowhead to GSK and its Affiliates under </w:t>
      </w:r>
      <w:r>
        <w:rPr>
          <w:rFonts w:ascii="Arial" w:cs="Arial" w:eastAsia="Arial" w:hAnsi="Arial"/>
          <w:sz w:val="19"/>
          <w:szCs w:val="19"/>
          <w:u w:val="single" w:color="auto"/>
          <w:color w:val="auto"/>
        </w:rPr>
        <w:t>Section 2.1</w:t>
      </w:r>
      <w:r>
        <w:rPr>
          <w:rFonts w:ascii="Arial" w:cs="Arial" w:eastAsia="Arial" w:hAnsi="Arial"/>
          <w:sz w:val="19"/>
          <w:szCs w:val="19"/>
          <w:color w:val="auto"/>
        </w:rPr>
        <w:t>, Arrowhead retains the non-exclusive right under the Arrowhead Technology (a) for itself, its Affiliates and its Third Party subcontractors, to perform its activities under the Ongoing Phase I Clinical Trial; (b) to Manufacture, have Manufactured, supply and have supplied the clinical requirements of the Products to GSK for GSK’s and its Affiliates’ and Sublicensees’ Development activities hereunder under the Clinical Supply Agreement; and (c) for itself, its Affiliates, its (sub)licensees and its Third Party subcontractors to Manufacture and have Manufactured the Compound and any Products in the GSK Territory solely for purposes of (i) Developing the Compound and any Products for purposes of obtaining Regulatory Approval of such Products in the Arrowhead Territory and (ii) Commercializing such Products in the Arrowhead Territory. (collectively ((a), (b) and (c)), the “</w:t>
      </w:r>
      <w:r>
        <w:rPr>
          <w:rFonts w:ascii="Arial" w:cs="Arial" w:eastAsia="Arial" w:hAnsi="Arial"/>
          <w:sz w:val="19"/>
          <w:szCs w:val="19"/>
          <w:b w:val="1"/>
          <w:bCs w:val="1"/>
          <w:color w:val="auto"/>
        </w:rPr>
        <w:t>Arrowhead Retained Rights</w:t>
      </w:r>
      <w:r>
        <w:rPr>
          <w:rFonts w:ascii="Arial" w:cs="Arial" w:eastAsia="Arial" w:hAnsi="Arial"/>
          <w:sz w:val="19"/>
          <w:szCs w:val="19"/>
          <w:color w:val="auto"/>
        </w:rPr>
        <w:t>”).</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Technology Transfer</w:t>
      </w:r>
    </w:p>
    <w:p>
      <w:pPr>
        <w:spacing w:after="0" w:line="212" w:lineRule="exact"/>
        <w:rPr>
          <w:sz w:val="20"/>
          <w:szCs w:val="20"/>
          <w:color w:val="auto"/>
        </w:rPr>
      </w:pPr>
    </w:p>
    <w:p>
      <w:pPr>
        <w:ind w:left="880" w:hanging="806"/>
        <w:spacing w:after="0" w:line="270" w:lineRule="auto"/>
        <w:tabs>
          <w:tab w:leader="none" w:pos="191"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During the period beginning on the Effective Date until the date that is twenty (20) Business Days following the completion of the activities set forth in the Technology Transfer Plan and the delivery of Arrowhead Materials in accordance with </w:t>
      </w:r>
      <w:r>
        <w:rPr>
          <w:rFonts w:ascii="Arial" w:cs="Arial" w:eastAsia="Arial" w:hAnsi="Arial"/>
          <w:sz w:val="19"/>
          <w:szCs w:val="19"/>
          <w:b w:val="1"/>
          <w:bCs w:val="1"/>
          <w:color w:val="auto"/>
        </w:rPr>
        <w:t xml:space="preserve">Schedule 1.25 </w:t>
      </w:r>
      <w:r>
        <w:rPr>
          <w:rFonts w:ascii="Arial" w:cs="Arial" w:eastAsia="Arial" w:hAnsi="Arial"/>
          <w:sz w:val="19"/>
          <w:szCs w:val="19"/>
          <w:color w:val="auto"/>
        </w:rPr>
        <w:t>(the “</w:t>
      </w:r>
      <w:r>
        <w:rPr>
          <w:rFonts w:ascii="Arial" w:cs="Arial" w:eastAsia="Arial" w:hAnsi="Arial"/>
          <w:sz w:val="19"/>
          <w:szCs w:val="19"/>
          <w:b w:val="1"/>
          <w:bCs w:val="1"/>
          <w:color w:val="auto"/>
        </w:rPr>
        <w:t>Technology Transfer Period</w:t>
      </w:r>
      <w:r>
        <w:rPr>
          <w:rFonts w:ascii="Arial" w:cs="Arial" w:eastAsia="Arial" w:hAnsi="Arial"/>
          <w:sz w:val="19"/>
          <w:szCs w:val="19"/>
          <w:color w:val="auto"/>
        </w:rPr>
        <w:t>”), the Parties shall complete their respective activities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Technology Transfer Plan as attached hereto on </w:t>
      </w:r>
      <w:r>
        <w:rPr>
          <w:rFonts w:ascii="Arial" w:cs="Arial" w:eastAsia="Arial" w:hAnsi="Arial"/>
          <w:sz w:val="19"/>
          <w:szCs w:val="19"/>
          <w:b w:val="1"/>
          <w:bCs w:val="1"/>
          <w:color w:val="auto"/>
        </w:rPr>
        <w:t>Schedule 2.4</w:t>
      </w:r>
      <w:r>
        <w:rPr>
          <w:rFonts w:ascii="Arial" w:cs="Arial" w:eastAsia="Arial" w:hAnsi="Arial"/>
          <w:sz w:val="19"/>
          <w:szCs w:val="19"/>
          <w:color w:val="auto"/>
        </w:rPr>
        <w:t xml:space="preserve"> and in relation to the delivery of Arrowhead Materials in accordance with </w:t>
      </w:r>
      <w:r>
        <w:rPr>
          <w:rFonts w:ascii="Arial" w:cs="Arial" w:eastAsia="Arial" w:hAnsi="Arial"/>
          <w:sz w:val="19"/>
          <w:szCs w:val="19"/>
          <w:b w:val="1"/>
          <w:bCs w:val="1"/>
          <w:color w:val="auto"/>
        </w:rPr>
        <w:t>Schedule 1.25</w:t>
      </w:r>
      <w:r>
        <w:rPr>
          <w:rFonts w:ascii="Arial" w:cs="Arial" w:eastAsia="Arial" w:hAnsi="Arial"/>
          <w:sz w:val="19"/>
          <w:szCs w:val="19"/>
          <w:color w:val="auto"/>
        </w:rPr>
        <w:t>; provided that either Party may propose amendments to the Technology Transfer Plan by delivery of notice to the other Party for review and discussion; provided, further, that the Technology Transfer Plan may only be amended by mutual agreement of the Parties. In furtherance of the foregoing, within five (5) Business Days following the Effective Date, the Parties will establish a technology transfer committee comprised of an equal number of representatives of each Party (which representatives may be replaced by the appointing Party at any time upon notice to the other Party) (the “</w:t>
      </w:r>
      <w:r>
        <w:rPr>
          <w:rFonts w:ascii="Arial" w:cs="Arial" w:eastAsia="Arial" w:hAnsi="Arial"/>
          <w:sz w:val="19"/>
          <w:szCs w:val="19"/>
          <w:b w:val="1"/>
          <w:bCs w:val="1"/>
          <w:color w:val="auto"/>
        </w:rPr>
        <w:t>Technology Transfer Committee</w:t>
      </w:r>
      <w:r>
        <w:rPr>
          <w:rFonts w:ascii="Arial" w:cs="Arial" w:eastAsia="Arial" w:hAnsi="Arial"/>
          <w:sz w:val="19"/>
          <w:szCs w:val="19"/>
          <w:color w:val="auto"/>
        </w:rPr>
        <w:t xml:space="preserve">”) to oversee and coordinate the implementation of the Technology Transfer Plan and the delivery of Arrowhead Materials in accordance with </w:t>
      </w:r>
      <w:r>
        <w:rPr>
          <w:rFonts w:ascii="Arial" w:cs="Arial" w:eastAsia="Arial" w:hAnsi="Arial"/>
          <w:sz w:val="19"/>
          <w:szCs w:val="19"/>
          <w:b w:val="1"/>
          <w:bCs w:val="1"/>
          <w:color w:val="auto"/>
        </w:rPr>
        <w:t>Schedule 1.25</w:t>
      </w:r>
      <w:r>
        <w:rPr>
          <w:rFonts w:ascii="Arial" w:cs="Arial" w:eastAsia="Arial" w:hAnsi="Arial"/>
          <w:sz w:val="19"/>
          <w:szCs w:val="19"/>
          <w:color w:val="auto"/>
        </w:rPr>
        <w:t xml:space="preserve">. For clarity, the Technology Transfer Committee will have no responsibility or decision-making authority except as expressly provided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or otherwise expressly agreed by the Parties in writing. Subject to the terms of this Agreement (including </w:t>
      </w:r>
      <w:r>
        <w:rPr>
          <w:rFonts w:ascii="Arial" w:cs="Arial" w:eastAsia="Arial" w:hAnsi="Arial"/>
          <w:sz w:val="19"/>
          <w:szCs w:val="19"/>
          <w:b w:val="1"/>
          <w:bCs w:val="1"/>
          <w:color w:val="auto"/>
        </w:rPr>
        <w:t>Schedule 1.25</w:t>
      </w:r>
      <w:r>
        <w:rPr>
          <w:rFonts w:ascii="Arial" w:cs="Arial" w:eastAsia="Arial" w:hAnsi="Arial"/>
          <w:sz w:val="19"/>
          <w:szCs w:val="19"/>
          <w:color w:val="auto"/>
        </w:rPr>
        <w:t xml:space="preserve"> and the Technology Transfer Plan), (a) following the Effective Date, Arrowhead will deliver to GSK (or its designee), at Arrowhead’s reasonable cost and expense, (i) the Arrowhead Know-How in existence as of the Effective Date, including, to the extent applicable and in existence and Controlled by Arrowhead or its Affiliates as of the Effective Date, information and copies of documents related to the Compound, and a copy of all Clinical Trial data and results and (ii) all Arrowhead Materials (which shall be delivered DAP (Incoterms 2020) at GSK’s facility in accordance with </w:t>
      </w:r>
      <w:r>
        <w:rPr>
          <w:rFonts w:ascii="Arial" w:cs="Arial" w:eastAsia="Arial" w:hAnsi="Arial"/>
          <w:sz w:val="19"/>
          <w:szCs w:val="19"/>
          <w:b w:val="1"/>
          <w:bCs w:val="1"/>
          <w:color w:val="auto"/>
        </w:rPr>
        <w:t>Schedule 1.25</w:t>
      </w:r>
      <w:r>
        <w:rPr>
          <w:rFonts w:ascii="Arial" w:cs="Arial" w:eastAsia="Arial" w:hAnsi="Arial"/>
          <w:sz w:val="19"/>
          <w:szCs w:val="19"/>
          <w:color w:val="auto"/>
        </w:rPr>
        <w:t>; provided that [***]); (b) no later than ten (10) Business Days following the Completion of the Ongoing Phase I</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right="260" w:firstLine="8"/>
        <w:spacing w:after="0" w:line="266" w:lineRule="auto"/>
        <w:tabs>
          <w:tab w:leader="none" w:pos="43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46" w:lineRule="auto"/>
        <w:rPr>
          <w:sz w:val="20"/>
          <w:szCs w:val="20"/>
          <w:color w:val="auto"/>
        </w:rPr>
      </w:pPr>
      <w:r>
        <w:rPr>
          <w:rFonts w:ascii="Arial" w:cs="Arial" w:eastAsia="Arial" w:hAnsi="Arial"/>
          <w:sz w:val="21"/>
          <w:szCs w:val="21"/>
          <w:color w:val="auto"/>
        </w:rPr>
        <w:t xml:space="preserve">Clinical Trial, subject to </w:t>
      </w:r>
      <w:r>
        <w:rPr>
          <w:rFonts w:ascii="Arial" w:cs="Arial" w:eastAsia="Arial" w:hAnsi="Arial"/>
          <w:sz w:val="21"/>
          <w:szCs w:val="21"/>
          <w:u w:val="single" w:color="auto"/>
          <w:color w:val="auto"/>
        </w:rPr>
        <w:t>Section 3.4(a)</w:t>
      </w:r>
      <w:r>
        <w:rPr>
          <w:rFonts w:ascii="Arial" w:cs="Arial" w:eastAsia="Arial" w:hAnsi="Arial"/>
          <w:sz w:val="21"/>
          <w:szCs w:val="21"/>
          <w:color w:val="auto"/>
        </w:rPr>
        <w:t>, Arrowhead shall provide to GSK (or its designee) a copy of all Clinical Trial data and results from such Ongoing Phase I Clinical Trial in accordance with the Technology Transfer Plan; and (c) Arrowhead shall make available to GSK qualified Arrowhead Personnel having the necessary skill, expertise and experience to accomplish the activities set forth in such Technology Transfer Plan and to answer any questions or provide instruction as reasonably requested by GSK during the Technology Transfer Period. Notwithstanding the foregoing, Arrowhead will not disclose to GSK any trade secret specifically relating to Arrowhead’s RNA Molecule sequence selection and Compound design process, except as required by Law or as necessary in a legal proceeding related to Arrowhead Technology. [***] .</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Retained Rights; No Implied Licenses</w:t>
      </w:r>
    </w:p>
    <w:p>
      <w:pPr>
        <w:spacing w:after="0" w:line="212" w:lineRule="exact"/>
        <w:rPr>
          <w:sz w:val="20"/>
          <w:szCs w:val="20"/>
          <w:color w:val="auto"/>
        </w:rPr>
      </w:pPr>
    </w:p>
    <w:p>
      <w:pPr>
        <w:ind w:left="880" w:hanging="806"/>
        <w:spacing w:after="0" w:line="271" w:lineRule="auto"/>
        <w:tabs>
          <w:tab w:leader="none" w:pos="27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No right or license is granted to either Party hereunder by implication, estoppel, or otherwise to any Know-How, Patents or other intellectual property right owned or otherwise Controlled by the other Party or its Affiliates, except as expressly set forth in this Agreement. GSK and its Affiliates will not practice or otherwise exploit the Arrowhead Technology outside the scope of the license grant to GSK and its Affiliates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otherwise in violation of this Agreement, including, except as expressly permitted under this Agreement, GSK, its Affiliates and its Sublicensees will not Develop, Manufacture and Commercialize the Compound or any Products outside of the GSK Territory. All rights in and to Arrowhead Technology and or any other Know-How, Patents or other intellectual property rights owned or otherwise controlled by Arrowhead or its Affiliates not expressly licensed or otherwise granted to GSK under this Agreement are hereby retained by Arrowhead (or its Affiliates, as applicable). Arrowhead and its Affiliates will not practice or otherwise exploit the GSK Licensed Technology outside the scope of the license grant to Arrowhead and its Affiliates under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or otherwise in violation of this Agreement, including, except as expressly permitted under this Agreement, Arrowhead, its Affiliates and its sublicensees will not Develop, Manufacture and Commercialize the Compound or any Products outside of the Arrowhead Territory. All rights in and to the GSK Licensed Technology and any other Know-How, Patents or other intellectual property rights owned or otherwise controlled by GSK or its Affiliates not expressly licensed or otherwise granted to Arrowhead under this Agreement are hereby retained by GSK (or its Affiliates, as applicable).</w:t>
      </w:r>
    </w:p>
    <w:p>
      <w:pPr>
        <w:spacing w:after="0" w:line="39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Combination Products</w:t>
      </w:r>
    </w:p>
    <w:p>
      <w:pPr>
        <w:spacing w:after="0" w:line="212" w:lineRule="exact"/>
        <w:rPr>
          <w:sz w:val="20"/>
          <w:szCs w:val="20"/>
          <w:color w:val="auto"/>
        </w:rPr>
      </w:pPr>
    </w:p>
    <w:p>
      <w:pPr>
        <w:ind w:left="880" w:hanging="806"/>
        <w:spacing w:after="0" w:line="238" w:lineRule="auto"/>
        <w:tabs>
          <w:tab w:leader="none" w:pos="1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Agreement, for purposes of the license grants under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2.8(a)</w:t>
      </w:r>
      <w:r>
        <w:rPr>
          <w:rFonts w:ascii="Arial" w:cs="Arial" w:eastAsia="Arial" w:hAnsi="Arial"/>
          <w:sz w:val="22"/>
          <w:szCs w:val="22"/>
          <w:color w:val="auto"/>
        </w:rPr>
        <w:t>, with respect to any Product that is a Combination Product, such license will only include a license with respect to the Compound component of such Combination Product and not any Other Component Controlled by the Party granting such license or any of its Affiliates.</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Exclusivity</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97" w:lineRule="auto"/>
        <w:tabs>
          <w:tab w:leader="none" w:pos="1780" w:val="left"/>
        </w:tabs>
        <w:numPr>
          <w:ilvl w:val="0"/>
          <w:numId w:val="49"/>
        </w:numPr>
        <w:rPr>
          <w:rFonts w:ascii="Arial" w:cs="Arial" w:eastAsia="Arial" w:hAnsi="Arial"/>
          <w:sz w:val="19"/>
          <w:szCs w:val="19"/>
          <w:b w:val="1"/>
          <w:bCs w:val="1"/>
          <w:color w:val="auto"/>
        </w:rPr>
      </w:pPr>
      <w:r>
        <w:rPr>
          <w:rFonts w:ascii="Arial" w:cs="Arial" w:eastAsia="Arial" w:hAnsi="Arial"/>
          <w:sz w:val="19"/>
          <w:szCs w:val="19"/>
          <w:i w:val="1"/>
          <w:iCs w:val="1"/>
          <w:color w:val="auto"/>
        </w:rPr>
        <w:t>Exclusivity</w:t>
      </w:r>
      <w:r>
        <w:rPr>
          <w:rFonts w:ascii="Arial" w:cs="Arial" w:eastAsia="Arial" w:hAnsi="Arial"/>
          <w:sz w:val="19"/>
          <w:szCs w:val="19"/>
          <w:color w:val="auto"/>
        </w:rPr>
        <w:t>.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2.7(b)</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2.7(c)</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2.7(d)</w:t>
      </w:r>
      <w:r>
        <w:rPr>
          <w:rFonts w:ascii="Arial" w:cs="Arial" w:eastAsia="Arial" w:hAnsi="Arial"/>
          <w:sz w:val="19"/>
          <w:szCs w:val="19"/>
          <w:i w:val="1"/>
          <w:iCs w:val="1"/>
          <w:color w:val="auto"/>
        </w:rPr>
        <w:t xml:space="preserve"> </w:t>
      </w:r>
      <w:r>
        <w:rPr>
          <w:rFonts w:ascii="Arial" w:cs="Arial" w:eastAsia="Arial" w:hAnsi="Arial"/>
          <w:sz w:val="19"/>
          <w:szCs w:val="19"/>
          <w:color w:val="auto"/>
        </w:rPr>
        <w:t>and to the applicable Arrowhead Retained Rights,</w:t>
      </w:r>
      <w:r>
        <w:rPr>
          <w:rFonts w:ascii="Arial" w:cs="Arial" w:eastAsia="Arial" w:hAnsi="Arial"/>
          <w:sz w:val="19"/>
          <w:szCs w:val="19"/>
          <w:i w:val="1"/>
          <w:iCs w:val="1"/>
          <w:color w:val="auto"/>
        </w:rPr>
        <w:t xml:space="preserve"> </w:t>
      </w:r>
      <w:r>
        <w:rPr>
          <w:rFonts w:ascii="Arial" w:cs="Arial" w:eastAsia="Arial" w:hAnsi="Arial"/>
          <w:sz w:val="19"/>
          <w:szCs w:val="19"/>
          <w:color w:val="auto"/>
        </w:rPr>
        <w:t>from the Effective Date until the [***] anniversary thereof (the “</w:t>
      </w:r>
      <w:r>
        <w:rPr>
          <w:rFonts w:ascii="Arial" w:cs="Arial" w:eastAsia="Arial" w:hAnsi="Arial"/>
          <w:sz w:val="19"/>
          <w:szCs w:val="19"/>
          <w:b w:val="1"/>
          <w:bCs w:val="1"/>
          <w:color w:val="auto"/>
        </w:rPr>
        <w:t>Exclusivity Term</w:t>
      </w:r>
      <w:r>
        <w:rPr>
          <w:rFonts w:ascii="Arial" w:cs="Arial" w:eastAsia="Arial" w:hAnsi="Arial"/>
          <w:sz w:val="19"/>
          <w:szCs w:val="19"/>
          <w:color w:val="auto"/>
        </w:rPr>
        <w:t>”), Arrowhead shall not, and shall cause its Affiliates not to (i) alone or with any Affiliates or Third Parties Develop, Manufacture or Commercialize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right="260" w:firstLine="8"/>
        <w:spacing w:after="0" w:line="266" w:lineRule="auto"/>
        <w:tabs>
          <w:tab w:leader="none" w:pos="4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jc w:val="both"/>
        <w:ind w:left="880"/>
        <w:spacing w:after="0" w:line="289" w:lineRule="auto"/>
        <w:rPr>
          <w:sz w:val="20"/>
          <w:szCs w:val="20"/>
          <w:color w:val="auto"/>
        </w:rPr>
      </w:pPr>
      <w:r>
        <w:rPr>
          <w:rFonts w:ascii="Arial" w:cs="Arial" w:eastAsia="Arial" w:hAnsi="Arial"/>
          <w:sz w:val="19"/>
          <w:szCs w:val="19"/>
          <w:color w:val="auto"/>
        </w:rPr>
        <w:t>other compound targeting 17β-hydroxysteroid dehydrogenase type 13 (HSD17B13) (a “</w:t>
      </w:r>
      <w:r>
        <w:rPr>
          <w:rFonts w:ascii="Arial" w:cs="Arial" w:eastAsia="Arial" w:hAnsi="Arial"/>
          <w:sz w:val="19"/>
          <w:szCs w:val="19"/>
          <w:b w:val="1"/>
          <w:bCs w:val="1"/>
          <w:color w:val="auto"/>
        </w:rPr>
        <w:t>Competing Compound</w:t>
      </w:r>
      <w:r>
        <w:rPr>
          <w:rFonts w:ascii="Arial" w:cs="Arial" w:eastAsia="Arial" w:hAnsi="Arial"/>
          <w:sz w:val="19"/>
          <w:szCs w:val="19"/>
          <w:color w:val="auto"/>
        </w:rPr>
        <w:t xml:space="preserve"> ”), in each case, in the Field in the GSK Territory, or (ii) enter into an agreement or other arrangement with any Third Party pursuant to which Arrowhead or one of its Affiliates grants such Third Party any license or other rights to Develop, Manufacture or Commercialize a Competing Compound, in each case, in the Field in the GSK Territory.</w:t>
      </w:r>
    </w:p>
    <w:p>
      <w:pPr>
        <w:spacing w:after="0" w:line="142" w:lineRule="exact"/>
        <w:rPr>
          <w:sz w:val="20"/>
          <w:szCs w:val="20"/>
          <w:color w:val="auto"/>
        </w:rPr>
      </w:pPr>
    </w:p>
    <w:p>
      <w:pPr>
        <w:jc w:val="both"/>
        <w:ind w:left="880" w:hanging="8"/>
        <w:spacing w:after="0" w:line="234" w:lineRule="auto"/>
        <w:tabs>
          <w:tab w:leader="none" w:pos="1792" w:val="left"/>
        </w:tabs>
        <w:numPr>
          <w:ilvl w:val="0"/>
          <w:numId w:val="51"/>
        </w:numPr>
        <w:rPr>
          <w:rFonts w:ascii="Arial" w:cs="Arial" w:eastAsia="Arial" w:hAnsi="Arial"/>
          <w:sz w:val="22"/>
          <w:szCs w:val="22"/>
          <w:b w:val="1"/>
          <w:bCs w:val="1"/>
          <w:color w:val="auto"/>
        </w:rPr>
      </w:pPr>
      <w:r>
        <w:rPr>
          <w:rFonts w:ascii="Arial" w:cs="Arial" w:eastAsia="Arial" w:hAnsi="Arial"/>
          <w:sz w:val="22"/>
          <w:szCs w:val="22"/>
          <w:i w:val="1"/>
          <w:iCs w:val="1"/>
          <w:color w:val="auto"/>
        </w:rPr>
        <w:t>Change of Control Exception</w:t>
      </w:r>
      <w:r>
        <w:rPr>
          <w:rFonts w:ascii="Arial" w:cs="Arial" w:eastAsia="Arial" w:hAnsi="Arial"/>
          <w:sz w:val="22"/>
          <w:szCs w:val="22"/>
          <w:color w:val="auto"/>
        </w:rPr>
        <w:t>. Notwithstanding</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2.7(a)</w:t>
      </w:r>
      <w:r>
        <w:rPr>
          <w:rFonts w:ascii="Arial" w:cs="Arial" w:eastAsia="Arial" w:hAnsi="Arial"/>
          <w:sz w:val="22"/>
          <w:szCs w:val="22"/>
          <w:color w:val="auto"/>
        </w:rPr>
        <w:t>, in the event that, during the Exclusivity Term,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 Change of Control occurs with respect to Arrowhead or any of its Affiliates, and the Acquirer or any of such Acquirer's Affiliates, immediately prior to such Change of Control, owns or has any license or other right to any Competing Compound that would otherwise violate </w:t>
      </w:r>
      <w:r>
        <w:rPr>
          <w:rFonts w:ascii="Arial" w:cs="Arial" w:eastAsia="Arial" w:hAnsi="Arial"/>
          <w:sz w:val="22"/>
          <w:szCs w:val="22"/>
          <w:u w:val="single" w:color="auto"/>
          <w:color w:val="auto"/>
        </w:rPr>
        <w:t>Section 2.7(a)</w:t>
      </w:r>
      <w:r>
        <w:rPr>
          <w:rFonts w:ascii="Arial" w:cs="Arial" w:eastAsia="Arial" w:hAnsi="Arial"/>
          <w:sz w:val="22"/>
          <w:szCs w:val="22"/>
          <w:color w:val="auto"/>
        </w:rPr>
        <w:t>, then such Acquirer and any of such Acquirer's Affiliates (but excluding, Arrowhead and its Affiliates immediately prior to such Change of Control) will not be prohibited from Developing, Manufacturing or Commercializing, as applicable, such Competing Compound; provided that:</w:t>
      </w:r>
    </w:p>
    <w:p>
      <w:pPr>
        <w:spacing w:after="0" w:line="190" w:lineRule="exact"/>
        <w:rPr>
          <w:rFonts w:ascii="Arial" w:cs="Arial" w:eastAsia="Arial" w:hAnsi="Arial"/>
          <w:sz w:val="22"/>
          <w:szCs w:val="22"/>
          <w:b w:val="1"/>
          <w:bCs w:val="1"/>
          <w:color w:val="auto"/>
        </w:rPr>
      </w:pPr>
    </w:p>
    <w:p>
      <w:pPr>
        <w:jc w:val="both"/>
        <w:ind w:left="880" w:firstLine="789"/>
        <w:spacing w:after="0" w:line="257" w:lineRule="auto"/>
        <w:tabs>
          <w:tab w:leader="none" w:pos="2529" w:val="left"/>
        </w:tabs>
        <w:numPr>
          <w:ilvl w:val="1"/>
          <w:numId w:val="51"/>
        </w:numPr>
        <w:rPr>
          <w:rFonts w:ascii="Arial" w:cs="Arial" w:eastAsia="Arial" w:hAnsi="Arial"/>
          <w:sz w:val="21"/>
          <w:szCs w:val="21"/>
          <w:color w:val="auto"/>
        </w:rPr>
      </w:pPr>
      <w:r>
        <w:rPr>
          <w:rFonts w:ascii="Arial" w:cs="Arial" w:eastAsia="Arial" w:hAnsi="Arial"/>
          <w:sz w:val="21"/>
          <w:szCs w:val="21"/>
          <w:color w:val="auto"/>
        </w:rPr>
        <w:t>such Acquirer and any such Affiliates do not use any Joint Agreement Technology or Confidential Information of GSK supplied by or on behalf of GSK to Arrowhead hereunder in connection with the Development, Manufacture or Commercialization of, as applicable, such Competing Compound, and</w:t>
      </w:r>
    </w:p>
    <w:p>
      <w:pPr>
        <w:spacing w:after="0" w:line="169" w:lineRule="exact"/>
        <w:rPr>
          <w:rFonts w:ascii="Arial" w:cs="Arial" w:eastAsia="Arial" w:hAnsi="Arial"/>
          <w:sz w:val="21"/>
          <w:szCs w:val="21"/>
          <w:color w:val="auto"/>
        </w:rPr>
      </w:pPr>
    </w:p>
    <w:p>
      <w:pPr>
        <w:jc w:val="both"/>
        <w:ind w:left="880" w:firstLine="789"/>
        <w:spacing w:after="0" w:line="234" w:lineRule="auto"/>
        <w:tabs>
          <w:tab w:leader="none" w:pos="2589" w:val="left"/>
        </w:tabs>
        <w:numPr>
          <w:ilvl w:val="1"/>
          <w:numId w:val="51"/>
        </w:numPr>
        <w:rPr>
          <w:rFonts w:ascii="Arial" w:cs="Arial" w:eastAsia="Arial" w:hAnsi="Arial"/>
          <w:sz w:val="22"/>
          <w:szCs w:val="22"/>
          <w:color w:val="auto"/>
        </w:rPr>
      </w:pPr>
      <w:r>
        <w:rPr>
          <w:rFonts w:ascii="Arial" w:cs="Arial" w:eastAsia="Arial" w:hAnsi="Arial"/>
          <w:sz w:val="22"/>
          <w:szCs w:val="22"/>
          <w:color w:val="auto"/>
        </w:rPr>
        <w:t>such Acquirer and any such Affiliates institute commercially reasonable technical and administrative safeguards to ensure the requirements set forth in the foregoing clause (b)(i) are met, including by (A) separating the Personnel conducting activities that are specific to any Competing Compound and the Personnel teams conducting activities that are specific to the Development, Manufacture and Commercialization activities with respect to the Compound and (B) the maintenance of separate lab notebooks and records and separate Personnel working on each of the activities under this Agreement with respect to the Compound and the activities with respect to such Competing Compound.</w:t>
      </w:r>
    </w:p>
    <w:p>
      <w:pPr>
        <w:spacing w:after="0" w:line="190" w:lineRule="exact"/>
        <w:rPr>
          <w:rFonts w:ascii="Arial" w:cs="Arial" w:eastAsia="Arial" w:hAnsi="Arial"/>
          <w:sz w:val="22"/>
          <w:szCs w:val="22"/>
          <w:color w:val="auto"/>
        </w:rPr>
      </w:pPr>
    </w:p>
    <w:p>
      <w:pPr>
        <w:jc w:val="both"/>
        <w:ind w:left="880" w:hanging="8"/>
        <w:spacing w:after="0" w:line="273" w:lineRule="auto"/>
        <w:tabs>
          <w:tab w:leader="none" w:pos="1768" w:val="left"/>
        </w:tabs>
        <w:numPr>
          <w:ilvl w:val="0"/>
          <w:numId w:val="51"/>
        </w:numPr>
        <w:rPr>
          <w:rFonts w:ascii="Arial" w:cs="Arial" w:eastAsia="Arial" w:hAnsi="Arial"/>
          <w:sz w:val="19"/>
          <w:szCs w:val="19"/>
          <w:b w:val="1"/>
          <w:bCs w:val="1"/>
          <w:color w:val="auto"/>
        </w:rPr>
      </w:pPr>
      <w:r>
        <w:rPr>
          <w:rFonts w:ascii="Arial" w:cs="Arial" w:eastAsia="Arial" w:hAnsi="Arial"/>
          <w:sz w:val="19"/>
          <w:szCs w:val="19"/>
          <w:i w:val="1"/>
          <w:iCs w:val="1"/>
          <w:color w:val="auto"/>
        </w:rPr>
        <w:t>Acquired Business Exception</w:t>
      </w:r>
      <w:r>
        <w:rPr>
          <w:rFonts w:ascii="Arial" w:cs="Arial" w:eastAsia="Arial" w:hAnsi="Arial"/>
          <w:sz w:val="19"/>
          <w:szCs w:val="19"/>
          <w:color w:val="auto"/>
        </w:rPr>
        <w:t>. Notwithstanding</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2.7(a)</w:t>
      </w:r>
      <w:r>
        <w:rPr>
          <w:rFonts w:ascii="Arial" w:cs="Arial" w:eastAsia="Arial" w:hAnsi="Arial"/>
          <w:sz w:val="19"/>
          <w:szCs w:val="19"/>
          <w:color w:val="auto"/>
        </w:rPr>
        <w:t>, in the event that, during the Exclusivity Term,</w:t>
      </w:r>
      <w:r>
        <w:rPr>
          <w:rFonts w:ascii="Arial" w:cs="Arial" w:eastAsia="Arial" w:hAnsi="Arial"/>
          <w:sz w:val="19"/>
          <w:szCs w:val="19"/>
          <w:i w:val="1"/>
          <w:iCs w:val="1"/>
          <w:color w:val="auto"/>
        </w:rPr>
        <w:t xml:space="preserve"> </w:t>
      </w:r>
      <w:r>
        <w:rPr>
          <w:rFonts w:ascii="Arial" w:cs="Arial" w:eastAsia="Arial" w:hAnsi="Arial"/>
          <w:sz w:val="19"/>
          <w:szCs w:val="19"/>
          <w:color w:val="auto"/>
        </w:rPr>
        <w:t>Arrowhead or any of its Affiliates acquires any assets or business, whether accomplished by way of merger, business combination, asset purchase, stock purchase or otherwise (the “</w:t>
      </w:r>
      <w:r>
        <w:rPr>
          <w:rFonts w:ascii="Arial" w:cs="Arial" w:eastAsia="Arial" w:hAnsi="Arial"/>
          <w:sz w:val="19"/>
          <w:szCs w:val="19"/>
          <w:b w:val="1"/>
          <w:bCs w:val="1"/>
          <w:color w:val="auto"/>
        </w:rPr>
        <w:t>Acquired Business</w:t>
      </w:r>
      <w:r>
        <w:rPr>
          <w:rFonts w:ascii="Arial" w:cs="Arial" w:eastAsia="Arial" w:hAnsi="Arial"/>
          <w:sz w:val="19"/>
          <w:szCs w:val="19"/>
          <w:color w:val="auto"/>
        </w:rPr>
        <w:t xml:space="preserve">”), and such Acquired Business, immediately prior to such acquisition, owns, has or includes any license or other right to any Competing Compound that would otherwise violate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then Arrowhead will (i) notify GSK of, as applicable, such Competing Compound in writing no later than forty-five (45) days after the consummation of such acquisition; and (ii) perform one of the following acts (and specify which of the following it will perform in the notice provided pursuant to subsection (c)(i) above, which decision will be final and binding on Arrowhead and its Affiliates), and in the case of all acts specified under the clauses below, except </w:t>
      </w:r>
      <w:r>
        <w:rPr>
          <w:rFonts w:ascii="Arial" w:cs="Arial" w:eastAsia="Arial" w:hAnsi="Arial"/>
          <w:sz w:val="19"/>
          <w:szCs w:val="19"/>
          <w:u w:val="single" w:color="auto"/>
          <w:color w:val="auto"/>
        </w:rPr>
        <w:t>Section 2.7(c)(ii)</w:t>
      </w:r>
      <w:r>
        <w:rPr>
          <w:rFonts w:ascii="Arial" w:cs="Arial" w:eastAsia="Arial" w:hAnsi="Arial"/>
          <w:sz w:val="19"/>
          <w:szCs w:val="19"/>
          <w:color w:val="auto"/>
        </w:rPr>
        <w:t xml:space="preserve">, Arrowhead and its Affiliates also will comply will the requirements specified in subsections (i) and (ii) of </w:t>
      </w:r>
      <w:r>
        <w:rPr>
          <w:rFonts w:ascii="Arial" w:cs="Arial" w:eastAsia="Arial" w:hAnsi="Arial"/>
          <w:sz w:val="19"/>
          <w:szCs w:val="19"/>
          <w:u w:val="single" w:color="auto"/>
          <w:color w:val="auto"/>
        </w:rPr>
        <w:t>Section 2.7(b)</w:t>
      </w:r>
      <w:r>
        <w:rPr>
          <w:rFonts w:ascii="Arial" w:cs="Arial" w:eastAsia="Arial" w:hAnsi="Arial"/>
          <w:sz w:val="19"/>
          <w:szCs w:val="19"/>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right="260" w:firstLine="8"/>
        <w:spacing w:after="0" w:line="266" w:lineRule="auto"/>
        <w:tabs>
          <w:tab w:leader="none" w:pos="43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jc w:val="both"/>
        <w:ind w:left="880" w:firstLine="789"/>
        <w:spacing w:after="0" w:line="248" w:lineRule="auto"/>
        <w:tabs>
          <w:tab w:leader="none" w:pos="2529" w:val="left"/>
        </w:tabs>
        <w:numPr>
          <w:ilvl w:val="2"/>
          <w:numId w:val="52"/>
        </w:numPr>
        <w:rPr>
          <w:rFonts w:ascii="Arial" w:cs="Arial" w:eastAsia="Arial" w:hAnsi="Arial"/>
          <w:sz w:val="21"/>
          <w:szCs w:val="21"/>
          <w:color w:val="auto"/>
        </w:rPr>
      </w:pPr>
      <w:r>
        <w:rPr>
          <w:rFonts w:ascii="Arial" w:cs="Arial" w:eastAsia="Arial" w:hAnsi="Arial"/>
          <w:sz w:val="21"/>
          <w:szCs w:val="21"/>
          <w:color w:val="auto"/>
        </w:rPr>
        <w:t>Arrowhead may elect to terminate the Development, Manufacture or Commercialization of, as applicable, such Competing Compound, in which case Arrowhead and its Affiliates will cease the Development, Manufacture or Commercialization of, as applicable, such Competing Compound as soon as reasonably practicable and in any event within one hundred and twenty (120) days after the consummation of the acquisition of the Acquired Business, giving due consideration to ethical concerns and requirements under Law and any agreements with Third Parties and notify the other Party in writing of such completed termination; or</w:t>
      </w:r>
    </w:p>
    <w:p>
      <w:pPr>
        <w:spacing w:after="0" w:line="176" w:lineRule="exact"/>
        <w:rPr>
          <w:rFonts w:ascii="Arial" w:cs="Arial" w:eastAsia="Arial" w:hAnsi="Arial"/>
          <w:sz w:val="21"/>
          <w:szCs w:val="21"/>
          <w:color w:val="auto"/>
        </w:rPr>
      </w:pPr>
    </w:p>
    <w:p>
      <w:pPr>
        <w:jc w:val="both"/>
        <w:ind w:left="880" w:firstLine="789"/>
        <w:spacing w:after="0" w:line="257" w:lineRule="auto"/>
        <w:tabs>
          <w:tab w:leader="none" w:pos="2589" w:val="left"/>
        </w:tabs>
        <w:numPr>
          <w:ilvl w:val="2"/>
          <w:numId w:val="52"/>
        </w:numPr>
        <w:rPr>
          <w:rFonts w:ascii="Arial" w:cs="Arial" w:eastAsia="Arial" w:hAnsi="Arial"/>
          <w:sz w:val="21"/>
          <w:szCs w:val="21"/>
          <w:color w:val="auto"/>
        </w:rPr>
      </w:pPr>
      <w:r>
        <w:rPr>
          <w:rFonts w:ascii="Arial" w:cs="Arial" w:eastAsia="Arial" w:hAnsi="Arial"/>
          <w:sz w:val="21"/>
          <w:szCs w:val="21"/>
          <w:color w:val="auto"/>
        </w:rPr>
        <w:t>Arrowhead may elect to divest itself (or cause its Affiliate to divest itself) of the Competing Compound and notify GSK in writing of such completed divestiture, provided that such divestiture is completed within eighteen (18) months after the consummation of the acquisition of the Acquired Business.</w:t>
      </w:r>
    </w:p>
    <w:p>
      <w:pPr>
        <w:spacing w:after="0" w:line="169" w:lineRule="exact"/>
        <w:rPr>
          <w:rFonts w:ascii="Arial" w:cs="Arial" w:eastAsia="Arial" w:hAnsi="Arial"/>
          <w:sz w:val="21"/>
          <w:szCs w:val="21"/>
          <w:color w:val="auto"/>
        </w:rPr>
      </w:pPr>
    </w:p>
    <w:p>
      <w:pPr>
        <w:jc w:val="both"/>
        <w:ind w:left="880" w:hanging="8"/>
        <w:spacing w:after="0" w:line="270" w:lineRule="auto"/>
        <w:tabs>
          <w:tab w:leader="none" w:pos="1792" w:val="left"/>
        </w:tabs>
        <w:numPr>
          <w:ilvl w:val="1"/>
          <w:numId w:val="53"/>
        </w:numPr>
        <w:rPr>
          <w:rFonts w:ascii="Arial" w:cs="Arial" w:eastAsia="Arial" w:hAnsi="Arial"/>
          <w:sz w:val="19"/>
          <w:szCs w:val="19"/>
          <w:b w:val="1"/>
          <w:bCs w:val="1"/>
          <w:color w:val="auto"/>
        </w:rPr>
      </w:pPr>
      <w:r>
        <w:rPr>
          <w:rFonts w:ascii="Arial" w:cs="Arial" w:eastAsia="Arial" w:hAnsi="Arial"/>
          <w:sz w:val="19"/>
          <w:szCs w:val="19"/>
          <w:i w:val="1"/>
          <w:iCs w:val="1"/>
          <w:color w:val="auto"/>
        </w:rPr>
        <w:t>Non-Controlling Business Exception</w:t>
      </w:r>
      <w:r>
        <w:rPr>
          <w:rFonts w:ascii="Arial" w:cs="Arial" w:eastAsia="Arial" w:hAnsi="Arial"/>
          <w:sz w:val="19"/>
          <w:szCs w:val="19"/>
          <w:color w:val="auto"/>
        </w:rPr>
        <w:t>. For the avoidance of doubt, and notwithstanding anything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to the contrary, nothing in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will be construed as prohibiting the acquisition by Arrowhead or any of its Affiliates of any non-controlling equity interest in any Person that owns or has any license or other right to any Competing Compound, provided that, as part of such transaction or a related transaction, (a) Arrowhead or such Affiliate is not granted any ownership, license, option or other interest in, as applicable, such Competing Compound;</w:t>
      </w:r>
    </w:p>
    <w:p>
      <w:pPr>
        <w:spacing w:after="0" w:line="4" w:lineRule="exact"/>
        <w:rPr>
          <w:rFonts w:ascii="Arial" w:cs="Arial" w:eastAsia="Arial" w:hAnsi="Arial"/>
          <w:sz w:val="19"/>
          <w:szCs w:val="19"/>
          <w:b w:val="1"/>
          <w:bCs w:val="1"/>
          <w:color w:val="auto"/>
        </w:rPr>
      </w:pPr>
    </w:p>
    <w:p>
      <w:pPr>
        <w:jc w:val="both"/>
        <w:ind w:left="880" w:hanging="8"/>
        <w:spacing w:after="0" w:line="280" w:lineRule="auto"/>
        <w:tabs>
          <w:tab w:leader="none" w:pos="1204" w:val="left"/>
        </w:tabs>
        <w:numPr>
          <w:ilvl w:val="1"/>
          <w:numId w:val="54"/>
        </w:numPr>
        <w:rPr>
          <w:rFonts w:ascii="Arial" w:cs="Arial" w:eastAsia="Arial" w:hAnsi="Arial"/>
          <w:sz w:val="19"/>
          <w:szCs w:val="19"/>
          <w:color w:val="auto"/>
        </w:rPr>
      </w:pPr>
      <w:r>
        <w:rPr>
          <w:rFonts w:ascii="Arial" w:cs="Arial" w:eastAsia="Arial" w:hAnsi="Arial"/>
          <w:sz w:val="19"/>
          <w:szCs w:val="19"/>
          <w:color w:val="auto"/>
        </w:rPr>
        <w:t>Arrowhead or such Affiliate is not granted any voting board seat or other right to direct the management of such Person; and (c) such Person is not granted by Arrowhead or such Affiliate any license or right to use any Joint Agreement Technology or Confidential Information of GSK supplied by or on behalf of GSK to Arrowhead hereunder in connection with the Development, Manufacture or Commercialization of, as applicable, such Competing Compound.</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License Grant to Arrowhead; Arrowhead Sublicensing; GSK Retained Rights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73" w:lineRule="auto"/>
        <w:tabs>
          <w:tab w:leader="none" w:pos="1780"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 xml:space="preserve">On the Effective Date and subject to the terms and conditions of this Agreement (including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as applicable), GSK, on behalf of itself and its Affiliates, hereby grants to Arrowhead and its Affiliates (i) an exclusive (even as to GSK and its Affiliates, subject to the GSK Retained Rights), royalty-free, sublicensable (in accordance with </w:t>
      </w:r>
      <w:r>
        <w:rPr>
          <w:rFonts w:ascii="Arial" w:cs="Arial" w:eastAsia="Arial" w:hAnsi="Arial"/>
          <w:sz w:val="19"/>
          <w:szCs w:val="19"/>
          <w:u w:val="single" w:color="auto"/>
          <w:color w:val="auto"/>
        </w:rPr>
        <w:t>Section 2.8(b)</w:t>
      </w:r>
      <w:r>
        <w:rPr>
          <w:rFonts w:ascii="Arial" w:cs="Arial" w:eastAsia="Arial" w:hAnsi="Arial"/>
          <w:sz w:val="19"/>
          <w:szCs w:val="19"/>
          <w:color w:val="auto"/>
        </w:rPr>
        <w:t xml:space="preserve">), transferable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license under the GSK Licensed Technology and GSK’s interest in the Joint Agreement Technology to Develop, Manufacture (including to have Manufactured) and Commercialize the Compound and any Products in the Field in the Arrowhead Territory, and (ii) a non-exclusive, royalty-free, sublicensable (in accordance with </w:t>
      </w:r>
      <w:r>
        <w:rPr>
          <w:rFonts w:ascii="Arial" w:cs="Arial" w:eastAsia="Arial" w:hAnsi="Arial"/>
          <w:sz w:val="19"/>
          <w:szCs w:val="19"/>
          <w:u w:val="single" w:color="auto"/>
          <w:color w:val="auto"/>
        </w:rPr>
        <w:t>Section 2.8(b)</w:t>
      </w:r>
      <w:r>
        <w:rPr>
          <w:rFonts w:ascii="Arial" w:cs="Arial" w:eastAsia="Arial" w:hAnsi="Arial"/>
          <w:sz w:val="19"/>
          <w:szCs w:val="19"/>
          <w:color w:val="auto"/>
        </w:rPr>
        <w:t xml:space="preserve">), transferable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license under the GSK Licensed Technology and GSK’s interest in the Joint Agreement Technology to Manufacture (including to have Manufactured) the Compound and any Products in the GSK Territory solely for Development and Commercialization of the Compound and any Product in the Field in the Arrowhead Territory.</w:t>
      </w:r>
    </w:p>
    <w:p>
      <w:pPr>
        <w:spacing w:after="0" w:line="160" w:lineRule="exact"/>
        <w:rPr>
          <w:rFonts w:ascii="Arial" w:cs="Arial" w:eastAsia="Arial" w:hAnsi="Arial"/>
          <w:sz w:val="19"/>
          <w:szCs w:val="19"/>
          <w:b w:val="1"/>
          <w:bCs w:val="1"/>
          <w:color w:val="auto"/>
        </w:rPr>
      </w:pPr>
    </w:p>
    <w:p>
      <w:pPr>
        <w:ind w:left="880" w:hanging="8"/>
        <w:spacing w:after="0" w:line="250" w:lineRule="auto"/>
        <w:tabs>
          <w:tab w:leader="none" w:pos="1792"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Arrowhead (or any of its Affiliates) shall have the right to grant sublicenses (including the right to grant further sublicenses through multiple tiers), in whole or in part,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right="260" w:firstLine="8"/>
        <w:spacing w:after="0" w:line="266" w:lineRule="auto"/>
        <w:tabs>
          <w:tab w:leader="none" w:pos="43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45" w:lineRule="auto"/>
        <w:rPr>
          <w:sz w:val="20"/>
          <w:szCs w:val="20"/>
          <w:color w:val="auto"/>
        </w:rPr>
      </w:pPr>
      <w:r>
        <w:rPr>
          <w:rFonts w:ascii="Arial" w:cs="Arial" w:eastAsia="Arial" w:hAnsi="Arial"/>
          <w:sz w:val="21"/>
          <w:szCs w:val="21"/>
          <w:color w:val="auto"/>
        </w:rPr>
        <w:t xml:space="preserve">under the licenses granted in this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to any Third Party; provided that (i) each such sublicense will be in writing and shall require the applicable sublicensee to comply with all applicable terms and conditions of this Agreement, including obligations of confidentiality, non-disclosure and non-use of Confidential Information, and allocation of intellectual property rights that are at least as restrictive or protective of Confidential Information or intellectual property rights (including with respect to GSK Licensed Technology, Arrowhead Agreement Technology, and Joint Agreement Technology) as set forth in this Agreement; and (ii) Arrowhead shall remain primarily liable to GSK for the performance of all of Arrowhead’s obligations under, and Arrowhead’s compliance with all provisions of, this Agreement and GSK will have the right to proceed directly against Arrowhead without any obligation to first proceed against the sublicensee.</w:t>
      </w:r>
    </w:p>
    <w:p>
      <w:pPr>
        <w:spacing w:after="0" w:line="184" w:lineRule="exact"/>
        <w:rPr>
          <w:sz w:val="20"/>
          <w:szCs w:val="20"/>
          <w:color w:val="auto"/>
        </w:rPr>
      </w:pPr>
    </w:p>
    <w:p>
      <w:pPr>
        <w:ind w:left="1760" w:hanging="888"/>
        <w:spacing w:after="0"/>
        <w:tabs>
          <w:tab w:leader="none" w:pos="176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exclusive license granted by GSK to Arrowhead and its Affiliates under </w:t>
      </w:r>
      <w:r>
        <w:rPr>
          <w:rFonts w:ascii="Arial" w:cs="Arial" w:eastAsia="Arial" w:hAnsi="Arial"/>
          <w:sz w:val="19"/>
          <w:szCs w:val="19"/>
          <w:u w:val="single" w:color="auto"/>
          <w:color w:val="auto"/>
        </w:rPr>
        <w:t>Section 2.8(a)</w:t>
      </w:r>
    </w:p>
    <w:p>
      <w:pPr>
        <w:spacing w:after="0" w:line="42" w:lineRule="exact"/>
        <w:rPr>
          <w:rFonts w:ascii="Arial" w:cs="Arial" w:eastAsia="Arial" w:hAnsi="Arial"/>
          <w:sz w:val="19"/>
          <w:szCs w:val="19"/>
          <w:b w:val="1"/>
          <w:bCs w:val="1"/>
          <w:color w:val="auto"/>
        </w:rPr>
      </w:pPr>
    </w:p>
    <w:p>
      <w:pPr>
        <w:jc w:val="both"/>
        <w:ind w:left="880"/>
        <w:spacing w:after="0" w:line="277" w:lineRule="auto"/>
        <w:rPr>
          <w:rFonts w:ascii="Arial" w:cs="Arial" w:eastAsia="Arial" w:hAnsi="Arial"/>
          <w:sz w:val="19"/>
          <w:szCs w:val="19"/>
          <w:b w:val="1"/>
          <w:bCs w:val="1"/>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GSK retains the non-exclusive right under the GSK Licensed Technology and GSK’s interest in the Joint Agreement Technology for itself, its Affiliates, its Sublicensees and its Third Party subcontractors to Manufacture and have Manufactured the Compound and any Products in the Arrowhead Territory solely for purposes of (i) Developing the Compound and any Products for purposes of obtaining Regulatory Approval of such Products in the GSK Territory or (ii) Commercializing such Products in the GSK Territory (collectively, the “</w:t>
      </w:r>
      <w:r>
        <w:rPr>
          <w:rFonts w:ascii="Arial" w:cs="Arial" w:eastAsia="Arial" w:hAnsi="Arial"/>
          <w:sz w:val="19"/>
          <w:szCs w:val="19"/>
          <w:b w:val="1"/>
          <w:bCs w:val="1"/>
          <w:color w:val="auto"/>
        </w:rPr>
        <w:t>GSK Retained Rights</w:t>
      </w:r>
      <w:r>
        <w:rPr>
          <w:rFonts w:ascii="Arial" w:cs="Arial" w:eastAsia="Arial" w:hAnsi="Arial"/>
          <w:sz w:val="19"/>
          <w:szCs w:val="19"/>
          <w:color w:val="auto"/>
        </w:rPr>
        <w:t>”).</w:t>
      </w:r>
    </w:p>
    <w:p>
      <w:pPr>
        <w:spacing w:after="0" w:line="14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Third Party In-Licenses Payments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80" w:right="20" w:hanging="8"/>
        <w:spacing w:after="0" w:line="250" w:lineRule="auto"/>
        <w:tabs>
          <w:tab w:leader="none" w:pos="178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Arrowhead will be responsible for all payments associated with any agreements related to the Arrowhead Technology that exist as of the Effective Date, except as otherwise agreed by GSK in writing.</w:t>
      </w:r>
    </w:p>
    <w:p>
      <w:pPr>
        <w:spacing w:after="0" w:line="174" w:lineRule="exact"/>
        <w:rPr>
          <w:rFonts w:ascii="Arial" w:cs="Arial" w:eastAsia="Arial" w:hAnsi="Arial"/>
          <w:sz w:val="22"/>
          <w:szCs w:val="22"/>
          <w:b w:val="1"/>
          <w:bCs w:val="1"/>
          <w:color w:val="auto"/>
        </w:rPr>
      </w:pPr>
    </w:p>
    <w:p>
      <w:pPr>
        <w:jc w:val="both"/>
        <w:ind w:left="880" w:hanging="8"/>
        <w:spacing w:after="0" w:line="274" w:lineRule="auto"/>
        <w:tabs>
          <w:tab w:leader="none" w:pos="1792"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During the Term, prior to Arrowhead (or any of its Affiliates) entering into any agreement with a Third Party pursuant to which Arrowhead (or its Affiliate) would in-license any Know-How or Patents that would, but for requirements of Section 1.55(b), be deemed to be Arrowhead Technology (such agreement, if entered into by Arrowhead or its Affiliate, an “</w:t>
      </w:r>
      <w:r>
        <w:rPr>
          <w:rFonts w:ascii="Arial" w:cs="Arial" w:eastAsia="Arial" w:hAnsi="Arial"/>
          <w:sz w:val="19"/>
          <w:szCs w:val="19"/>
          <w:b w:val="1"/>
          <w:bCs w:val="1"/>
          <w:color w:val="auto"/>
        </w:rPr>
        <w:t>Arrowhead Third Party Agreement</w:t>
      </w:r>
      <w:r>
        <w:rPr>
          <w:rFonts w:ascii="Arial" w:cs="Arial" w:eastAsia="Arial" w:hAnsi="Arial"/>
          <w:sz w:val="19"/>
          <w:szCs w:val="19"/>
          <w:color w:val="auto"/>
        </w:rPr>
        <w:t xml:space="preserve">”), Arrowhead will provide written notice to GSK of Arrowhead’s (or its Affiliate’s) intent to enter into such proposed Arrowhead Third Party Agreement, along with reasonably detailed information regarding the proposed financial terms, as well as any other material terms applicable to sublicensees, under such proposed Arrowhead Third Party Agreement and the relevant Know-How or Patents owned or otherwise controlled by such Third Party that are proposed to be included as Arrowhead Technology if GSK elects to take a sublicense with respect to such proposed Arrowhead Third Party Agreement pursuant to </w:t>
      </w:r>
      <w:r>
        <w:rPr>
          <w:rFonts w:ascii="Arial" w:cs="Arial" w:eastAsia="Arial" w:hAnsi="Arial"/>
          <w:sz w:val="19"/>
          <w:szCs w:val="19"/>
          <w:u w:val="single" w:color="auto"/>
          <w:color w:val="auto"/>
        </w:rPr>
        <w:t>Section 2.9(b)(ii)</w:t>
      </w:r>
      <w:r>
        <w:rPr>
          <w:rFonts w:ascii="Arial" w:cs="Arial" w:eastAsia="Arial" w:hAnsi="Arial"/>
          <w:sz w:val="19"/>
          <w:szCs w:val="19"/>
          <w:color w:val="auto"/>
        </w:rPr>
        <w:t>.</w:t>
      </w:r>
    </w:p>
    <w:p>
      <w:pPr>
        <w:spacing w:after="0" w:line="158" w:lineRule="exact"/>
        <w:rPr>
          <w:rFonts w:ascii="Arial" w:cs="Arial" w:eastAsia="Arial" w:hAnsi="Arial"/>
          <w:sz w:val="19"/>
          <w:szCs w:val="19"/>
          <w:b w:val="1"/>
          <w:bCs w:val="1"/>
          <w:color w:val="auto"/>
        </w:rPr>
      </w:pPr>
    </w:p>
    <w:p>
      <w:pPr>
        <w:jc w:val="both"/>
        <w:ind w:left="880" w:firstLine="789"/>
        <w:spacing w:after="0" w:line="249" w:lineRule="auto"/>
        <w:tabs>
          <w:tab w:leader="none" w:pos="2529" w:val="left"/>
        </w:tabs>
        <w:numPr>
          <w:ilvl w:val="1"/>
          <w:numId w:val="58"/>
        </w:numPr>
        <w:rPr>
          <w:rFonts w:ascii="Arial" w:cs="Arial" w:eastAsia="Arial" w:hAnsi="Arial"/>
          <w:sz w:val="21"/>
          <w:szCs w:val="21"/>
          <w:color w:val="auto"/>
        </w:rPr>
      </w:pPr>
      <w:r>
        <w:rPr>
          <w:rFonts w:ascii="Arial" w:cs="Arial" w:eastAsia="Arial" w:hAnsi="Arial"/>
          <w:sz w:val="21"/>
          <w:szCs w:val="21"/>
          <w:color w:val="auto"/>
        </w:rPr>
        <w:t>Prior to Arrowhead executing any such proposed Arrowhead Third Party Agreement, the Parties, through the Patent Working Group, shall confer to discuss whether it is in best interest of the Parties, in respect of their respective rights to Develop, Manufacture and Commercialize the Compound and the Products in their respective Territory in accordance with this Agreement, for Arrowhead (or its Affiliate) to enter into such proposed Arrowhead Third Party Agreement. Arrowhead (or its Affiliate) shall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-1870075</wp:posOffset>
            </wp:positionV>
            <wp:extent cx="8801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right="260" w:firstLine="8"/>
        <w:spacing w:after="0" w:line="266" w:lineRule="auto"/>
        <w:tabs>
          <w:tab w:leader="none" w:pos="43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74" w:lineRule="auto"/>
        <w:rPr>
          <w:sz w:val="20"/>
          <w:szCs w:val="20"/>
          <w:color w:val="auto"/>
        </w:rPr>
      </w:pPr>
      <w:r>
        <w:rPr>
          <w:rFonts w:ascii="Arial" w:cs="Arial" w:eastAsia="Arial" w:hAnsi="Arial"/>
          <w:sz w:val="19"/>
          <w:szCs w:val="19"/>
          <w:color w:val="auto"/>
        </w:rPr>
        <w:t xml:space="preserve">Commercially Reasonable Efforts to obtain sublicensable rights or licenses under the relevant Know-How or Patents pursuant to such Arrowhead Third Party Agreement on terms substantially consistent with the rights and licenses granted to GSK under the Arrowhead Technology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(but, in all cases, in any manner where the financial terms of such proposed Arrowhead Third Party Agreement do not disproportionately disadvantage the Compound or any Product vis-à-vis any other compound or product under such proposed Arrowhead Third Party Agreement); provided that, prior to Arrowhead executing any such Arrowhead Third Party Agreement, the Parties shall, acting reasonably and in good faith, negotiate and mutually agree on GSK’s pro rata share of any payment obligations under such Arrowhead Third Party Agreement that would be applicable to GSK as a sublicensee in the event that GSK elects to take a sublicense under such Arrowhead Third Party Agreement pursuant to </w:t>
      </w:r>
      <w:r>
        <w:rPr>
          <w:rFonts w:ascii="Arial" w:cs="Arial" w:eastAsia="Arial" w:hAnsi="Arial"/>
          <w:sz w:val="19"/>
          <w:szCs w:val="19"/>
          <w:u w:val="single" w:color="auto"/>
          <w:color w:val="auto"/>
        </w:rPr>
        <w:t>Section 2.9(b)(ii)</w:t>
      </w:r>
      <w:r>
        <w:rPr>
          <w:rFonts w:ascii="Arial" w:cs="Arial" w:eastAsia="Arial" w:hAnsi="Arial"/>
          <w:sz w:val="19"/>
          <w:szCs w:val="19"/>
          <w:color w:val="auto"/>
        </w:rPr>
        <w:t>.</w:t>
      </w:r>
    </w:p>
    <w:p>
      <w:pPr>
        <w:spacing w:after="0" w:line="158" w:lineRule="exact"/>
        <w:rPr>
          <w:sz w:val="20"/>
          <w:szCs w:val="20"/>
          <w:color w:val="auto"/>
        </w:rPr>
      </w:pPr>
    </w:p>
    <w:p>
      <w:pPr>
        <w:jc w:val="both"/>
        <w:ind w:left="880" w:firstLine="789"/>
        <w:spacing w:after="0" w:line="245" w:lineRule="auto"/>
        <w:tabs>
          <w:tab w:leader="none" w:pos="2589"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If Arrowhead (or its Affiliate) is successful in obtaining such sublicensable rights or licenses under such Arrowhead Third Party Agreement, GSK shall have the right, by delivery of notice to Arrowhead, to elect to take a sublicense under such relevant Know-How or Patents in-licensed by Arrowhead (or its Affiliate) under such Arrowhead Third Party Agreement, in which case GSK agrees to comply, and will cause its Affiliates and Sublicensees to comply, with any applicable obligations under such Third Party in-licensing agreement that apply to GSK (or its Affiliates or Sublicensees) as sublicensees thereunder and of which GSK was informed by Arrowhead in writing prior to such election by GSK pursuant to this </w:t>
      </w:r>
      <w:r>
        <w:rPr>
          <w:rFonts w:ascii="Arial" w:cs="Arial" w:eastAsia="Arial" w:hAnsi="Arial"/>
          <w:sz w:val="21"/>
          <w:szCs w:val="21"/>
          <w:u w:val="single" w:color="auto"/>
          <w:color w:val="auto"/>
        </w:rPr>
        <w:t>Section 2.9(b)(ii)</w:t>
      </w:r>
      <w:r>
        <w:rPr>
          <w:rFonts w:ascii="Arial" w:cs="Arial" w:eastAsia="Arial" w:hAnsi="Arial"/>
          <w:sz w:val="21"/>
          <w:szCs w:val="21"/>
          <w:color w:val="auto"/>
        </w:rPr>
        <w:t xml:space="preserve">, including any obligation to make GSK’s pro rata share of such payments as mutually agreed by the Parties pursuant to </w:t>
      </w:r>
      <w:r>
        <w:rPr>
          <w:rFonts w:ascii="Arial" w:cs="Arial" w:eastAsia="Arial" w:hAnsi="Arial"/>
          <w:sz w:val="21"/>
          <w:szCs w:val="21"/>
          <w:u w:val="single" w:color="auto"/>
          <w:color w:val="auto"/>
        </w:rPr>
        <w:t>Section 2.9(b)(i)</w:t>
      </w:r>
      <w:r>
        <w:rPr>
          <w:rFonts w:ascii="Arial" w:cs="Arial" w:eastAsia="Arial" w:hAnsi="Arial"/>
          <w:sz w:val="21"/>
          <w:szCs w:val="21"/>
          <w:color w:val="auto"/>
        </w:rPr>
        <w:t xml:space="preserve">, subject to the payment terms set forth in </w:t>
      </w:r>
      <w:r>
        <w:rPr>
          <w:rFonts w:ascii="Arial" w:cs="Arial" w:eastAsia="Arial" w:hAnsi="Arial"/>
          <w:sz w:val="21"/>
          <w:szCs w:val="21"/>
          <w:u w:val="single" w:color="auto"/>
          <w:color w:val="auto"/>
        </w:rPr>
        <w:t>Section 5.5</w:t>
      </w:r>
      <w:r>
        <w:rPr>
          <w:rFonts w:ascii="Arial" w:cs="Arial" w:eastAsia="Arial" w:hAnsi="Arial"/>
          <w:sz w:val="21"/>
          <w:szCs w:val="21"/>
          <w:color w:val="auto"/>
        </w:rPr>
        <w:t>.</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GSK Opt-In Right</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33" w:lineRule="auto"/>
        <w:tabs>
          <w:tab w:leader="none" w:pos="1780"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If at any time during the Term, (i) Arrowhead (or its Affiliate) desires to grant a license, sublicense or other right to any Third Party (but excluding [***] and any such grant to distributors or subcontractors performing activities by or on behalf of Arrowhead or its Affiliates) under the Arrowhead Technology to Develop, Manufacture or Commercialize the Compound and Products in the Arrowhead Territory (each, a “</w:t>
      </w:r>
      <w:r>
        <w:rPr>
          <w:rFonts w:ascii="Arial" w:cs="Arial" w:eastAsia="Arial" w:hAnsi="Arial"/>
          <w:sz w:val="22"/>
          <w:szCs w:val="22"/>
          <w:b w:val="1"/>
          <w:bCs w:val="1"/>
          <w:color w:val="auto"/>
        </w:rPr>
        <w:t>Triggering Transaction</w:t>
      </w:r>
      <w:r>
        <w:rPr>
          <w:rFonts w:ascii="Arial" w:cs="Arial" w:eastAsia="Arial" w:hAnsi="Arial"/>
          <w:sz w:val="22"/>
          <w:szCs w:val="22"/>
          <w:color w:val="auto"/>
        </w:rPr>
        <w:t>”), or (ii) [***], in each case ((i) or (ii)), Arrowhead shall notify GSK thereof and GSK (or any of its Affiliates) shall have the right to elect, by delivery of notice (the “</w:t>
      </w:r>
      <w:r>
        <w:rPr>
          <w:rFonts w:ascii="Arial" w:cs="Arial" w:eastAsia="Arial" w:hAnsi="Arial"/>
          <w:sz w:val="22"/>
          <w:szCs w:val="22"/>
          <w:b w:val="1"/>
          <w:bCs w:val="1"/>
          <w:color w:val="auto"/>
        </w:rPr>
        <w:t>Opt-In Exercise Notice</w:t>
      </w:r>
      <w:r>
        <w:rPr>
          <w:rFonts w:ascii="Arial" w:cs="Arial" w:eastAsia="Arial" w:hAnsi="Arial"/>
          <w:sz w:val="22"/>
          <w:szCs w:val="22"/>
          <w:color w:val="auto"/>
        </w:rPr>
        <w:t>”) to Arrowhead within [***] following GSK’s receipt of such notice (the “</w:t>
      </w:r>
      <w:r>
        <w:rPr>
          <w:rFonts w:ascii="Arial" w:cs="Arial" w:eastAsia="Arial" w:hAnsi="Arial"/>
          <w:sz w:val="22"/>
          <w:szCs w:val="22"/>
          <w:b w:val="1"/>
          <w:bCs w:val="1"/>
          <w:color w:val="auto"/>
        </w:rPr>
        <w:t>Opt-In Exercise Period</w:t>
      </w:r>
      <w:r>
        <w:rPr>
          <w:rFonts w:ascii="Arial" w:cs="Arial" w:eastAsia="Arial" w:hAnsi="Arial"/>
          <w:sz w:val="22"/>
          <w:szCs w:val="22"/>
          <w:color w:val="auto"/>
        </w:rPr>
        <w:t>”), to negotiate, on an exclusive basis, to obtain the exclusive rights to Develop, Manufacture and Commercialize the Compound and Product(s) in the Arrowhead Territory (the “</w:t>
      </w:r>
      <w:r>
        <w:rPr>
          <w:rFonts w:ascii="Arial" w:cs="Arial" w:eastAsia="Arial" w:hAnsi="Arial"/>
          <w:sz w:val="22"/>
          <w:szCs w:val="22"/>
          <w:b w:val="1"/>
          <w:bCs w:val="1"/>
          <w:color w:val="auto"/>
        </w:rPr>
        <w:t>Opt-In</w:t>
      </w:r>
      <w:r>
        <w:rPr>
          <w:rFonts w:ascii="Arial" w:cs="Arial" w:eastAsia="Arial" w:hAnsi="Arial"/>
          <w:sz w:val="22"/>
          <w:szCs w:val="22"/>
          <w:color w:val="auto"/>
        </w:rPr>
        <w:t xml:space="preserve"> </w:t>
      </w:r>
      <w:r>
        <w:rPr>
          <w:rFonts w:ascii="Arial" w:cs="Arial" w:eastAsia="Arial" w:hAnsi="Arial"/>
          <w:sz w:val="22"/>
          <w:szCs w:val="22"/>
          <w:b w:val="1"/>
          <w:bCs w:val="1"/>
          <w:color w:val="auto"/>
        </w:rPr>
        <w:t>Right</w:t>
      </w:r>
      <w:r>
        <w:rPr>
          <w:rFonts w:ascii="Arial" w:cs="Arial" w:eastAsia="Arial" w:hAnsi="Arial"/>
          <w:sz w:val="22"/>
          <w:szCs w:val="22"/>
          <w:color w:val="auto"/>
        </w:rPr>
        <w:t>”).</w:t>
      </w:r>
    </w:p>
    <w:p>
      <w:pPr>
        <w:spacing w:after="0" w:line="192" w:lineRule="exact"/>
        <w:rPr>
          <w:rFonts w:ascii="Arial" w:cs="Arial" w:eastAsia="Arial" w:hAnsi="Arial"/>
          <w:sz w:val="22"/>
          <w:szCs w:val="22"/>
          <w:b w:val="1"/>
          <w:bCs w:val="1"/>
          <w:color w:val="auto"/>
        </w:rPr>
      </w:pPr>
    </w:p>
    <w:p>
      <w:pPr>
        <w:jc w:val="both"/>
        <w:ind w:left="880" w:hanging="8"/>
        <w:spacing w:after="0" w:line="235" w:lineRule="auto"/>
        <w:tabs>
          <w:tab w:leader="none" w:pos="1792"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If GSK delivers an Opt-In Exercise Notice to Arrowhead during the Opt-In Exercise Period pursuant to </w:t>
      </w:r>
      <w:r>
        <w:rPr>
          <w:rFonts w:ascii="Arial" w:cs="Arial" w:eastAsia="Arial" w:hAnsi="Arial"/>
          <w:sz w:val="22"/>
          <w:szCs w:val="22"/>
          <w:u w:val="single" w:color="auto"/>
          <w:color w:val="auto"/>
        </w:rPr>
        <w:t>Section 2.10(a)</w:t>
      </w:r>
      <w:r>
        <w:rPr>
          <w:rFonts w:ascii="Arial" w:cs="Arial" w:eastAsia="Arial" w:hAnsi="Arial"/>
          <w:sz w:val="22"/>
          <w:szCs w:val="22"/>
          <w:color w:val="auto"/>
        </w:rPr>
        <w:t>, for a period of up to [***] thereafter (the “</w:t>
      </w:r>
      <w:r>
        <w:rPr>
          <w:rFonts w:ascii="Arial" w:cs="Arial" w:eastAsia="Arial" w:hAnsi="Arial"/>
          <w:sz w:val="22"/>
          <w:szCs w:val="22"/>
          <w:b w:val="1"/>
          <w:bCs w:val="1"/>
          <w:color w:val="auto"/>
        </w:rPr>
        <w:t>Negotiation Period</w:t>
      </w:r>
      <w:r>
        <w:rPr>
          <w:rFonts w:ascii="Arial" w:cs="Arial" w:eastAsia="Arial" w:hAnsi="Arial"/>
          <w:sz w:val="22"/>
          <w:szCs w:val="22"/>
          <w:color w:val="auto"/>
        </w:rPr>
        <w:t>”), the Parties shall negotiate, acting reasonably and in good faith, on an exclusive basis, the financial terms pursuant to which Arrowhead shall grant to GSK (and its Affiliates) the exclusive right to Develop, Manufacture and Commercialize the Compound and Product(s) in the Arrowhead Territory under an amendment to this Agreement, which financial terms shall include [***]. Notwithstanding anything to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right="260" w:firstLine="8"/>
        <w:spacing w:after="0" w:line="266" w:lineRule="auto"/>
        <w:tabs>
          <w:tab w:leader="none" w:pos="43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right="20"/>
        <w:spacing w:after="0" w:line="274" w:lineRule="auto"/>
        <w:rPr>
          <w:sz w:val="20"/>
          <w:szCs w:val="20"/>
          <w:color w:val="auto"/>
        </w:rPr>
      </w:pPr>
      <w:r>
        <w:rPr>
          <w:rFonts w:ascii="Arial" w:cs="Arial" w:eastAsia="Arial" w:hAnsi="Arial"/>
          <w:sz w:val="21"/>
          <w:szCs w:val="21"/>
          <w:color w:val="auto"/>
        </w:rPr>
        <w:t>contrary set forth herein, during the Negotiation Period, Arrowhead shall not (and shall cause its Affiliates to not) negotiate, discuss or enter into any definitive agreement with any Third Party for a Triggering Transaction.</w:t>
      </w:r>
    </w:p>
    <w:p>
      <w:pPr>
        <w:spacing w:after="0" w:line="151" w:lineRule="exact"/>
        <w:rPr>
          <w:sz w:val="20"/>
          <w:szCs w:val="20"/>
          <w:color w:val="auto"/>
        </w:rPr>
      </w:pPr>
    </w:p>
    <w:p>
      <w:pPr>
        <w:jc w:val="both"/>
        <w:ind w:left="880" w:hanging="8"/>
        <w:spacing w:after="0" w:line="270" w:lineRule="auto"/>
        <w:tabs>
          <w:tab w:leader="none" w:pos="1768"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 xml:space="preserve">Upon the Parties mutually agreeing on such financial terms pursuant to Section 2.10(b) (or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as applicable), the Parties shall promptly (but in any event prior to the expiration of the Negotiation Period) enter into an amendment to this Agreement reflecting such financial terms. Following the execution of such amendment, (i) the GSK Territory shall thereafter be deemed to include the Arrowhead Territory and, subject to the terms and conditions of this Agreement, GSK shall have the exclusive right, and sole responsibility and decision-making authority, to Develop, Manufacture (including to have Manufactured) and Commercialize the Compound and any Products in the Field in such former Arrowhead Territory, (ii) the rights and licenses granted to Arrowhead under this Agreement with respect to the Arrowhead Territory shall automatically terminate, including (A) the licenses granted pursuant to Section 2.8, and (B) Arrowhead’s right to consent to any of GSK’s press releases or public statements pursuant to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(provided that Arrowhead shall retain its right to review any of GSK’s publication in order to have Confidential Information of Arrowhead removed and to delay such publication as necessary to prepare and file any patent applications as permitted under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(iii) Arrowhead and its Affiliates shall cease any and all Development, Manufacturing and Commercialization of the Compound and Products in Greater China (including any Manufacturing in the GSK Territory in connection therewith), in each case, except that such rights and licenses of Arrowhead and its Affiliates under this Agreement, including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may continue solely to the extent necessary for Arrowhead and its Affiliates to promptly and diligently complete any of its continuing obligations under this Agreement or Law, including any obligations of Arrowhead under the Transition Plan agreed to by the Parties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(iv) Arrowhead shall have no further reporting obligations under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other than any reports deliverable prior to the date on which GSK acquires such rights to Greater China, and (v) GSK shall have no obligation to provide any additional information pursuant to </w:t>
      </w:r>
      <w:r>
        <w:rPr>
          <w:rFonts w:ascii="Arial" w:cs="Arial" w:eastAsia="Arial" w:hAnsi="Arial"/>
          <w:sz w:val="19"/>
          <w:szCs w:val="19"/>
          <w:u w:val="single" w:color="auto"/>
          <w:color w:val="auto"/>
        </w:rPr>
        <w:t>Section 3.8(c)</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05" w:lineRule="exact"/>
        <w:rPr>
          <w:rFonts w:ascii="Arial" w:cs="Arial" w:eastAsia="Arial" w:hAnsi="Arial"/>
          <w:sz w:val="19"/>
          <w:szCs w:val="19"/>
          <w:b w:val="1"/>
          <w:bCs w:val="1"/>
          <w:color w:val="auto"/>
        </w:rPr>
      </w:pPr>
    </w:p>
    <w:p>
      <w:pPr>
        <w:jc w:val="both"/>
        <w:ind w:left="880" w:hanging="8"/>
        <w:spacing w:after="0" w:line="244" w:lineRule="auto"/>
        <w:tabs>
          <w:tab w:leader="none" w:pos="1792"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 xml:space="preserve">Promptly following the Parties entering into an amendment pursuant to </w:t>
      </w:r>
      <w:r>
        <w:rPr>
          <w:rFonts w:ascii="Arial" w:cs="Arial" w:eastAsia="Arial" w:hAnsi="Arial"/>
          <w:sz w:val="21"/>
          <w:szCs w:val="21"/>
          <w:u w:val="single" w:color="auto"/>
          <w:color w:val="auto"/>
        </w:rPr>
        <w:t>Section 2.10(c)</w:t>
      </w:r>
      <w:r>
        <w:rPr>
          <w:rFonts w:ascii="Arial" w:cs="Arial" w:eastAsia="Arial" w:hAnsi="Arial"/>
          <w:sz w:val="21"/>
          <w:szCs w:val="21"/>
          <w:color w:val="auto"/>
        </w:rPr>
        <w:t>, the Parties will discuss in good faith and agree upon a transition plan (“</w:t>
      </w:r>
      <w:r>
        <w:rPr>
          <w:rFonts w:ascii="Arial" w:cs="Arial" w:eastAsia="Arial" w:hAnsi="Arial"/>
          <w:sz w:val="21"/>
          <w:szCs w:val="21"/>
          <w:b w:val="1"/>
          <w:bCs w:val="1"/>
          <w:color w:val="auto"/>
        </w:rPr>
        <w:t>Transition Plan</w:t>
      </w:r>
      <w:r>
        <w:rPr>
          <w:rFonts w:ascii="Arial" w:cs="Arial" w:eastAsia="Arial" w:hAnsi="Arial"/>
          <w:sz w:val="21"/>
          <w:szCs w:val="21"/>
          <w:color w:val="auto"/>
        </w:rPr>
        <w:t xml:space="preserve">”), which will include, at a minimum, (i) the transfer of any Regulatory Documents and Regulatory Approvals for any Products in the former Arrowhead Territory to GSK (or its designee), including all INDs and NDAs, (ii) the transfer of all rights in and to any trademarks for the Products in the former Arrowhead Territory to GSK, including all goodwill in such trademarks and all internet domain names incorporating any such trademark, (iii) the transition of any ongoing Development or Manufacturing activities with respect to the Compound or any Product being conducted by Arrowhead or any of its Affiliates, licensees or sublicensees in the former Arrowhead Territory prior to the effective date of such amendment, including, at GSK’s election, the transition, continuation or wind-down of any Clinical Trials that are being conducted by or under the authority of Arrowhead or any of its Affiliates, licensees or sublicensees at the time of GSK’s exercise of the Opt-In Right under this </w:t>
      </w:r>
      <w:r>
        <w:rPr>
          <w:rFonts w:ascii="Arial" w:cs="Arial" w:eastAsia="Arial" w:hAnsi="Arial"/>
          <w:sz w:val="21"/>
          <w:szCs w:val="21"/>
          <w:u w:val="single" w:color="auto"/>
          <w:color w:val="auto"/>
        </w:rPr>
        <w:t>Section 2.10</w:t>
      </w:r>
      <w:r>
        <w:rPr>
          <w:rFonts w:ascii="Arial" w:cs="Arial" w:eastAsia="Arial" w:hAnsi="Arial"/>
          <w:sz w:val="21"/>
          <w:szCs w:val="21"/>
          <w:color w:val="auto"/>
        </w:rPr>
        <w:t>, and (iv) the transition to GSK (or its designee) of any Commercialization activities for any Products already being commercially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-4951095</wp:posOffset>
            </wp:positionV>
            <wp:extent cx="8712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71220" cy="889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-3716655</wp:posOffset>
            </wp:positionV>
            <wp:extent cx="6426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right="260" w:firstLine="8"/>
        <w:spacing w:after="0" w:line="266" w:lineRule="auto"/>
        <w:tabs>
          <w:tab w:leader="none" w:pos="43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72" w:lineRule="auto"/>
        <w:rPr>
          <w:sz w:val="20"/>
          <w:szCs w:val="20"/>
          <w:color w:val="auto"/>
        </w:rPr>
      </w:pPr>
      <w:r>
        <w:rPr>
          <w:rFonts w:ascii="Arial" w:cs="Arial" w:eastAsia="Arial" w:hAnsi="Arial"/>
          <w:sz w:val="19"/>
          <w:szCs w:val="19"/>
          <w:color w:val="auto"/>
        </w:rPr>
        <w:t xml:space="preserve">promoted, distributed or sold by Arrowhead or any of its Affiliates, licensees or sublicensees in the former Arrowhead Territory at the time of GSK’s exercise of the Opt-In Right under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3.10</w:t>
      </w:r>
      <w:r>
        <w:rPr>
          <w:rFonts w:ascii="Arial" w:cs="Arial" w:eastAsia="Arial" w:hAnsi="Arial"/>
          <w:sz w:val="19"/>
          <w:szCs w:val="19"/>
          <w:color w:val="auto"/>
        </w:rPr>
        <w:t>, Arrowhead shall use Commercially Reasonable Efforts to obtain all requisite consents or approvals to transfer to GSK (or its designee), pursuant to the Transition Plan, the Human Biological Samples, if any, collected in connection with the conduct of any Clinical Trial of a Product conducted by or on behalf of Arrowhead or any of its Affiliates, licensees or sublicensees in the Arrowhead Territory (which shall be deemed to be Arrowhead Materials); provided that, without limiting the foregoing, in the event that Arrowhead is prohibited under Law from transferring any such Human Biological Samples to GSK (or its designee) pursuant to the Transition Plan, GSK shall have the right to request, at GSK’s direction, that Arrowhead conduct analysis of such Human Biological Samples and provide GSK (or its designee) with any data and results of such analysis. GSK will reimburse [***] of Arrowhead’s Out-of-Pocket Costs and FTE Costs incurred in the performance of such analysis, subject to a budget to be mutually agreed by the Parties prior to Arrowhead conducting such analysis.</w:t>
      </w:r>
    </w:p>
    <w:p>
      <w:pPr>
        <w:spacing w:after="0" w:line="200" w:lineRule="exact"/>
        <w:rPr>
          <w:sz w:val="20"/>
          <w:szCs w:val="20"/>
          <w:color w:val="auto"/>
        </w:rPr>
      </w:pPr>
    </w:p>
    <w:p>
      <w:pPr>
        <w:spacing w:after="0" w:line="208" w:lineRule="exact"/>
        <w:rPr>
          <w:sz w:val="20"/>
          <w:szCs w:val="20"/>
          <w:color w:val="auto"/>
        </w:rPr>
      </w:pPr>
    </w:p>
    <w:p>
      <w:pPr>
        <w:jc w:val="both"/>
        <w:ind w:left="880" w:hanging="8"/>
        <w:spacing w:after="0" w:line="248" w:lineRule="auto"/>
        <w:tabs>
          <w:tab w:leader="none" w:pos="1768" w:val="left"/>
        </w:tabs>
        <w:numPr>
          <w:ilvl w:val="0"/>
          <w:numId w:val="65"/>
        </w:numPr>
        <w:rPr>
          <w:rFonts w:ascii="Arial" w:cs="Arial" w:eastAsia="Arial" w:hAnsi="Arial"/>
          <w:sz w:val="21"/>
          <w:szCs w:val="21"/>
          <w:b w:val="1"/>
          <w:bCs w:val="1"/>
          <w:color w:val="auto"/>
        </w:rPr>
      </w:pPr>
      <w:r>
        <w:rPr>
          <w:rFonts w:ascii="Arial" w:cs="Arial" w:eastAsia="Arial" w:hAnsi="Arial"/>
          <w:sz w:val="21"/>
          <w:szCs w:val="21"/>
          <w:color w:val="auto"/>
        </w:rPr>
        <w:t xml:space="preserve">In the event that the Parties are unable to agree on such financial terms prior to the expiration of the Negotiation Period pursuant to </w:t>
      </w:r>
      <w:r>
        <w:rPr>
          <w:rFonts w:ascii="Arial" w:cs="Arial" w:eastAsia="Arial" w:hAnsi="Arial"/>
          <w:sz w:val="21"/>
          <w:szCs w:val="21"/>
          <w:u w:val="single" w:color="auto"/>
          <w:color w:val="auto"/>
        </w:rPr>
        <w:t>Section 2.10(b)</w:t>
      </w:r>
      <w:r>
        <w:rPr>
          <w:rFonts w:ascii="Arial" w:cs="Arial" w:eastAsia="Arial" w:hAnsi="Arial"/>
          <w:sz w:val="21"/>
          <w:szCs w:val="21"/>
          <w:color w:val="auto"/>
        </w:rPr>
        <w:t>, upon GSK’s election, the Parties shall each prepare and submit their respective financial proposals to an independent, mutually agreeable, Third Party expert for final resolution via [***]. The independent expert’s determination will be binding on the Parties and, following selection by such independent expert, the Parties shall enter into an amendment to this Agreement reflecting such selected proposal. The Parties shall share equally the costs of such Third Party expert.</w:t>
      </w:r>
    </w:p>
    <w:p>
      <w:pPr>
        <w:spacing w:after="0" w:line="176" w:lineRule="exact"/>
        <w:rPr>
          <w:rFonts w:ascii="Arial" w:cs="Arial" w:eastAsia="Arial" w:hAnsi="Arial"/>
          <w:sz w:val="21"/>
          <w:szCs w:val="21"/>
          <w:b w:val="1"/>
          <w:bCs w:val="1"/>
          <w:color w:val="auto"/>
        </w:rPr>
      </w:pPr>
    </w:p>
    <w:p>
      <w:pPr>
        <w:jc w:val="both"/>
        <w:ind w:left="880" w:hanging="8"/>
        <w:spacing w:after="0" w:line="273" w:lineRule="auto"/>
        <w:tabs>
          <w:tab w:leader="none" w:pos="1744"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 xml:space="preserve">For the avoidance of doubt, in the event that (i) GSK does not deliver an Opt-In Exercise Notice prior to the expiration of the Opt-In Exercise Period pursuant to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or (ii) if the Parties are unable to agree on such financial terms prior to the expiration of the Negotiation Period and GSK does not elect to proceed to [***], then, in each case ((i) and (ii)), subject to the terms of this Agreement, Arrowhead (or its Affiliates) will be free to, alone or with one or more Third Parties, Develop, Manufacture and Commercialize the Compound and Products in the Arrowhead Territory; provided, however, with respect to the scenario set forth in clause (ii) above (but, for clarity, not in the event that GSK does not deliver an Opt-In Exercise Notice prior to the expiration of the Opt-In Exercise Period pursuant to Section 2.10(a)), from the expiration of such Negotiation Period until the [***] anniversary thereof, Arrowhead shall not (and shall cause its Affiliates to not) enter into any definitive agreement with any Third Party with respect to the Compound or any Products in the Arrowhead Territory on terms more favorable to such Third Party than the last-offered terms proposed by GSK during such Negotiation Period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-513080</wp:posOffset>
            </wp:positionV>
            <wp:extent cx="8636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29"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auto"/>
        </w:rPr>
        <w:t>DEVELOPMENT, MANUFACTURE AND COMMERCIALIZATION OF PRODUCTS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Development</w:t>
      </w:r>
    </w:p>
    <w:p>
      <w:pPr>
        <w:spacing w:after="0" w:line="212" w:lineRule="exact"/>
        <w:rPr>
          <w:sz w:val="20"/>
          <w:szCs w:val="20"/>
          <w:color w:val="auto"/>
        </w:rPr>
      </w:pPr>
    </w:p>
    <w:p>
      <w:pPr>
        <w:jc w:val="center"/>
        <w:ind w:left="880" w:hanging="806"/>
        <w:spacing w:after="0" w:line="328" w:lineRule="auto"/>
        <w:tabs>
          <w:tab w:leader="none" w:pos="193"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including the Arrowhead Retained Rights, GSK shall have the exclusive right, and sole responsibility and decision-making authority, to Develop the Compound and Products in the GSK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right="260" w:firstLine="8"/>
        <w:spacing w:after="0" w:line="266" w:lineRule="auto"/>
        <w:tabs>
          <w:tab w:leader="none" w:pos="43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Territory and to conduct (either itself or through one or more Affiliates, Sublicensees or other Third Parties selected by GSK) all non-clinical studies and Clinical Trials that GSK believes appropriate to obtain Regulatory Approval for Products in the GSK Territory.</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Commercialization</w:t>
      </w:r>
    </w:p>
    <w:p>
      <w:pPr>
        <w:spacing w:after="0" w:line="212" w:lineRule="exact"/>
        <w:rPr>
          <w:sz w:val="20"/>
          <w:szCs w:val="20"/>
          <w:color w:val="auto"/>
        </w:rPr>
      </w:pPr>
    </w:p>
    <w:p>
      <w:pPr>
        <w:ind w:left="880" w:hanging="806"/>
        <w:spacing w:after="0" w:line="297" w:lineRule="auto"/>
        <w:tabs>
          <w:tab w:leader="none" w:pos="192"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GSK shall have the exclusive right, and sole responsibility and decision-making authority (either itself or through one or more Affiliates, Sublicensees or other Third Parties selected by GSK), in all matters relating to the Commercialization of the Compound and Products in the GSK Territory.</w:t>
      </w:r>
    </w:p>
    <w:p>
      <w:pPr>
        <w:spacing w:after="0" w:line="1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Clinical Manufacturing and Commercial Manufacturing</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69" w:lineRule="auto"/>
        <w:tabs>
          <w:tab w:leader="none" w:pos="1780" w:val="left"/>
        </w:tabs>
        <w:numPr>
          <w:ilvl w:val="0"/>
          <w:numId w:val="69"/>
        </w:numPr>
        <w:rPr>
          <w:rFonts w:ascii="Arial" w:cs="Arial" w:eastAsia="Arial" w:hAnsi="Arial"/>
          <w:sz w:val="19"/>
          <w:szCs w:val="19"/>
          <w:b w:val="1"/>
          <w:bCs w:val="1"/>
          <w:color w:val="auto"/>
        </w:rPr>
      </w:pPr>
      <w:r>
        <w:rPr>
          <w:rFonts w:ascii="Arial" w:cs="Arial" w:eastAsia="Arial" w:hAnsi="Arial"/>
          <w:sz w:val="19"/>
          <w:szCs w:val="19"/>
          <w:color w:val="auto"/>
        </w:rPr>
        <w:t>Subject to the terms and conditions herein, GSK shall have (i) the exclusive right to Manufacture the Compound and Products (either itself or through one or more Affiliates, Sublicensees or other Third Parties selected by GSK) in the GSK Territory, and (ii) the right to Manufacture the Compound and Products (either itself or through one or more Affiliates, Sublicensees or other Third Parties selected by GSK) in the Arrowhead Territory solely for Development or Commercialization of the Compound and Products in the GSK Territory; provided, however, that GSK shall use Commercially Reasonable Efforts to secure an acceptable Clinical Manufacturing source from which sufficient quantities of Product may be procured and legally sold throughout the GSK Territory to support the Development of Products in the GSK Territory. Notwithstanding the foregoing, upon GSK’s request, Arrowhead will (either itself or with or through an Affiliate or a CMOs) Clinically Manufacture and supply Products at a price equal to the Manufacturing Costs plus [***] for GSK’s Development activities under this Agreement until the earlier of (A) the date on which GSK is able to secure an acceptable Clinical Manufacturing source from which sufficient quantities of Product may be procured and legally sold throughout the GSK Territory to support the Development of Products in the GSK Territory; or (B) the completion of all Clinical Trials for the Products in the GSK Territory; provided that such Clinical Manufacturing and supply of Products by Arrowhead to GSK will be pursuant to, and subject to the terms of, a supply agreement and related quality agreement to be entered into by the Parties within twenty (20) Business Days following the Effective Date (such supply agreement and related quality agreement, the “</w:t>
      </w:r>
      <w:r>
        <w:rPr>
          <w:rFonts w:ascii="Arial" w:cs="Arial" w:eastAsia="Arial" w:hAnsi="Arial"/>
          <w:sz w:val="19"/>
          <w:szCs w:val="19"/>
          <w:b w:val="1"/>
          <w:bCs w:val="1"/>
          <w:color w:val="auto"/>
        </w:rPr>
        <w:t>Clinical Supply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provided, further, that the Clinical Supply Agreement shall be consistent with the key terms set forth on</w:t>
      </w:r>
      <w:r>
        <w:rPr>
          <w:rFonts w:ascii="Arial" w:cs="Arial" w:eastAsia="Arial" w:hAnsi="Arial"/>
          <w:sz w:val="19"/>
          <w:szCs w:val="19"/>
          <w:b w:val="1"/>
          <w:bCs w:val="1"/>
          <w:color w:val="auto"/>
        </w:rPr>
        <w:t xml:space="preserve"> Schedule 3.3</w:t>
      </w:r>
      <w:r>
        <w:rPr>
          <w:rFonts w:ascii="Arial" w:cs="Arial" w:eastAsia="Arial" w:hAnsi="Arial"/>
          <w:sz w:val="19"/>
          <w:szCs w:val="19"/>
          <w:color w:val="auto"/>
        </w:rPr>
        <w:t>. For the avoidance of doubt,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3.3(a)</w:t>
      </w:r>
      <w:r>
        <w:rPr>
          <w:rFonts w:ascii="Arial" w:cs="Arial" w:eastAsia="Arial" w:hAnsi="Arial"/>
          <w:sz w:val="19"/>
          <w:szCs w:val="19"/>
          <w:color w:val="auto"/>
        </w:rPr>
        <w:t>: (1)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Clinical Supply Agreement, GSK shall reimburse Arrowhead for any Manufacturing Costs paid, prior to the Effective Date, to [***] to Manufacture (including to reserve a slot therefor) [***] vials of drug product of the Compound of </w:t>
      </w:r>
      <w:r>
        <w:rPr>
          <w:rFonts w:ascii="Arial" w:cs="Arial" w:eastAsia="Arial" w:hAnsi="Arial"/>
          <w:sz w:val="19"/>
          <w:szCs w:val="19"/>
          <w:b w:val="1"/>
          <w:bCs w:val="1"/>
          <w:color w:val="auto"/>
        </w:rPr>
        <w:t xml:space="preserve">Schedule 1.53 </w:t>
      </w:r>
      <w:r>
        <w:rPr>
          <w:rFonts w:ascii="Arial" w:cs="Arial" w:eastAsia="Arial" w:hAnsi="Arial"/>
          <w:sz w:val="19"/>
          <w:szCs w:val="19"/>
          <w:color w:val="auto"/>
        </w:rPr>
        <w:t>and to [***] to perform stability and release testing for such vials of drug product, and (2) Arrowhead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responsible, at its own cost and expense, to Clinically Manufacture or otherwise obtain (either itself or with or through an Affiliate or a CMO) sufficient quantity of Product for the conduct of the Ongoing Phase 1 Clinical Trial in accordance with the study plan and protocol set forth on </w:t>
      </w:r>
      <w:r>
        <w:rPr>
          <w:rFonts w:ascii="Arial" w:cs="Arial" w:eastAsia="Arial" w:hAnsi="Arial"/>
          <w:sz w:val="19"/>
          <w:szCs w:val="19"/>
          <w:b w:val="1"/>
          <w:bCs w:val="1"/>
          <w:color w:val="auto"/>
        </w:rPr>
        <w:t>Schedule 3.4</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ind w:left="880" w:right="20" w:hanging="8"/>
        <w:spacing w:after="0" w:line="250" w:lineRule="auto"/>
        <w:tabs>
          <w:tab w:leader="none" w:pos="1792"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During the Term, each Party shall notify the JMWG prior to such Party (or any of its Affiliates, licensees or sublicensees) entering into a definitive agreement with a Third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right="260" w:firstLine="8"/>
        <w:spacing w:after="0" w:line="266" w:lineRule="auto"/>
        <w:tabs>
          <w:tab w:leader="none" w:pos="43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jc w:val="both"/>
        <w:ind w:left="880"/>
        <w:spacing w:after="0" w:line="272" w:lineRule="auto"/>
        <w:rPr>
          <w:sz w:val="20"/>
          <w:szCs w:val="20"/>
          <w:color w:val="auto"/>
        </w:rPr>
      </w:pPr>
      <w:r>
        <w:rPr>
          <w:rFonts w:ascii="Arial" w:cs="Arial" w:eastAsia="Arial" w:hAnsi="Arial"/>
          <w:sz w:val="19"/>
          <w:szCs w:val="19"/>
          <w:color w:val="auto"/>
        </w:rPr>
        <w:t>Party contract manufacturing organization or similar Third Party subcontractor (“</w:t>
      </w:r>
      <w:r>
        <w:rPr>
          <w:rFonts w:ascii="Arial" w:cs="Arial" w:eastAsia="Arial" w:hAnsi="Arial"/>
          <w:sz w:val="19"/>
          <w:szCs w:val="19"/>
          <w:b w:val="1"/>
          <w:bCs w:val="1"/>
          <w:color w:val="auto"/>
        </w:rPr>
        <w:t>CMO</w:t>
      </w:r>
      <w:r>
        <w:rPr>
          <w:rFonts w:ascii="Arial" w:cs="Arial" w:eastAsia="Arial" w:hAnsi="Arial"/>
          <w:sz w:val="19"/>
          <w:szCs w:val="19"/>
          <w:color w:val="auto"/>
        </w:rPr>
        <w:t>”) for the Manufacture of the Compound or any Product, except to the extent that such CMO had already been previously disclosed to the JMWG pursuant to this Agreement, which notice shall identify such CMO and the Compound or Product(s) to be Manufactured by such CMO. In the event that, at any time during the Term (whether occurring contemporaneously or otherwise), with respect to the Compound or a given Product, both GSK (or any of its Affiliates or Sublicensee’s, as applicable) and Arrowhead (or any of its Affiliates, licensees or sublicensees) have engaged the same CMO to Manufacture the Compound or any Product, (i) the Parties, through the JMWG shall coordinate the Parties’ respective relationship with such CMO, and (ii) the Parties, through the JMWG, shall discuss in good faith the control specifications and CMC processes regarding Manufacture and release for any Compound or Product (including the Registered Starting Material ([***]) or other key raw materials) to reach consensus on selecting the best overall process for Manufacture, including factoring into account costs, supply chain availability, yield, and impurity profile. In the event the Parties, through the JMWG, are unable to reach a consensus with respect to any of the foregoing, the Parties shall instruct the CMO to establish unique product or item numbers with unique release specifications and criteria for the different processes.</w:t>
      </w:r>
    </w:p>
    <w:p>
      <w:pPr>
        <w:spacing w:after="0" w:line="200" w:lineRule="exact"/>
        <w:rPr>
          <w:sz w:val="20"/>
          <w:szCs w:val="20"/>
          <w:color w:val="auto"/>
        </w:rPr>
      </w:pPr>
    </w:p>
    <w:p>
      <w:pPr>
        <w:spacing w:after="0" w:line="205" w:lineRule="exact"/>
        <w:rPr>
          <w:sz w:val="20"/>
          <w:szCs w:val="20"/>
          <w:color w:val="auto"/>
        </w:rPr>
      </w:pPr>
    </w:p>
    <w:p>
      <w:pPr>
        <w:jc w:val="both"/>
        <w:ind w:left="880" w:hanging="8"/>
        <w:spacing w:after="0" w:line="270" w:lineRule="auto"/>
        <w:tabs>
          <w:tab w:leader="none" w:pos="1768"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Within ten (10) Business Days following the Effective Date, the Parties will establish a joint Manufacturing working group (“</w:t>
      </w:r>
      <w:r>
        <w:rPr>
          <w:rFonts w:ascii="Arial" w:cs="Arial" w:eastAsia="Arial" w:hAnsi="Arial"/>
          <w:sz w:val="19"/>
          <w:szCs w:val="19"/>
          <w:b w:val="1"/>
          <w:bCs w:val="1"/>
          <w:color w:val="auto"/>
        </w:rPr>
        <w:t>JMWG</w:t>
      </w:r>
      <w:r>
        <w:rPr>
          <w:rFonts w:ascii="Arial" w:cs="Arial" w:eastAsia="Arial" w:hAnsi="Arial"/>
          <w:sz w:val="19"/>
          <w:szCs w:val="19"/>
          <w:color w:val="auto"/>
        </w:rPr>
        <w:t xml:space="preserve">”), comprising representatives from each Party in accordance with this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for the sole purposes of serving as a forum for the Parties to discuss and share information regarding the Manufacture (including any CMC development activities) of the Compound (including the Registered Starting Material ([***]) or other key raw materials) or any Product in the Parties’ respective Territories, including (i) review and discuss annual capacity planning and supply continuity plans for Clinical Manufacturing or Commercial Manufacturing, including with respect to any Registered Starting Material ([***]), other key raw materials, drug substance, and drug product, (ii) review and discuss selection of, and potential changes to, any Third Party suppliers and subcontractors (including any CMO) in connection with any Clinical Manufacturing or Commercial Manufacturing, and (iv) any other matter as expressly set forth in this Agreement or that the Parties otherwise mutually agree to discuss via the JMWG. The JMWG will meet as frequently as necessary to carry out its duties under this </w:t>
      </w:r>
      <w:r>
        <w:rPr>
          <w:rFonts w:ascii="Arial" w:cs="Arial" w:eastAsia="Arial" w:hAnsi="Arial"/>
          <w:sz w:val="19"/>
          <w:szCs w:val="19"/>
          <w:u w:val="single" w:color="auto"/>
          <w:color w:val="auto"/>
        </w:rPr>
        <w:t>Section 3.3(c)</w:t>
      </w:r>
      <w:r>
        <w:rPr>
          <w:rFonts w:ascii="Arial" w:cs="Arial" w:eastAsia="Arial" w:hAnsi="Arial"/>
          <w:sz w:val="19"/>
          <w:szCs w:val="19"/>
          <w:color w:val="auto"/>
        </w:rPr>
        <w:t>, at such time and place as may be mutually agreed by its members. The JMWG may meet in person, by videoconference or by teleconference. Meetings of the JMWG will be effective only if at least one (1) representative of each Party is present or participating in such meeting. Each Party will bear the expense of its respective JMWG members’ participation in JMWG meetings. For the avoidance of doubt, the JMWG shall have no decision-making authority and neither Party’s activities or decisions regarding any Manufacturing of the Compound or any Product in their respective Territories shall require the approval, consent or agreement of the JMWG.</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Ongoing Phase I Clinical Trial; Support in Development, Manufacturing and Commercialization</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260" w:firstLine="8"/>
        <w:spacing w:after="0" w:line="266" w:lineRule="auto"/>
        <w:tabs>
          <w:tab w:leader="none" w:pos="43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jc w:val="both"/>
        <w:ind w:left="880" w:hanging="8"/>
        <w:spacing w:after="0" w:line="238" w:lineRule="auto"/>
        <w:tabs>
          <w:tab w:leader="none" w:pos="1780"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to the contrary set forth herein, until the Completion of the Ongoing Phase I Clinical Trial, Arrowhead shall Complete the Ongoing Phase I Clinical Trial in accordance with the study plan and protocol set forth on </w:t>
      </w:r>
      <w:r>
        <w:rPr>
          <w:rFonts w:ascii="Arial" w:cs="Arial" w:eastAsia="Arial" w:hAnsi="Arial"/>
          <w:sz w:val="22"/>
          <w:szCs w:val="22"/>
          <w:b w:val="1"/>
          <w:bCs w:val="1"/>
          <w:color w:val="auto"/>
        </w:rPr>
        <w:t>Schedule 3.4</w:t>
      </w:r>
      <w:r>
        <w:rPr>
          <w:rFonts w:ascii="Arial" w:cs="Arial" w:eastAsia="Arial" w:hAnsi="Arial"/>
          <w:sz w:val="22"/>
          <w:szCs w:val="22"/>
          <w:color w:val="auto"/>
        </w:rPr>
        <w:t xml:space="preserve"> (which may be amended solely by mutual agreement of the Parties), and otherwise in accordance with this Agreement.</w:t>
      </w:r>
    </w:p>
    <w:p>
      <w:pPr>
        <w:spacing w:after="0" w:line="184" w:lineRule="exact"/>
        <w:rPr>
          <w:rFonts w:ascii="Arial" w:cs="Arial" w:eastAsia="Arial" w:hAnsi="Arial"/>
          <w:sz w:val="22"/>
          <w:szCs w:val="22"/>
          <w:b w:val="1"/>
          <w:bCs w:val="1"/>
          <w:color w:val="auto"/>
        </w:rPr>
      </w:pPr>
    </w:p>
    <w:p>
      <w:pPr>
        <w:jc w:val="both"/>
        <w:ind w:left="880" w:hanging="8"/>
        <w:spacing w:after="0" w:line="271" w:lineRule="auto"/>
        <w:tabs>
          <w:tab w:leader="none" w:pos="1792" w:val="left"/>
        </w:tabs>
        <w:numPr>
          <w:ilvl w:val="1"/>
          <w:numId w:val="72"/>
        </w:numPr>
        <w:rPr>
          <w:rFonts w:ascii="Arial" w:cs="Arial" w:eastAsia="Arial" w:hAnsi="Arial"/>
          <w:sz w:val="19"/>
          <w:szCs w:val="19"/>
          <w:b w:val="1"/>
          <w:bCs w:val="1"/>
          <w:color w:val="auto"/>
        </w:rPr>
      </w:pPr>
      <w:r>
        <w:rPr>
          <w:rFonts w:ascii="Arial" w:cs="Arial" w:eastAsia="Arial" w:hAnsi="Arial"/>
          <w:sz w:val="19"/>
          <w:szCs w:val="19"/>
          <w:color w:val="auto"/>
        </w:rPr>
        <w:t>Following the Technology Transfer Period, from time to time upon GSK’s reasonable request, Arrowhead shall use Commercially Reasonable Efforts to (i) make Representatives who are knowledgeable regarding the Arrowhead Technology, the Compound and Products, including the properties and functions thereof, and who are then currently employed or otherwise engaged by Arrowhead (or its Affiliates), available to provide scientific and technical explanations and advice to GSK related to the Development, Manufacture or Commercialization of the Compound and Products, such access shall be at mutually convenient times and may include teleconferences, email or face-to-face meetings, and (ii) provide such additional cooperation, information, assistance or services to GSK during such period as may be reasonably necessary to enable GSK to conduct the Development, Manufacture or Commercialization of the Compound and Products in the GSK Territory, in each case ((i) or (ii)), Arrowhead shall charge such costs to GSK at the FTE Rate plus any reasonably necessary Out-of-Pocket Costs without markup in accordance with a written budget agreed to in advance by Arrowhead and GSK; provided, however, that with respect to any Arrowhead Know-How that was not transferred during the Technology Transfer Period (including with respect to any such Arrowhead Know-How that was inadvertently excluded from the Technology Transfer Plan or is generated by or on behalf, or otherwise comes under the Control, of Arrowhead (or its Affiliate) during the Term), Arrowhead will deliver such Arrowhead Know-How to GSK (or its designee), at Arrowhead’s reasonable cost and expense.</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Diligence Obligations</w:t>
      </w:r>
    </w:p>
    <w:p>
      <w:pPr>
        <w:spacing w:after="0" w:line="212" w:lineRule="exact"/>
        <w:rPr>
          <w:sz w:val="20"/>
          <w:szCs w:val="20"/>
          <w:color w:val="auto"/>
        </w:rPr>
      </w:pPr>
    </w:p>
    <w:p>
      <w:pPr>
        <w:ind w:left="880" w:hanging="806"/>
        <w:spacing w:after="0" w:line="277" w:lineRule="auto"/>
        <w:tabs>
          <w:tab w:leader="none" w:pos="223" w:val="left"/>
        </w:tabs>
        <w:numPr>
          <w:ilvl w:val="0"/>
          <w:numId w:val="73"/>
        </w:numPr>
        <w:rPr>
          <w:rFonts w:ascii="Arial" w:cs="Arial" w:eastAsia="Arial" w:hAnsi="Arial"/>
          <w:sz w:val="19"/>
          <w:szCs w:val="19"/>
          <w:color w:val="auto"/>
        </w:rPr>
      </w:pPr>
      <w:r>
        <w:rPr>
          <w:rFonts w:ascii="Arial" w:cs="Arial" w:eastAsia="Arial" w:hAnsi="Arial"/>
          <w:sz w:val="19"/>
          <w:szCs w:val="19"/>
          <w:color w:val="auto"/>
        </w:rPr>
        <w:t>Commencing on the Effective Date, GSK shall use Commercially Reasonable Efforts (a) to Develop and seek Regulatory Approval; and (b) after receiving Regulatory Approval, Commercialize, in each case ((a) and (b)), at least one (1) Product in the Major Markets. GSK shall have the exclusive right to determine, in its sole discretion, the launch strategy for the Products, subject to its exercise of Commercially Reasonable Efforts and the availability of any necessary Third Party licenses or other rights. Activities conducted by GSK’s Affiliates or any of their respective Sublicensees and subcontractors will be considered as GSK’s activities under this Agreement for purposes of determining whether GSK has complied with its obligation to use Commercially Reasonable Efforts.</w:t>
      </w:r>
    </w:p>
    <w:p>
      <w:pPr>
        <w:spacing w:after="0" w:line="14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Subcontracting</w:t>
      </w:r>
    </w:p>
    <w:p>
      <w:pPr>
        <w:spacing w:after="0" w:line="212" w:lineRule="exact"/>
        <w:rPr>
          <w:sz w:val="20"/>
          <w:szCs w:val="20"/>
          <w:color w:val="auto"/>
        </w:rPr>
      </w:pPr>
    </w:p>
    <w:p>
      <w:pPr>
        <w:ind w:left="880" w:hanging="806"/>
        <w:spacing w:after="0" w:line="246" w:lineRule="auto"/>
        <w:tabs>
          <w:tab w:leader="none" w:pos="334"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GSK (and its Affiliates and Sublicensees) may exercise any of its rights, or perform any of its obligations, under this Agreement (including any Development, Manufacture or Commercialization of the Compound or any Product in the Field in the GSK Territory or otherwise the exercise of any of the rights licensed to GSK under Section 2.1) by subcontracting the exercise or performance of all or any portion of such rights and obligations on GSK’s (or such Affiliate’s or Sublicensee’s, as applicable) behalf to a Third Party subcontractor. Any subcontract granted or entered into by GSK (or its Affiliate or Sublicensee) as contemplated by this </w:t>
      </w:r>
      <w:r>
        <w:rPr>
          <w:rFonts w:ascii="Arial" w:cs="Arial" w:eastAsia="Arial" w:hAnsi="Arial"/>
          <w:sz w:val="21"/>
          <w:szCs w:val="21"/>
          <w:u w:val="single" w:color="auto"/>
          <w:color w:val="auto"/>
        </w:rPr>
        <w:t>Section 3.6</w:t>
      </w:r>
      <w:r>
        <w:rPr>
          <w:rFonts w:ascii="Arial" w:cs="Arial" w:eastAsia="Arial" w:hAnsi="Arial"/>
          <w:sz w:val="21"/>
          <w:szCs w:val="21"/>
          <w:color w:val="auto"/>
        </w:rPr>
        <w:t xml:space="preserve"> shall not relieve GSK (or such Affiliate or Sublicensee, as applicable) from any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-648970</wp:posOffset>
            </wp:positionV>
            <wp:extent cx="642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right="260" w:firstLine="8"/>
        <w:spacing w:after="0" w:line="266" w:lineRule="auto"/>
        <w:tabs>
          <w:tab w:leader="none" w:pos="43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 xml:space="preserve">GSK shall be responsible for the acts and omissions of its (and its Affiliate’s or Sublicensee’s, as applicable) subcontractors in connection with their performance of any of GSK’s obligations or exercise of any of GSK’s rights hereunder. Any agreement with a subcontractor to perform GSK’s obligations under this Agreement shall be consistent with GSK’s obligations under this Agreement, including confidentiality and non-use provisions which are no less stringent than those set forth in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color w:val="auto"/>
        </w:rPr>
        <w:t>Trademarks</w:t>
      </w:r>
    </w:p>
    <w:p>
      <w:pPr>
        <w:spacing w:after="0" w:line="212" w:lineRule="exact"/>
        <w:rPr>
          <w:sz w:val="20"/>
          <w:szCs w:val="20"/>
          <w:color w:val="auto"/>
        </w:rPr>
      </w:pPr>
    </w:p>
    <w:p>
      <w:pPr>
        <w:ind w:left="880" w:hanging="806"/>
        <w:spacing w:after="0" w:line="236" w:lineRule="auto"/>
        <w:tabs>
          <w:tab w:leader="none" w:pos="225"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Subject to the terms and conditions herein, as between GSK and Arrowhead, GSK shall have the sole authority to select trademarks for the Products in the GSK Territory and shall own all such trademarks. Notwithstanding anything to the contrary set forth herein, neither Party shall select or use any trademark for the Products in such Party’s Territory that is identical or confusingly similar to a Product trademark selected by the other Party for use in such other Party’s Territory.</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9"/>
          <w:szCs w:val="19"/>
          <w:b w:val="1"/>
          <w:bCs w:val="1"/>
          <w:color w:val="auto"/>
        </w:rPr>
        <w:t>Information Rights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left="880"/>
        <w:spacing w:after="0" w:line="271"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 commencing on the expiration of the Technology Transfer Period, Arrowhead shall provide</w:t>
      </w:r>
      <w:r>
        <w:rPr>
          <w:rFonts w:ascii="Arial" w:cs="Arial" w:eastAsia="Arial" w:hAnsi="Arial"/>
          <w:sz w:val="19"/>
          <w:szCs w:val="19"/>
          <w:b w:val="1"/>
          <w:bCs w:val="1"/>
          <w:color w:val="auto"/>
        </w:rPr>
        <w:t xml:space="preserve"> </w:t>
      </w:r>
      <w:r>
        <w:rPr>
          <w:rFonts w:ascii="Arial" w:cs="Arial" w:eastAsia="Arial" w:hAnsi="Arial"/>
          <w:sz w:val="19"/>
          <w:szCs w:val="19"/>
          <w:color w:val="auto"/>
        </w:rPr>
        <w:t>GSK with a reasonably detailed report (each, a “</w:t>
      </w:r>
      <w:r>
        <w:rPr>
          <w:rFonts w:ascii="Arial" w:cs="Arial" w:eastAsia="Arial" w:hAnsi="Arial"/>
          <w:sz w:val="19"/>
          <w:szCs w:val="19"/>
          <w:b w:val="1"/>
          <w:bCs w:val="1"/>
          <w:color w:val="auto"/>
        </w:rPr>
        <w:t>Development Report</w:t>
      </w:r>
      <w:r>
        <w:rPr>
          <w:rFonts w:ascii="Arial" w:cs="Arial" w:eastAsia="Arial" w:hAnsi="Arial"/>
          <w:sz w:val="19"/>
          <w:szCs w:val="19"/>
          <w:color w:val="auto"/>
        </w:rPr>
        <w:t xml:space="preserve">”) of its activities and progress that provides (i) a summary of any currently planned clinical and non-clinical activities by or on behalf of Arrowhead or any of its Affiliates, licensees or sublicensees with respect to any Products in the Arrowhead Territory, (ii) estimated timelines for the Development of any Products by or on behalf of Arrowhead or any of its Affiliates, licensees or sublicensees with respect to any Products in the Arrowhead Territory, and (iii) summaries of all clinical data generated during the period since the prior Development Report was delivered by Arrowhead to GSK pursuant to this </w:t>
      </w:r>
      <w:r>
        <w:rPr>
          <w:rFonts w:ascii="Arial" w:cs="Arial" w:eastAsia="Arial" w:hAnsi="Arial"/>
          <w:sz w:val="19"/>
          <w:szCs w:val="19"/>
          <w:u w:val="single" w:color="auto"/>
          <w:color w:val="auto"/>
        </w:rPr>
        <w:t>Section 3.8(a)</w:t>
      </w:r>
      <w:r>
        <w:rPr>
          <w:rFonts w:ascii="Arial" w:cs="Arial" w:eastAsia="Arial" w:hAnsi="Arial"/>
          <w:sz w:val="19"/>
          <w:szCs w:val="19"/>
          <w:color w:val="auto"/>
        </w:rPr>
        <w:t>. Without limiting the foregoing, (A) prior to the finalization of any protocol or study plan for any Clinical Trial to be conducted by or on behalf of Arrowhead (or any of its Affiliates, licensee or sublicensees, as applicable) in the Arrowhead Territory, Arrowhead shall provide such proposed protocol or study plan, as applicable, to GSK for review and, upon GSK’s request, will consult with GSK with respect to such protocol or study plan and consider in good faith any comments provided by GSK with respect thereto; and (B) within twenty (20) Business Days following the generation of any interim or final study report for any Clinical Trial conducted by or on behalf of Arrowhead or any of its Affiliates, licensees or sublicensees with respect to any Products in the Arrowhead Territory, Arrowhead shall provide such study report, together with all relevant data, to GSK.</w:t>
      </w:r>
    </w:p>
    <w:p>
      <w:pPr>
        <w:spacing w:after="0" w:line="200" w:lineRule="exact"/>
        <w:rPr>
          <w:sz w:val="20"/>
          <w:szCs w:val="20"/>
          <w:color w:val="auto"/>
        </w:rPr>
      </w:pPr>
    </w:p>
    <w:p>
      <w:pPr>
        <w:spacing w:after="0" w:line="207" w:lineRule="exact"/>
        <w:rPr>
          <w:sz w:val="20"/>
          <w:szCs w:val="20"/>
          <w:color w:val="auto"/>
        </w:rPr>
      </w:pPr>
    </w:p>
    <w:p>
      <w:pPr>
        <w:jc w:val="both"/>
        <w:ind w:left="880"/>
        <w:spacing w:after="0" w:line="278"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Commencing on the expiration of the Technology Transfer Period, (i) (A) [***] until the date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first Product has obtained Regulatory Approval in each of the Major Markets and (B) after the date on which the first Product has obtained Regulatory Approval in the last of the countries constituting the Major Markets until such time as GSK, its Affiliates and its Sublicensees cease all Development activities with respect to all Products in the GSK Territory for a continuous period of at least [***], once per Calendar Year, GSK shall provide Arrowhead with a reasonably high level summary of the activities and progress with respect to the Development of any Products in the GSK Territory conducted by GSK, its Affiliates and its Sublicensees, and (ii) [***], GSK will provide 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right="260" w:firstLine="8"/>
        <w:spacing w:after="0" w:line="266" w:lineRule="auto"/>
        <w:tabs>
          <w:tab w:leader="none" w:pos="43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4" w:lineRule="auto"/>
        <w:rPr>
          <w:sz w:val="20"/>
          <w:szCs w:val="20"/>
          <w:color w:val="auto"/>
        </w:rPr>
      </w:pPr>
      <w:r>
        <w:rPr>
          <w:rFonts w:ascii="Arial" w:cs="Arial" w:eastAsia="Arial" w:hAnsi="Arial"/>
          <w:sz w:val="22"/>
          <w:szCs w:val="22"/>
          <w:color w:val="auto"/>
        </w:rPr>
        <w:t xml:space="preserve">Arrowhead a reasonably high level summary of the activities and progress with respect to the Commercialization of any Products in each of the Major Markets conducted by GSK and its Affiliates (but, for clarity, not by any Sublicensee, except to the extent that GSK receives any such high level summary of Commercialization activities from such Sublicensee). For purposes of this </w:t>
      </w:r>
      <w:r>
        <w:rPr>
          <w:rFonts w:ascii="Arial" w:cs="Arial" w:eastAsia="Arial" w:hAnsi="Arial"/>
          <w:sz w:val="22"/>
          <w:szCs w:val="22"/>
          <w:u w:val="single" w:color="auto"/>
          <w:color w:val="auto"/>
        </w:rPr>
        <w:t>Section 3.8(b)</w:t>
      </w:r>
      <w:r>
        <w:rPr>
          <w:rFonts w:ascii="Arial" w:cs="Arial" w:eastAsia="Arial" w:hAnsi="Arial"/>
          <w:sz w:val="22"/>
          <w:szCs w:val="22"/>
          <w:color w:val="auto"/>
        </w:rPr>
        <w:t xml:space="preserve"> only, the Parties hereby agree that the term “Major Markets” will automatically include Greater China from and after the date on which GSK obtains exclusive rights under the Arrowhead Technology to Develop, Manufacture and Commercialize the Compound and Products in Greater China pursuant to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191" w:lineRule="exact"/>
        <w:rPr>
          <w:sz w:val="20"/>
          <w:szCs w:val="20"/>
          <w:color w:val="auto"/>
        </w:rPr>
      </w:pPr>
    </w:p>
    <w:p>
      <w:pPr>
        <w:jc w:val="both"/>
        <w:ind w:left="880" w:hanging="8"/>
        <w:spacing w:after="0" w:line="273" w:lineRule="auto"/>
        <w:tabs>
          <w:tab w:leader="none" w:pos="1768"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Without limiting the foregoing, (i) GSK shall have the right to reasonably request information from Arrowhead regarding the Development, Manufacture or Commercialization of the Compound or any Products in the Arrowhead Territory under this Agreement to the extent that such information is within the Arrowhead Know-How and</w:t>
      </w:r>
    </w:p>
    <w:p>
      <w:pPr>
        <w:spacing w:after="0" w:line="1" w:lineRule="exact"/>
        <w:rPr>
          <w:rFonts w:ascii="Arial" w:cs="Arial" w:eastAsia="Arial" w:hAnsi="Arial"/>
          <w:sz w:val="19"/>
          <w:szCs w:val="19"/>
          <w:b w:val="1"/>
          <w:bCs w:val="1"/>
          <w:color w:val="auto"/>
        </w:rPr>
      </w:pPr>
    </w:p>
    <w:p>
      <w:pPr>
        <w:jc w:val="both"/>
        <w:ind w:left="880" w:hanging="8"/>
        <w:spacing w:after="0" w:line="271" w:lineRule="auto"/>
        <w:tabs>
          <w:tab w:leader="none" w:pos="1211"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Arrowhead shall have the right to reasonably request information from GSK regarding the Development, Manufacture or Commercialization of the Compound or any Products in the GSK Territory under this Agreement to the extent that such information is within the GSK Licensed Know-How, in each case, which request shall be made by specific questions or requests submitted in writing (including via email). Upon receipt of such request by a Party pursuant to this </w:t>
      </w:r>
      <w:r>
        <w:rPr>
          <w:rFonts w:ascii="Arial" w:cs="Arial" w:eastAsia="Arial" w:hAnsi="Arial"/>
          <w:sz w:val="19"/>
          <w:szCs w:val="19"/>
          <w:u w:val="single" w:color="auto"/>
          <w:color w:val="auto"/>
        </w:rPr>
        <w:t>Section 3.8(c)</w:t>
      </w:r>
      <w:r>
        <w:rPr>
          <w:rFonts w:ascii="Arial" w:cs="Arial" w:eastAsia="Arial" w:hAnsi="Arial"/>
          <w:sz w:val="19"/>
          <w:szCs w:val="19"/>
          <w:color w:val="auto"/>
        </w:rPr>
        <w:t>, such other Party shall use reasonable efforts to promptly respond to such request (but in all cases within twenty (20) Business Days) and provide answers to all such questions or copies of all such requested information, to the extent that such answers are known to, or such information is in the possession of, such other Party (or, if applicable, its Affiliates, licensees or sublicensees) at the time of the request and, upon the reasonable request of either Party, the Parties shall meet and discuss such request at a frequency, time, place and manner mutually acceptable to the Parties.</w:t>
      </w:r>
    </w:p>
    <w:p>
      <w:pPr>
        <w:spacing w:after="0" w:line="160" w:lineRule="exact"/>
        <w:rPr>
          <w:rFonts w:ascii="Arial" w:cs="Arial" w:eastAsia="Arial" w:hAnsi="Arial"/>
          <w:sz w:val="19"/>
          <w:szCs w:val="19"/>
          <w:color w:val="auto"/>
        </w:rPr>
      </w:pPr>
    </w:p>
    <w:p>
      <w:pPr>
        <w:jc w:val="both"/>
        <w:ind w:left="880" w:hanging="8"/>
        <w:spacing w:after="0"/>
        <w:tabs>
          <w:tab w:leader="none" w:pos="1792"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 xml:space="preserve">For the avoidance of doubt, each Party acknowledges and agrees that all Development Reports, high-level summaries or other information provided under this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shall be deemed to be the Confidential Information of the Party providing such Development Report.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color w:val="auto"/>
        </w:rPr>
        <w:t>Alliance Managers</w:t>
      </w:r>
    </w:p>
    <w:p>
      <w:pPr>
        <w:spacing w:after="0" w:line="212" w:lineRule="exact"/>
        <w:rPr>
          <w:sz w:val="20"/>
          <w:szCs w:val="20"/>
          <w:color w:val="auto"/>
        </w:rPr>
      </w:pPr>
    </w:p>
    <w:p>
      <w:pPr>
        <w:ind w:left="880" w:hanging="806"/>
        <w:spacing w:after="0" w:line="252" w:lineRule="auto"/>
        <w:tabs>
          <w:tab w:leader="none" w:pos="279" w:val="left"/>
        </w:tabs>
        <w:numPr>
          <w:ilvl w:val="0"/>
          <w:numId w:val="81"/>
        </w:numPr>
        <w:rPr>
          <w:rFonts w:ascii="Arial" w:cs="Arial" w:eastAsia="Arial" w:hAnsi="Arial"/>
          <w:sz w:val="21"/>
          <w:szCs w:val="21"/>
          <w:color w:val="auto"/>
        </w:rPr>
      </w:pPr>
      <w:r>
        <w:rPr>
          <w:rFonts w:ascii="Arial" w:cs="Arial" w:eastAsia="Arial" w:hAnsi="Arial"/>
          <w:sz w:val="21"/>
          <w:szCs w:val="21"/>
          <w:color w:val="auto"/>
        </w:rPr>
        <w:t>Promptly following the Effective Date, each Party shall appoint, by delivery of notice to the other Party a Person who shall serve as the primary contact point between the Parties for the purpose of providing each Party with information regarding the other Parties’ activities pursuant to this Agreement (each such person, an “</w:t>
      </w:r>
      <w:r>
        <w:rPr>
          <w:rFonts w:ascii="Arial" w:cs="Arial" w:eastAsia="Arial" w:hAnsi="Arial"/>
          <w:sz w:val="21"/>
          <w:szCs w:val="21"/>
          <w:b w:val="1"/>
          <w:bCs w:val="1"/>
          <w:color w:val="auto"/>
        </w:rPr>
        <w:t>Alliance Manager</w:t>
      </w:r>
      <w:r>
        <w:rPr>
          <w:rFonts w:ascii="Arial" w:cs="Arial" w:eastAsia="Arial" w:hAnsi="Arial"/>
          <w:sz w:val="21"/>
          <w:szCs w:val="21"/>
          <w:color w:val="auto"/>
        </w:rPr>
        <w:t>”). Each Party may replace their Alliance Manager at any time by written notice to the other Party.</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19"/>
          <w:szCs w:val="19"/>
          <w:b w:val="1"/>
          <w:bCs w:val="1"/>
          <w:color w:val="auto"/>
        </w:rPr>
        <w:t>Compliance with Laws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38" w:lineRule="auto"/>
        <w:tabs>
          <w:tab w:leader="none" w:pos="1780"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Each Party shall, and shall cause its Affiliates, licensees or sublicensees to, conduct its activities under this Agreement and with respect to the Development, Manufacture or Commercialization of the Compound or any Products in its respective Territory in a good scientific manner and in compliance with all Laws, including anti-corruption laws. During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right="260" w:firstLine="8"/>
        <w:spacing w:after="0" w:line="266" w:lineRule="auto"/>
        <w:tabs>
          <w:tab w:leader="none" w:pos="435"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69" w:lineRule="auto"/>
        <w:rPr>
          <w:sz w:val="20"/>
          <w:szCs w:val="20"/>
          <w:color w:val="auto"/>
        </w:rPr>
      </w:pPr>
      <w:r>
        <w:rPr>
          <w:rFonts w:ascii="Arial" w:cs="Arial" w:eastAsia="Arial" w:hAnsi="Arial"/>
          <w:sz w:val="19"/>
          <w:szCs w:val="19"/>
          <w:color w:val="auto"/>
        </w:rPr>
        <w:t>the Term, each Party (or its Affiliates, licensees or sublicensees, as applicable) shall obtain and maintain all necessary authorizations, consents and approvals of any Regulatory Authority or other Governmental Body that is required in connection with the Development, Manufacture or Commercialization of the Compound or any Products in its respective Territory, or otherwise in connection with such Party’s the performance of its obligations under this Agreement. Neither Party nor any of its respective Affiliates has, nor will, in connection with the performance of this Agreement or otherwise in the Development, Manufacture or Commercialization of the Compound or any Products in its respective Territory, directly or indirectly, make, promise, authorize, ratify or offer to make, or take any act in furtherance of any payment or transfer of anything of value for the purpose of influencing, inducing or rewarding any act, omission or decision to secure an improper advantage, or improperly assisting such Party or any of its Affiliates in obtaining or retaining business, or in any way with the purpose or effect of public or commercial bribery. Each Party warrants that it and its Affiliates have taken and will take reasonable measures to prevent subcontractors, agents or any other Third Parties, subject to their control or determining influence, from doing so in connection with this Agreement or otherwise in connection with the Development, Manufacture or Commercialization of the Compound or any Products in its respective Territory. For the avoidance of doubt, this includes facilitating payments which are unofficial, improper, small payments or gifts offered or made to Government Officials to secure or expedite a routine or necessary action to which such Party or any of its Affiliates is legally entitled. In connection with the exercise of its rights and the performance of its obligations under this Agreement, or otherwise in connection with the Development, Manufacture or Commercialization of the Compound or any Products in its respective Territory, each Party shall, and shall require any of its Affiliates, licensees and sublicensees to, (i) respect the human rights of its staff and shall not employ or permit child labor, forced labor, unsafe working conditions, or cruel or abusive disciplinary practices in the workplace and shall not discriminate against any workers on any grounds (including race, religion, disability, gender, sexual orientation or gender identity), (ii) pay each employee at least the minimum wage, provide each employee with all legally mandated benefits, and comply with Laws on working hours and employment rights in the countries in which it operates, (iii) be respectful of its employees’ right to freedom of association, (iv) encourage compliance with these standards by any supplier of goods or services that it uses in performing its obligations under this Agreement or otherwise in connection with the Development, Manufacture or Commercialization of the Compound or any Products in its respective Territory, and (v) not employ or otherwise use in any capacity, the services of any Person debarred under United States Law, including under 21 U.S.C. Section 335a or any foreign equivalent thereof, with respect to the Compound or any Product.</w:t>
      </w:r>
    </w:p>
    <w:p>
      <w:pPr>
        <w:spacing w:after="0" w:line="200" w:lineRule="exact"/>
        <w:rPr>
          <w:sz w:val="20"/>
          <w:szCs w:val="20"/>
          <w:color w:val="auto"/>
        </w:rPr>
      </w:pPr>
    </w:p>
    <w:p>
      <w:pPr>
        <w:spacing w:after="0" w:line="206" w:lineRule="exact"/>
        <w:rPr>
          <w:sz w:val="20"/>
          <w:szCs w:val="20"/>
          <w:color w:val="auto"/>
        </w:rPr>
      </w:pPr>
    </w:p>
    <w:p>
      <w:pPr>
        <w:jc w:val="both"/>
        <w:ind w:left="880" w:hanging="8"/>
        <w:spacing w:after="0" w:line="287" w:lineRule="auto"/>
        <w:tabs>
          <w:tab w:leader="none" w:pos="1792" w:val="left"/>
        </w:tabs>
        <w:numPr>
          <w:ilvl w:val="0"/>
          <w:numId w:val="84"/>
        </w:numPr>
        <w:rPr>
          <w:rFonts w:ascii="Arial" w:cs="Arial" w:eastAsia="Arial" w:hAnsi="Arial"/>
          <w:sz w:val="19"/>
          <w:szCs w:val="19"/>
          <w:b w:val="1"/>
          <w:bCs w:val="1"/>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Section 3.10(a)</w:t>
      </w:r>
      <w:r>
        <w:rPr>
          <w:rFonts w:ascii="Arial" w:cs="Arial" w:eastAsia="Arial" w:hAnsi="Arial"/>
          <w:sz w:val="19"/>
          <w:szCs w:val="19"/>
          <w:color w:val="auto"/>
        </w:rPr>
        <w:t xml:space="preserve">, in connection with any Development, Manufacture or Commercialization of the Compound or any Product in their respective Territories, or otherwise in the performance of any of their respective other obligations under this Agreement, as applicable, each Party shall, and shall cause their respective Affiliates, licensees and sublicensees, to comply with the additional terms set forth on </w:t>
      </w:r>
      <w:r>
        <w:rPr>
          <w:rFonts w:ascii="Arial" w:cs="Arial" w:eastAsia="Arial" w:hAnsi="Arial"/>
          <w:sz w:val="19"/>
          <w:szCs w:val="19"/>
          <w:b w:val="1"/>
          <w:bCs w:val="1"/>
          <w:color w:val="auto"/>
        </w:rPr>
        <w:t>Schedule 3.10</w:t>
      </w:r>
      <w:r>
        <w:rPr>
          <w:rFonts w:ascii="Arial" w:cs="Arial" w:eastAsia="Arial" w:hAnsi="Arial"/>
          <w:sz w:val="19"/>
          <w:szCs w:val="19"/>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right="260" w:firstLine="8"/>
        <w:spacing w:after="0" w:line="266" w:lineRule="auto"/>
        <w:tabs>
          <w:tab w:leader="none" w:pos="435"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9" w:lineRule="exact"/>
        <w:rPr>
          <w:rFonts w:ascii="Arial" w:cs="Arial" w:eastAsia="Arial" w:hAnsi="Arial"/>
          <w:sz w:val="18"/>
          <w:szCs w:val="18"/>
          <w:b w:val="1"/>
          <w:bCs w:val="1"/>
          <w:color w:val="auto"/>
        </w:rPr>
      </w:pPr>
    </w:p>
    <w:p>
      <w:pPr>
        <w:jc w:val="both"/>
        <w:ind w:left="880" w:hanging="8"/>
        <w:spacing w:after="0" w:line="270" w:lineRule="auto"/>
        <w:tabs>
          <w:tab w:leader="none" w:pos="1768"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For clarity, notwithstanding anything to the contrary in this Agreement, each Party shall (and shall cause its Affiliates to) (i) promptly notify the other Party in writing if such Party (or any of its Affiliates, licensees or sublicensees) is not permitted to provide such other Party with any data, information, study reports or materials as a result of the application of any Laws in such Party’s respective Territory, including the Biosecurity Law and Management of Human Genetic Resources of the PRC, (ii) use its Commercially Reasonable Efforts to secure all such approvals and filings (including applying for any security assessments) as soon as possible after the Effective Date or at any time during the Term, as applicable, (and such Party shall keep the other Party informed as to the status thereof upon request from such other Party), (iii) use its Commercially Reasonable Efforts to obtain full and proper consents from all data subjects (including any Persons participating in any Clinical Trials conducted by or on behalf of such Party (or its Affiliates, licensees or sublicensees)) in such Party’s Territory that permit such Party (and its Affiliates, licensees or sublicensees, as applicable) to provide and share the personal information of such data subjects to such other Party (and its Affiliates or sublicensees), such that such other Party (and its Affiliates or sublicensees, as applicable) may receive, use, process and otherwise exploit such information as permitted under this Agreement, and (iv) at the request of such other Party, use its Commercially Reasonable Efforts to find alternative means for providing such other Party with such data, information, study reports or materials, as applicable, in a manner that is compliant with Laws, including to consult and cooperate with such other Party in connection therewith (including, if requested by such other Party, to provide any such data in anonymized form).</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REGULATORY ACTIVITIES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Regulatory Filings</w:t>
      </w:r>
    </w:p>
    <w:p>
      <w:pPr>
        <w:spacing w:after="0" w:line="212" w:lineRule="exact"/>
        <w:rPr>
          <w:sz w:val="20"/>
          <w:szCs w:val="20"/>
          <w:color w:val="auto"/>
        </w:rPr>
      </w:pPr>
    </w:p>
    <w:p>
      <w:pPr>
        <w:ind w:left="880" w:hanging="806"/>
        <w:spacing w:after="0" w:line="274" w:lineRule="auto"/>
        <w:tabs>
          <w:tab w:leader="none" w:pos="317"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As between the Parties, GSK shall solely own and have the exclusive right to maintain all Regulatory Documents and Regulatory Approvals for any Products in the GSK Territory, including all INDs and NDAs; provided, however, that Arrowhead shall own and maintain the IND for the Ongoing Phase I Clinical Trial until such IND is transferred to GSK (or its designee) pursuant to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Within thirty (30) days following the Completion of the Ongoing Phase I Clinical Trial, subject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Arrowhead shall transfer and assign to GSK (or its designee) the IND for such Ongoing Phase 1 Clinical Trial (together with any other Regulatory Documents for any Products in the GSK Territory, to the extent not transferred under the Technology Transfer Plan). As between the Parties and subject to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4.5</w:t>
      </w:r>
      <w:r>
        <w:rPr>
          <w:rFonts w:ascii="Arial" w:cs="Arial" w:eastAsia="Arial" w:hAnsi="Arial"/>
          <w:sz w:val="19"/>
          <w:szCs w:val="19"/>
          <w:color w:val="auto"/>
        </w:rPr>
        <w:t>, as applicable, Arrowhead shall solely own and have the exclusive right to maintain all Regulatory Documents and Regulatory Approvals for any Products in the Arrowhead Territory, including all INDs and NDAs.</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Communications with Regulatory Authorities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38" w:lineRule="auto"/>
        <w:tabs>
          <w:tab w:leader="none" w:pos="1780" w:val="left"/>
        </w:tabs>
        <w:numPr>
          <w:ilvl w:val="0"/>
          <w:numId w:val="87"/>
        </w:numPr>
        <w:rPr>
          <w:rFonts w:ascii="Arial" w:cs="Arial" w:eastAsia="Arial" w:hAnsi="Arial"/>
          <w:sz w:val="22"/>
          <w:szCs w:val="22"/>
          <w:b w:val="1"/>
          <w:bCs w:val="1"/>
          <w:color w:val="auto"/>
        </w:rPr>
      </w:pPr>
      <w:r>
        <w:rPr>
          <w:rFonts w:ascii="Arial" w:cs="Arial" w:eastAsia="Arial" w:hAnsi="Arial"/>
          <w:sz w:val="22"/>
          <w:szCs w:val="22"/>
          <w:color w:val="auto"/>
        </w:rPr>
        <w:t>During the Term, each Party (or one of its Affiliates, licensees or sublicensees (including in the case of GSK, Sublicensees)) shall be responsible, and act as the sole point of contact, for communications with Regulatory Authorities in connection with the Development, Manufacture or Commercialization of the Compound or any Products in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right="260" w:firstLine="8"/>
        <w:spacing w:after="0" w:line="266" w:lineRule="auto"/>
        <w:tabs>
          <w:tab w:leader="none" w:pos="43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44" w:lineRule="auto"/>
        <w:rPr>
          <w:sz w:val="20"/>
          <w:szCs w:val="20"/>
          <w:color w:val="auto"/>
        </w:rPr>
      </w:pPr>
      <w:r>
        <w:rPr>
          <w:rFonts w:ascii="Arial" w:cs="Arial" w:eastAsia="Arial" w:hAnsi="Arial"/>
          <w:sz w:val="21"/>
          <w:szCs w:val="21"/>
          <w:color w:val="auto"/>
        </w:rPr>
        <w:t xml:space="preserve">respective Territory. Neither GSK, with respect to the Arrowhead Territory, nor Arrowhead, with respect to the GSK Territory, shall initiate (or permit any of its respective Affiliates, licensees or sublicensees (including in the case of GSK, Sublicensees) to initiate), with respect to any Product, any meetings or contact with Regulatory Authorities in such Territory, without the other Party’s prior written consent, and to the extent Arrowhead or any of its Affiliates receives any written or oral communication from any Regulatory Authority in the GSK Territory relating to any Product or GSK or any of its Affiliates receives any written or oral communication from any Regulatory Authority in the Arrowhead Territory relating to any Product, to the extent not prohibited by Law, such Party shall (i) refer such Regulatory Authority to the other Party, and (ii) as soon as reasonably practicable (but in any event within three (3) Business Days of receipt of such communication), notify and provide the other Party with a copy of any written communication received by such Party or such Affiliate or, if applicable, complete and accurate minutes of such oral communication. Notwithstanding the foregoing, Arrowhead shall be responsible, and act as the sole point of contact, for communications with Regulatory Authorities in connection with the Ongoing Phase I Clinical Trial until the IND for such Clinical Trial is transferred to GSK in accordance with </w:t>
      </w:r>
      <w:r>
        <w:rPr>
          <w:rFonts w:ascii="Arial" w:cs="Arial" w:eastAsia="Arial" w:hAnsi="Arial"/>
          <w:sz w:val="21"/>
          <w:szCs w:val="21"/>
          <w:u w:val="single" w:color="auto"/>
          <w:color w:val="auto"/>
        </w:rPr>
        <w:t>Section 4.1</w:t>
      </w:r>
      <w:r>
        <w:rPr>
          <w:rFonts w:ascii="Arial" w:cs="Arial" w:eastAsia="Arial" w:hAnsi="Arial"/>
          <w:sz w:val="21"/>
          <w:szCs w:val="21"/>
          <w:color w:val="auto"/>
        </w:rPr>
        <w:t>, at which point such responsibility shall transfer to GSK.</w:t>
      </w:r>
    </w:p>
    <w:p>
      <w:pPr>
        <w:spacing w:after="0" w:line="181" w:lineRule="exact"/>
        <w:rPr>
          <w:sz w:val="20"/>
          <w:szCs w:val="20"/>
          <w:color w:val="auto"/>
        </w:rPr>
      </w:pPr>
    </w:p>
    <w:p>
      <w:pPr>
        <w:jc w:val="both"/>
        <w:ind w:left="880" w:hanging="8"/>
        <w:spacing w:after="0" w:line="270" w:lineRule="auto"/>
        <w:tabs>
          <w:tab w:leader="none" w:pos="1792" w:val="left"/>
        </w:tabs>
        <w:numPr>
          <w:ilvl w:val="0"/>
          <w:numId w:val="89"/>
        </w:numPr>
        <w:rPr>
          <w:rFonts w:ascii="Arial" w:cs="Arial" w:eastAsia="Arial" w:hAnsi="Arial"/>
          <w:sz w:val="19"/>
          <w:szCs w:val="19"/>
          <w:b w:val="1"/>
          <w:bCs w:val="1"/>
          <w:color w:val="auto"/>
        </w:rPr>
      </w:pPr>
      <w:r>
        <w:rPr>
          <w:rFonts w:ascii="Arial" w:cs="Arial" w:eastAsia="Arial" w:hAnsi="Arial"/>
          <w:sz w:val="19"/>
          <w:szCs w:val="19"/>
          <w:color w:val="auto"/>
        </w:rPr>
        <w:t>Each Party will provide the other Party with written notice of the submission of any filings or applications for Regulatory Approval of a Product or receipt or denial of any such Regulatory Approval with (i) in the case of GSK as the notifying Party, the FDA, EMA or, with respect to any Major European Country, with such other Regulatory Authority in such country, and (ii) in the case of Arrowhead as the notifying Party, the Regulatory Authorities in the Arrowhead Territory; provided, however, that, unless otherwise required by Law, such notifying Party will inform the other Party of such event prior to public disclosure thereof. Each Party will provide the other Party with reasonable advance notice, or with as much advance notice as practicable under the circumstances, of (A) in the case of GSK as the notifying Party, all substantive meetings pertaining to any Product with the FDA, EMA or, with respect to any Major European Country, with such other Regulatory Authority in such country, and (B) in the case of Arrowhead as the notifying Party, all substantive meetings with the Regulatory Authorities in the Arrowhead Territory, in each case ((A) or (B)), solely to the extent that (1) such meeting is primarily related to one or more Product(s) in the notifying Party’s respective Territory and (2) the subject matter of such meeting would reasonably be expected to have a material effect on the Development or Commercialization of the Compound or any Product in the other Party’s respective Territory; provided that, with respect to any such meeting for which notice has been provided pursuant to the foregoing, to the extent permitted by Law and the applicable Regulatory Authority, the Party receiving such notice (or a representative of such Party’s (sub)licensee) shall have the right to reasonably request, subject to the notifying Party’s consent, to attend such meeting as a non-participating observer.</w:t>
      </w: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color w:val="auto"/>
        </w:rPr>
        <w:t>Assistance</w:t>
      </w:r>
    </w:p>
    <w:p>
      <w:pPr>
        <w:spacing w:after="0" w:line="212" w:lineRule="exact"/>
        <w:rPr>
          <w:sz w:val="20"/>
          <w:szCs w:val="20"/>
          <w:color w:val="auto"/>
        </w:rPr>
      </w:pPr>
    </w:p>
    <w:p>
      <w:pPr>
        <w:ind w:left="880" w:hanging="806"/>
        <w:spacing w:after="0" w:line="297" w:lineRule="auto"/>
        <w:tabs>
          <w:tab w:leader="none" w:pos="204" w:val="left"/>
        </w:tabs>
        <w:numPr>
          <w:ilvl w:val="0"/>
          <w:numId w:val="90"/>
        </w:numPr>
        <w:rPr>
          <w:rFonts w:ascii="Arial" w:cs="Arial" w:eastAsia="Arial" w:hAnsi="Arial"/>
          <w:sz w:val="19"/>
          <w:szCs w:val="19"/>
          <w:color w:val="auto"/>
        </w:rPr>
      </w:pPr>
      <w:r>
        <w:rPr>
          <w:rFonts w:ascii="Arial" w:cs="Arial" w:eastAsia="Arial" w:hAnsi="Arial"/>
          <w:sz w:val="19"/>
          <w:szCs w:val="19"/>
          <w:color w:val="auto"/>
        </w:rPr>
        <w:t>Upon GSK’s request, Arrowhead shall, and shall cause its Affiliates to, support GSK and its Affiliates, as may be reasonably necessary, in obtaining Regulatory Approvals for the Products and in the activities in support thereof, including providing any documents or other materials in the possession or Control of Arrowhead or any of its Affiliates as may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right="260" w:firstLine="8"/>
        <w:spacing w:after="0" w:line="266" w:lineRule="auto"/>
        <w:tabs>
          <w:tab w:leader="none" w:pos="435"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45" w:lineRule="auto"/>
        <w:rPr>
          <w:sz w:val="20"/>
          <w:szCs w:val="20"/>
          <w:color w:val="auto"/>
        </w:rPr>
      </w:pPr>
      <w:r>
        <w:rPr>
          <w:rFonts w:ascii="Arial" w:cs="Arial" w:eastAsia="Arial" w:hAnsi="Arial"/>
          <w:sz w:val="21"/>
          <w:szCs w:val="21"/>
          <w:color w:val="auto"/>
        </w:rPr>
        <w:t>be reasonably necessary or useful for GSK or any of its Affiliates or Sublicensees to obtain Regulatory Approvals for the Products. If any Regulatory Authority (a) contacts a Party or its Affiliate with respect to the alleged improper Development, Manufacture or Commercialization of the Compound or any Product in the GSK Territory or the Arrowhead Territory; (b) conducts, or gives notice of its intent to conduct, an inspection at a Party’s or its Affiliate’s facilities used in the Development or Manufacturing of the Compound or any Product in the GSK Territory or the Arrowhead Territory; or (c) takes, or gives notice of its intent to take, any other regulatory action with respect to any activity of a Party (or its Affiliates, licensees or sublicensees, as applicable) that could reasonably be expected to adversely affect any Development, Manufacture or Commercialization with respect to the Compound or any Product in the GSK Territory or the Arrowhead Territory, then such Party will promptly notify the other Party of such contact, inspection or notice.</w:t>
      </w:r>
    </w:p>
    <w:p>
      <w:pPr>
        <w:spacing w:after="0" w:line="17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Pharmacovigilance</w:t>
      </w:r>
    </w:p>
    <w:p>
      <w:pPr>
        <w:spacing w:after="0" w:line="212" w:lineRule="exact"/>
        <w:rPr>
          <w:sz w:val="20"/>
          <w:szCs w:val="20"/>
          <w:color w:val="auto"/>
        </w:rPr>
      </w:pPr>
    </w:p>
    <w:p>
      <w:pPr>
        <w:ind w:left="880" w:hanging="806"/>
        <w:spacing w:after="0" w:line="271" w:lineRule="auto"/>
        <w:tabs>
          <w:tab w:leader="none" w:pos="229"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Parties will cooperate with each other with regard to the reporting and handling of safety information involving the Compound and Products in their respective Territories in accordance with Law, regulatory requirements, and regulations on pharmacovigilance, clinical safety and data privacy. Without limiting the foregoing, (a) prior to the Completion of the Ongoing Phase 1 Clinical Trial, Arrowhead will own and maintain the safety database with respect to all Products; (b) following Completion of the Ongoing Phase 1 Clinical Trial, on timelines and format to be agreed by the Parties and set forth in the Technology Transfer Plan (but, in any event, prior to the Initiation of the first Clinical Trial by or on behalf of GSK (or any of its Affiliates or Sublicensees, as applicable)), Arrowhead shall transfer a copy of such safety database to GSK (or its Affiliate) and thereafter GSK will establish a global safety database for each Product Developed hereunder and, as between the Parties, shall own and maintain such global safety database for each such Product; and (c) at least sixty (60) Business Days prior to the commencement of the first Clinical Trial by or on behalf of either Party (or any of its Affiliates or, in the case of GSK, Sublicensees, as applicable) or earlier upon mutual agreement of the Parties, the Parties will negotiate in good faith and enter into a pharmacovigilance agreement related to the Compound and Products, which will define the pharmacovigilance responsibilities of the Parties and include safety data exchange procedures governing the exchange of information affecting the Compound and Products (e.g., Adverse Events, serious Adverse Events, emerging safety issues) to enable each Party to comply with all Laws related to the Compound and Products (the “</w:t>
      </w:r>
      <w:r>
        <w:rPr>
          <w:rFonts w:ascii="Arial" w:cs="Arial" w:eastAsia="Arial" w:hAnsi="Arial"/>
          <w:sz w:val="19"/>
          <w:szCs w:val="19"/>
          <w:b w:val="1"/>
          <w:bCs w:val="1"/>
          <w:color w:val="auto"/>
        </w:rPr>
        <w:t>Pharmacovigilance Agreement</w:t>
      </w:r>
      <w:r>
        <w:rPr>
          <w:rFonts w:ascii="Arial" w:cs="Arial" w:eastAsia="Arial" w:hAnsi="Arial"/>
          <w:sz w:val="19"/>
          <w:szCs w:val="19"/>
          <w:color w:val="auto"/>
        </w:rPr>
        <w:t>”).</w:t>
      </w:r>
    </w:p>
    <w:p>
      <w:pPr>
        <w:spacing w:after="0" w:line="15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Right of Reference</w:t>
      </w:r>
    </w:p>
    <w:p>
      <w:pPr>
        <w:spacing w:after="0" w:line="212" w:lineRule="exact"/>
        <w:rPr>
          <w:sz w:val="20"/>
          <w:szCs w:val="20"/>
          <w:color w:val="auto"/>
        </w:rPr>
      </w:pPr>
    </w:p>
    <w:p>
      <w:pPr>
        <w:ind w:left="880" w:hanging="806"/>
        <w:spacing w:after="0" w:line="246" w:lineRule="auto"/>
        <w:tabs>
          <w:tab w:leader="none" w:pos="249"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Arrowhead hereby grants to GSK and its Affiliates an exclusive (even as to Arrowhead and its Affiliates), fully-paid, royalty-free, fully sublicensable (including through multiple tiers,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transferrable (in accordance with </w:t>
      </w:r>
      <w:r>
        <w:rPr>
          <w:rFonts w:ascii="Arial" w:cs="Arial" w:eastAsia="Arial" w:hAnsi="Arial"/>
          <w:sz w:val="21"/>
          <w:szCs w:val="21"/>
          <w:u w:val="single" w:color="auto"/>
          <w:color w:val="auto"/>
        </w:rPr>
        <w:t>Section 13.2</w:t>
      </w:r>
      <w:r>
        <w:rPr>
          <w:rFonts w:ascii="Arial" w:cs="Arial" w:eastAsia="Arial" w:hAnsi="Arial"/>
          <w:sz w:val="21"/>
          <w:szCs w:val="21"/>
          <w:color w:val="auto"/>
        </w:rPr>
        <w:t>) license and right of reference under any Regulatory Documents or Regulatory Approvals (other than Arrowhead Excluded Know-How, if any, contained therein) for any Products in the Arrowhead Territory, including all INDs and NDAs, solely for the purpose of obtaining Regulatory Approvals with respect to the Compound or any Product in the GSK Territory. In addition, upon GSK’s request, Arrowhead will provide GSK with access to or copies of any data (other than Arrowhead Excluded Know-How) Controlled by Arrowhead with respect to the Compound or any Product in the Arrowhead Territory that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right="260" w:firstLine="8"/>
        <w:spacing w:after="0" w:line="266" w:lineRule="auto"/>
        <w:tabs>
          <w:tab w:leader="none" w:pos="43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spacing w:after="0" w:line="250" w:lineRule="auto"/>
        <w:rPr>
          <w:sz w:val="20"/>
          <w:szCs w:val="20"/>
          <w:color w:val="auto"/>
        </w:rPr>
      </w:pPr>
      <w:r>
        <w:rPr>
          <w:rFonts w:ascii="Arial" w:cs="Arial" w:eastAsia="Arial" w:hAnsi="Arial"/>
          <w:sz w:val="22"/>
          <w:szCs w:val="22"/>
          <w:color w:val="auto"/>
        </w:rPr>
        <w:t>is necessary or useful for purposes of GSK’s or any of its Affiliates’ or Sublicensees’ Regulatory Documents or Regulatory Approvals for any Products in the GSK Territory under this Agreement.</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8"/>
          <w:szCs w:val="18"/>
          <w:b w:val="1"/>
          <w:bCs w:val="1"/>
          <w:color w:val="auto"/>
        </w:rPr>
        <w:t>Recalls</w:t>
      </w:r>
    </w:p>
    <w:p>
      <w:pPr>
        <w:spacing w:after="0" w:line="212" w:lineRule="exact"/>
        <w:rPr>
          <w:sz w:val="20"/>
          <w:szCs w:val="20"/>
          <w:color w:val="auto"/>
        </w:rPr>
      </w:pPr>
    </w:p>
    <w:p>
      <w:pPr>
        <w:ind w:left="880" w:hanging="806"/>
        <w:spacing w:after="0" w:line="273" w:lineRule="auto"/>
        <w:tabs>
          <w:tab w:leader="none" w:pos="2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Subject to the terms and conditions herein, as between the Parties, (a) GSK shall have the sole right to determine whether and how to implement a recall or other market withdrawal of any Product in the GSK Territory; and (b) Arrowhead shall have the sole right to determine whether and how to implement a recall or other market withdrawal of any Product in the Arrowhead Territory. Each Party, to the extent possible, (i) shall provide notice to the other Party, as promptly as possible (and in advance to the extent permitted under the circumstances and under Law), in the event that any Regulatory Authority issues or requests a recall or takes a similar action in connection with a Product in its respective Territory, or in the event such Party determines that an event, incident or circumstance has occurred that may result in the need for a recall or market withdrawal of a Product in its respective Territory, and (ii) to the extent permitted under Law, shall, and shall cause its Affiliates, licensees and sublicensees to, cooperate in good faith with such other Party and to disclose to such other Party a high-level summary of any material, non-privileged information relating to any such recall or other market withdrawal.</w:t>
      </w:r>
    </w:p>
    <w:p>
      <w:pPr>
        <w:spacing w:after="0" w:line="39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FINANCIAL PROVISIONS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Upfront Payment</w:t>
      </w:r>
    </w:p>
    <w:p>
      <w:pPr>
        <w:spacing w:after="0" w:line="212" w:lineRule="exact"/>
        <w:rPr>
          <w:sz w:val="20"/>
          <w:szCs w:val="20"/>
          <w:color w:val="auto"/>
        </w:rPr>
      </w:pPr>
    </w:p>
    <w:p>
      <w:pPr>
        <w:ind w:left="880" w:hanging="806"/>
        <w:spacing w:after="0" w:line="257" w:lineRule="auto"/>
        <w:tabs>
          <w:tab w:leader="none" w:pos="191"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In partial consideration of Arrowhead’s grant of the rights and licenses to GSK hereunder, within [***] the Effective Date and GSK’s receipt of a Valid Invoice in accordance with </w:t>
      </w:r>
      <w:r>
        <w:rPr>
          <w:rFonts w:ascii="Arial" w:cs="Arial" w:eastAsia="Arial" w:hAnsi="Arial"/>
          <w:sz w:val="21"/>
          <w:szCs w:val="21"/>
          <w:u w:val="single" w:color="auto"/>
          <w:color w:val="auto"/>
        </w:rPr>
        <w:t>Section 5.5(b)</w:t>
      </w:r>
      <w:r>
        <w:rPr>
          <w:rFonts w:ascii="Arial" w:cs="Arial" w:eastAsia="Arial" w:hAnsi="Arial"/>
          <w:sz w:val="21"/>
          <w:szCs w:val="21"/>
          <w:color w:val="auto"/>
        </w:rPr>
        <w:t>, GSK shall make a one-time, non-refundable, non-creditable payment to Arrowhead of One Hundred Twenty Million Dollars ($120,000,000).</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Development Milestones</w:t>
      </w:r>
    </w:p>
    <w:p>
      <w:pPr>
        <w:spacing w:after="0" w:line="212" w:lineRule="exact"/>
        <w:rPr>
          <w:sz w:val="20"/>
          <w:szCs w:val="20"/>
          <w:color w:val="auto"/>
        </w:rPr>
      </w:pPr>
    </w:p>
    <w:p>
      <w:pPr>
        <w:ind w:left="880" w:hanging="806"/>
        <w:spacing w:after="0" w:line="287" w:lineRule="auto"/>
        <w:tabs>
          <w:tab w:leader="none" w:pos="2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in partial consideration of Arrowhead’s grant of the rights and licenses to GSK hereunder, GSK shall pay to Arrowhead, in accordance with the terms in this </w:t>
      </w:r>
      <w:r>
        <w:rPr>
          <w:rFonts w:ascii="Arial" w:cs="Arial" w:eastAsia="Arial" w:hAnsi="Arial"/>
          <w:sz w:val="19"/>
          <w:szCs w:val="19"/>
          <w:u w:val="single" w:color="auto"/>
          <w:color w:val="auto"/>
        </w:rPr>
        <w:t>Section 5.2</w:t>
      </w:r>
      <w:r>
        <w:rPr>
          <w:rFonts w:ascii="Arial" w:cs="Arial" w:eastAsia="Arial" w:hAnsi="Arial"/>
          <w:sz w:val="19"/>
          <w:szCs w:val="19"/>
          <w:color w:val="auto"/>
        </w:rPr>
        <w:t>, the following one-time, non-refundable, non-creditable milestone payments (each, a “</w:t>
      </w:r>
      <w:r>
        <w:rPr>
          <w:rFonts w:ascii="Arial" w:cs="Arial" w:eastAsia="Arial" w:hAnsi="Arial"/>
          <w:sz w:val="19"/>
          <w:szCs w:val="19"/>
          <w:b w:val="1"/>
          <w:bCs w:val="1"/>
          <w:color w:val="auto"/>
        </w:rPr>
        <w:t>Development Milestone Payment</w:t>
      </w:r>
      <w:r>
        <w:rPr>
          <w:rFonts w:ascii="Arial" w:cs="Arial" w:eastAsia="Arial" w:hAnsi="Arial"/>
          <w:sz w:val="19"/>
          <w:szCs w:val="19"/>
          <w:color w:val="auto"/>
        </w:rPr>
        <w:t>”) upon the first achievement by GSK or any of its Affiliates or Sublicensees of the corresponding milestone event (each, “</w:t>
      </w:r>
      <w:r>
        <w:rPr>
          <w:rFonts w:ascii="Arial" w:cs="Arial" w:eastAsia="Arial" w:hAnsi="Arial"/>
          <w:sz w:val="19"/>
          <w:szCs w:val="19"/>
          <w:b w:val="1"/>
          <w:bCs w:val="1"/>
          <w:color w:val="auto"/>
        </w:rPr>
        <w:t>Development Milestone Event</w:t>
      </w:r>
      <w:r>
        <w:rPr>
          <w:rFonts w:ascii="Arial" w:cs="Arial" w:eastAsia="Arial" w:hAnsi="Arial"/>
          <w:sz w:val="19"/>
          <w:szCs w:val="19"/>
          <w:color w:val="auto"/>
        </w:rPr>
        <w:t>”):</w:t>
      </w:r>
    </w:p>
    <w:p>
      <w:pPr>
        <w:spacing w:after="0" w:line="144" w:lineRule="exact"/>
        <w:rPr>
          <w:sz w:val="20"/>
          <w:szCs w:val="20"/>
          <w:color w:val="auto"/>
        </w:rPr>
      </w:pPr>
    </w:p>
    <w:tbl>
      <w:tblPr>
        <w:tblLayout w:type="fixed"/>
        <w:tblInd w:w="1490" w:type="dxa"/>
        <w:tblCellMar>
          <w:top w:w="0" w:type="dxa"/>
          <w:left w:w="0" w:type="dxa"/>
          <w:bottom w:w="0" w:type="dxa"/>
          <w:right w:w="0" w:type="dxa"/>
        </w:tblCellMar>
      </w:tblPr>
      <w:tr>
        <w:trPr>
          <w:trHeight w:val="229"/>
        </w:trPr>
        <w:tc>
          <w:tcPr>
            <w:tcW w:w="6440" w:type="dxa"/>
            <w:vAlign w:val="bottom"/>
            <w:tcBorders>
              <w:top w:val="single" w:sz="8" w:color="auto"/>
              <w:left w:val="single" w:sz="8" w:color="auto"/>
              <w:right w:val="single" w:sz="8" w:color="auto"/>
            </w:tcBorders>
          </w:tcPr>
          <w:p>
            <w:pPr>
              <w:ind w:left="1840"/>
              <w:spacing w:after="0" w:line="229" w:lineRule="exact"/>
              <w:rPr>
                <w:sz w:val="20"/>
                <w:szCs w:val="20"/>
                <w:color w:val="auto"/>
              </w:rPr>
            </w:pPr>
            <w:r>
              <w:rPr>
                <w:rFonts w:ascii="Arial" w:cs="Arial" w:eastAsia="Arial" w:hAnsi="Arial"/>
                <w:sz w:val="22"/>
                <w:szCs w:val="22"/>
                <w:b w:val="1"/>
                <w:bCs w:val="1"/>
                <w:color w:val="auto"/>
              </w:rPr>
              <w:t>Development Milestone Event</w:t>
            </w:r>
          </w:p>
        </w:tc>
        <w:tc>
          <w:tcPr>
            <w:tcW w:w="1880" w:type="dxa"/>
            <w:vAlign w:val="bottom"/>
            <w:tcBorders>
              <w:top w:val="single" w:sz="8" w:color="auto"/>
              <w:right w:val="single" w:sz="8" w:color="auto"/>
            </w:tcBorders>
          </w:tcPr>
          <w:p>
            <w:pPr>
              <w:jc w:val="right"/>
              <w:ind w:right="252"/>
              <w:spacing w:after="0" w:line="229" w:lineRule="exact"/>
              <w:rPr>
                <w:sz w:val="20"/>
                <w:szCs w:val="20"/>
                <w:color w:val="auto"/>
              </w:rPr>
            </w:pPr>
            <w:r>
              <w:rPr>
                <w:rFonts w:ascii="Arial" w:cs="Arial" w:eastAsia="Arial" w:hAnsi="Arial"/>
                <w:sz w:val="22"/>
                <w:szCs w:val="22"/>
                <w:b w:val="1"/>
                <w:bCs w:val="1"/>
                <w:color w:val="auto"/>
              </w:rPr>
              <w:t>Development</w:t>
            </w:r>
          </w:p>
        </w:tc>
      </w:tr>
      <w:tr>
        <w:trPr>
          <w:trHeight w:val="280"/>
        </w:trPr>
        <w:tc>
          <w:tcPr>
            <w:tcW w:w="644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2"/>
                <w:szCs w:val="22"/>
                <w:b w:val="1"/>
                <w:bCs w:val="1"/>
                <w:color w:val="auto"/>
                <w:w w:val="89"/>
              </w:rPr>
              <w:t>Milestone Payment</w:t>
            </w:r>
          </w:p>
        </w:tc>
      </w:tr>
      <w:tr>
        <w:trPr>
          <w:trHeight w:val="246"/>
        </w:trPr>
        <w:tc>
          <w:tcPr>
            <w:tcW w:w="6440" w:type="dxa"/>
            <w:vAlign w:val="bottom"/>
            <w:tcBorders>
              <w:left w:val="single" w:sz="8" w:color="auto"/>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r>
      <w:tr>
        <w:trPr>
          <w:trHeight w:val="215"/>
        </w:trPr>
        <w:tc>
          <w:tcPr>
            <w:tcW w:w="6440" w:type="dxa"/>
            <w:vAlign w:val="bottom"/>
            <w:tcBorders>
              <w:left w:val="single" w:sz="8" w:color="auto"/>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First patient dosed in the first Phase II Clinical Trial of a Product in the</w:t>
            </w:r>
          </w:p>
        </w:tc>
        <w:tc>
          <w:tcPr>
            <w:tcW w:w="188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$30,000,000</w:t>
            </w:r>
          </w:p>
        </w:tc>
      </w:tr>
      <w:tr>
        <w:trPr>
          <w:trHeight w:val="264"/>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GSK Territory</w:t>
            </w:r>
          </w:p>
        </w:tc>
        <w:tc>
          <w:tcPr>
            <w:tcW w:w="1880" w:type="dxa"/>
            <w:vAlign w:val="bottom"/>
            <w:tcBorders>
              <w:bottom w:val="single" w:sz="8" w:color="auto"/>
              <w:right w:val="single" w:sz="8" w:color="auto"/>
            </w:tcBorders>
          </w:tcPr>
          <w:p>
            <w:pPr>
              <w:spacing w:after="0"/>
              <w:rPr>
                <w:sz w:val="22"/>
                <w:szCs w:val="22"/>
                <w:color w:val="auto"/>
              </w:rPr>
            </w:pPr>
          </w:p>
        </w:tc>
      </w:tr>
      <w:tr>
        <w:trPr>
          <w:trHeight w:val="215"/>
        </w:trPr>
        <w:tc>
          <w:tcPr>
            <w:tcW w:w="6440" w:type="dxa"/>
            <w:vAlign w:val="bottom"/>
            <w:tcBorders>
              <w:left w:val="single" w:sz="8" w:color="auto"/>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3"/>
              </w:rPr>
              <w:t>First patient dosed in the first Phase III Clinical Trial of a Product in the</w:t>
            </w:r>
          </w:p>
        </w:tc>
        <w:tc>
          <w:tcPr>
            <w:tcW w:w="188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$100,000,000</w:t>
            </w:r>
          </w:p>
        </w:tc>
      </w:tr>
      <w:tr>
        <w:trPr>
          <w:trHeight w:val="264"/>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GSK Territory</w:t>
            </w:r>
          </w:p>
        </w:tc>
        <w:tc>
          <w:tcPr>
            <w:tcW w:w="1880" w:type="dxa"/>
            <w:vAlign w:val="bottom"/>
            <w:tcBorders>
              <w:bottom w:val="single" w:sz="8" w:color="auto"/>
              <w:right w:val="single" w:sz="8" w:color="auto"/>
            </w:tcBorders>
          </w:tcPr>
          <w:p>
            <w:pPr>
              <w:spacing w:after="0"/>
              <w:rPr>
                <w:sz w:val="22"/>
                <w:szCs w:val="22"/>
                <w:color w:val="auto"/>
              </w:rPr>
            </w:pPr>
          </w:p>
        </w:tc>
      </w:tr>
      <w:tr>
        <w:trPr>
          <w:trHeight w:val="237"/>
        </w:trPr>
        <w:tc>
          <w:tcPr>
            <w:tcW w:w="64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w:t>
            </w:r>
          </w:p>
        </w:tc>
        <w:tc>
          <w:tcPr>
            <w:tcW w:w="188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r>
      <w:tr>
        <w:trPr>
          <w:trHeight w:val="237"/>
        </w:trPr>
        <w:tc>
          <w:tcPr>
            <w:tcW w:w="644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w:t>
            </w:r>
          </w:p>
        </w:tc>
        <w:tc>
          <w:tcPr>
            <w:tcW w:w="188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right="260" w:firstLine="8"/>
        <w:spacing w:after="0" w:line="266" w:lineRule="auto"/>
        <w:tabs>
          <w:tab w:leader="none" w:pos="435"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43" w:lineRule="exact"/>
        <w:rPr>
          <w:sz w:val="20"/>
          <w:szCs w:val="20"/>
          <w:color w:val="auto"/>
        </w:rPr>
      </w:pPr>
    </w:p>
    <w:p>
      <w:pPr>
        <w:jc w:val="both"/>
        <w:ind w:left="880"/>
        <w:spacing w:after="0" w:line="271" w:lineRule="auto"/>
        <w:rPr>
          <w:sz w:val="20"/>
          <w:szCs w:val="20"/>
          <w:color w:val="auto"/>
        </w:rPr>
      </w:pPr>
      <w:r>
        <w:rPr>
          <w:rFonts w:ascii="Arial" w:cs="Arial" w:eastAsia="Arial" w:hAnsi="Arial"/>
          <w:sz w:val="19"/>
          <w:szCs w:val="19"/>
          <w:color w:val="auto"/>
        </w:rPr>
        <w:t xml:space="preserve">Each Development Milestone Payment shall be paid only one time, regardless of the number of Products that achieve the corresponding Development Milestone Event or the number of times a given Product achieves such corresponding Development Milestone Event (including for additional Indications). GSK shall notify Arrowhead within [***] Business Days following the achievement of a given Development Milestone Event by GSK or any of its Affiliates (or, in the event that a Development Milestone Event is achieved by or on behalf of a Sublicensees, within [***] Business Days following GSK’s receipt of notice from such Sublicensee with respect to the achievement of such Development Milestone Event, as applicable), and the corresponding Development Milestone Payment shall be due within [***] days following GSK’s receipt of a Valid Invoice in accordance with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for such Development Milestone Payment. In the event that GSK (or its Affiliate or Sublicensee) achieves any subsequent Development Milestone Event under this Section 5.2 without a prior Development Milestone Event having been first achieved, then the Development Milestone Payment for such skipped Development Milestone Event shall be paid at the same time as the Development Milestone Payment for the subsequent Development Milestone Event, except in the case of any skipped Development Milestone Event that is specific to a jurisdiction, where the subsequent milestone event is achieved with respect to a different specific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-504825</wp:posOffset>
            </wp:positionV>
            <wp:extent cx="642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38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color w:val="auto"/>
        </w:rPr>
        <w:t>Sales Milestones</w:t>
      </w:r>
    </w:p>
    <w:p>
      <w:pPr>
        <w:spacing w:after="0" w:line="212" w:lineRule="exact"/>
        <w:rPr>
          <w:sz w:val="20"/>
          <w:szCs w:val="20"/>
          <w:color w:val="auto"/>
        </w:rPr>
      </w:pPr>
    </w:p>
    <w:p>
      <w:pPr>
        <w:ind w:left="880" w:hanging="806"/>
        <w:spacing w:after="0" w:line="282" w:lineRule="auto"/>
        <w:tabs>
          <w:tab w:leader="none" w:pos="2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in partial consideration of Arrowhead’s grant of the rights and licenses to GSK hereunder, GSK shall pay to Arrowhead, in accordance with the terms in this </w:t>
      </w:r>
      <w:r>
        <w:rPr>
          <w:rFonts w:ascii="Arial" w:cs="Arial" w:eastAsia="Arial" w:hAnsi="Arial"/>
          <w:sz w:val="19"/>
          <w:szCs w:val="19"/>
          <w:u w:val="single" w:color="auto"/>
          <w:color w:val="auto"/>
        </w:rPr>
        <w:t>Section 5.3</w:t>
      </w:r>
      <w:r>
        <w:rPr>
          <w:rFonts w:ascii="Arial" w:cs="Arial" w:eastAsia="Arial" w:hAnsi="Arial"/>
          <w:sz w:val="19"/>
          <w:szCs w:val="19"/>
          <w:color w:val="auto"/>
        </w:rPr>
        <w:t>, the following one-time, non-refundable, non-creditable milestone payments (each, a “</w:t>
      </w:r>
      <w:r>
        <w:rPr>
          <w:rFonts w:ascii="Arial" w:cs="Arial" w:eastAsia="Arial" w:hAnsi="Arial"/>
          <w:sz w:val="19"/>
          <w:szCs w:val="19"/>
          <w:b w:val="1"/>
          <w:bCs w:val="1"/>
          <w:color w:val="auto"/>
        </w:rPr>
        <w:t>Sales Milestone Payment</w:t>
      </w:r>
      <w:r>
        <w:rPr>
          <w:rFonts w:ascii="Arial" w:cs="Arial" w:eastAsia="Arial" w:hAnsi="Arial"/>
          <w:sz w:val="19"/>
          <w:szCs w:val="19"/>
          <w:color w:val="auto"/>
        </w:rPr>
        <w:t>”) upon the first achievement of the corresponding milestone event (each, “</w:t>
      </w:r>
      <w:r>
        <w:rPr>
          <w:rFonts w:ascii="Arial" w:cs="Arial" w:eastAsia="Arial" w:hAnsi="Arial"/>
          <w:sz w:val="19"/>
          <w:szCs w:val="19"/>
          <w:b w:val="1"/>
          <w:bCs w:val="1"/>
          <w:color w:val="auto"/>
        </w:rPr>
        <w:t>Sales Milestone Event</w:t>
      </w:r>
      <w:r>
        <w:rPr>
          <w:rFonts w:ascii="Arial" w:cs="Arial" w:eastAsia="Arial" w:hAnsi="Arial"/>
          <w:sz w:val="19"/>
          <w:szCs w:val="19"/>
          <w:color w:val="auto"/>
        </w:rPr>
        <w:t>”) based on the aggregate annual Net Sales of all Products by or on behalf of GSK or any of its Affiliates or Sublicensees in the GSK Territory during a given Calendar Year.</w:t>
      </w:r>
    </w:p>
    <w:p>
      <w:pPr>
        <w:spacing w:after="0" w:line="149" w:lineRule="exact"/>
        <w:rPr>
          <w:sz w:val="20"/>
          <w:szCs w:val="20"/>
          <w:color w:val="auto"/>
        </w:rPr>
      </w:pPr>
    </w:p>
    <w:tbl>
      <w:tblPr>
        <w:tblLayout w:type="fixed"/>
        <w:tblInd w:w="1490" w:type="dxa"/>
        <w:tblCellMar>
          <w:top w:w="0" w:type="dxa"/>
          <w:left w:w="0" w:type="dxa"/>
          <w:bottom w:w="0" w:type="dxa"/>
          <w:right w:w="0" w:type="dxa"/>
        </w:tblCellMar>
      </w:tblPr>
      <w:tr>
        <w:trPr>
          <w:trHeight w:val="229"/>
        </w:trPr>
        <w:tc>
          <w:tcPr>
            <w:tcW w:w="6440" w:type="dxa"/>
            <w:vAlign w:val="bottom"/>
            <w:tcBorders>
              <w:top w:val="single" w:sz="8" w:color="auto"/>
              <w:left w:val="single" w:sz="8" w:color="auto"/>
              <w:right w:val="single" w:sz="8" w:color="auto"/>
            </w:tcBorders>
          </w:tcPr>
          <w:p>
            <w:pPr>
              <w:ind w:left="2220"/>
              <w:spacing w:after="0" w:line="229" w:lineRule="exact"/>
              <w:rPr>
                <w:sz w:val="20"/>
                <w:szCs w:val="20"/>
                <w:color w:val="auto"/>
              </w:rPr>
            </w:pPr>
            <w:r>
              <w:rPr>
                <w:rFonts w:ascii="Arial" w:cs="Arial" w:eastAsia="Arial" w:hAnsi="Arial"/>
                <w:sz w:val="22"/>
                <w:szCs w:val="22"/>
                <w:b w:val="1"/>
                <w:bCs w:val="1"/>
                <w:color w:val="auto"/>
              </w:rPr>
              <w:t>Sales Milestone Event</w:t>
            </w:r>
          </w:p>
        </w:tc>
        <w:tc>
          <w:tcPr>
            <w:tcW w:w="1860" w:type="dxa"/>
            <w:vAlign w:val="bottom"/>
            <w:tcBorders>
              <w:top w:val="single" w:sz="8" w:color="auto"/>
              <w:right w:val="single" w:sz="8" w:color="auto"/>
            </w:tcBorders>
          </w:tcPr>
          <w:p>
            <w:pPr>
              <w:jc w:val="right"/>
              <w:ind w:right="112"/>
              <w:spacing w:after="0" w:line="229" w:lineRule="exact"/>
              <w:rPr>
                <w:sz w:val="20"/>
                <w:szCs w:val="20"/>
                <w:color w:val="auto"/>
              </w:rPr>
            </w:pPr>
            <w:r>
              <w:rPr>
                <w:rFonts w:ascii="Arial" w:cs="Arial" w:eastAsia="Arial" w:hAnsi="Arial"/>
                <w:sz w:val="22"/>
                <w:szCs w:val="22"/>
                <w:b w:val="1"/>
                <w:bCs w:val="1"/>
                <w:color w:val="auto"/>
                <w:w w:val="98"/>
              </w:rPr>
              <w:t>Sales Milestone</w:t>
            </w:r>
          </w:p>
        </w:tc>
      </w:tr>
      <w:tr>
        <w:trPr>
          <w:trHeight w:val="270"/>
        </w:trPr>
        <w:tc>
          <w:tcPr>
            <w:tcW w:w="6440" w:type="dxa"/>
            <w:vAlign w:val="bottom"/>
            <w:tcBorders>
              <w:left w:val="single" w:sz="8" w:color="auto"/>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Payment</w:t>
            </w:r>
          </w:p>
        </w:tc>
      </w:tr>
      <w:tr>
        <w:trPr>
          <w:trHeight w:val="215"/>
        </w:trPr>
        <w:tc>
          <w:tcPr>
            <w:tcW w:w="6440" w:type="dxa"/>
            <w:vAlign w:val="bottom"/>
            <w:tcBorders>
              <w:left w:val="single" w:sz="8" w:color="auto"/>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First achievement of annual Net Sales of Products in the GSK Territory</w:t>
            </w:r>
          </w:p>
        </w:tc>
        <w:tc>
          <w:tcPr>
            <w:tcW w:w="186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w:t>
            </w:r>
          </w:p>
        </w:tc>
      </w:tr>
      <w:tr>
        <w:trPr>
          <w:trHeight w:val="264"/>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equal to [***]</w:t>
            </w:r>
          </w:p>
        </w:tc>
        <w:tc>
          <w:tcPr>
            <w:tcW w:w="1860" w:type="dxa"/>
            <w:vAlign w:val="bottom"/>
            <w:tcBorders>
              <w:bottom w:val="single" w:sz="8" w:color="auto"/>
              <w:right w:val="single" w:sz="8" w:color="auto"/>
            </w:tcBorders>
          </w:tcPr>
          <w:p>
            <w:pPr>
              <w:spacing w:after="0"/>
              <w:rPr>
                <w:sz w:val="22"/>
                <w:szCs w:val="22"/>
                <w:color w:val="auto"/>
              </w:rPr>
            </w:pPr>
          </w:p>
        </w:tc>
      </w:tr>
      <w:tr>
        <w:trPr>
          <w:trHeight w:val="215"/>
        </w:trPr>
        <w:tc>
          <w:tcPr>
            <w:tcW w:w="6440" w:type="dxa"/>
            <w:vAlign w:val="bottom"/>
            <w:tcBorders>
              <w:left w:val="single" w:sz="8" w:color="auto"/>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First achievement of annual Net Sales of Products in the GSK Territory</w:t>
            </w:r>
          </w:p>
        </w:tc>
        <w:tc>
          <w:tcPr>
            <w:tcW w:w="186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w:t>
            </w:r>
          </w:p>
        </w:tc>
      </w:tr>
      <w:tr>
        <w:trPr>
          <w:trHeight w:val="264"/>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equal to [***]</w:t>
            </w:r>
          </w:p>
        </w:tc>
        <w:tc>
          <w:tcPr>
            <w:tcW w:w="1860" w:type="dxa"/>
            <w:vAlign w:val="bottom"/>
            <w:tcBorders>
              <w:bottom w:val="single" w:sz="8" w:color="auto"/>
              <w:right w:val="single" w:sz="8" w:color="auto"/>
            </w:tcBorders>
          </w:tcPr>
          <w:p>
            <w:pPr>
              <w:spacing w:after="0"/>
              <w:rPr>
                <w:sz w:val="22"/>
                <w:szCs w:val="22"/>
                <w:color w:val="auto"/>
              </w:rPr>
            </w:pPr>
          </w:p>
        </w:tc>
      </w:tr>
      <w:tr>
        <w:trPr>
          <w:trHeight w:val="215"/>
        </w:trPr>
        <w:tc>
          <w:tcPr>
            <w:tcW w:w="6440" w:type="dxa"/>
            <w:vAlign w:val="bottom"/>
            <w:tcBorders>
              <w:left w:val="single" w:sz="8" w:color="auto"/>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2"/>
              </w:rPr>
              <w:t>First achievement of annual Net Sales of Products in the GSK Territory</w:t>
            </w:r>
          </w:p>
        </w:tc>
        <w:tc>
          <w:tcPr>
            <w:tcW w:w="1860" w:type="dxa"/>
            <w:vAlign w:val="bottom"/>
            <w:tcBorders>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w:t>
            </w:r>
          </w:p>
        </w:tc>
      </w:tr>
      <w:tr>
        <w:trPr>
          <w:trHeight w:val="264"/>
        </w:trPr>
        <w:tc>
          <w:tcPr>
            <w:tcW w:w="6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equal to [***]</w:t>
            </w:r>
          </w:p>
        </w:tc>
        <w:tc>
          <w:tcPr>
            <w:tcW w:w="18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880"/>
        <w:spacing w:after="0" w:line="235" w:lineRule="auto"/>
        <w:rPr>
          <w:sz w:val="20"/>
          <w:szCs w:val="20"/>
          <w:color w:val="auto"/>
        </w:rPr>
      </w:pPr>
      <w:r>
        <w:rPr>
          <w:rFonts w:ascii="Arial" w:cs="Arial" w:eastAsia="Arial" w:hAnsi="Arial"/>
          <w:sz w:val="22"/>
          <w:szCs w:val="22"/>
          <w:color w:val="auto"/>
        </w:rPr>
        <w:t xml:space="preserve">Each Sales Milestone Payment shall be paid only one time, regardless of the number of Products or the number of times a given Sales Milestone Event has been achieved. GSK shall notify Arrowhead within [***] days following the end of the applicable Calendar Quarter during which a given Sales Milestone Event is first achieved, which notice may be provided in connection with a Royalty Report delivered pursuant to </w:t>
      </w:r>
      <w:r>
        <w:rPr>
          <w:rFonts w:ascii="Arial" w:cs="Arial" w:eastAsia="Arial" w:hAnsi="Arial"/>
          <w:sz w:val="22"/>
          <w:szCs w:val="22"/>
          <w:u w:val="single" w:color="auto"/>
          <w:color w:val="auto"/>
        </w:rPr>
        <w:t>Section 5.4(b)</w:t>
      </w:r>
      <w:r>
        <w:rPr>
          <w:rFonts w:ascii="Arial" w:cs="Arial" w:eastAsia="Arial" w:hAnsi="Arial"/>
          <w:sz w:val="22"/>
          <w:szCs w:val="22"/>
          <w:color w:val="auto"/>
        </w:rPr>
        <w:t xml:space="preserve">, and GSK shall pay to Arrowhead the corresponding Sales Milestone Payment within [***] days following GSK’s receipt of a Valid Invoice in accordance with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right="260" w:firstLine="8"/>
        <w:spacing w:after="0" w:line="266" w:lineRule="auto"/>
        <w:tabs>
          <w:tab w:leader="none" w:pos="435"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Royalties</w:t>
      </w:r>
    </w:p>
    <w:p>
      <w:pPr>
        <w:spacing w:after="0" w:line="212" w:lineRule="exact"/>
        <w:rPr>
          <w:sz w:val="20"/>
          <w:szCs w:val="20"/>
          <w:color w:val="auto"/>
        </w:rPr>
      </w:pPr>
    </w:p>
    <w:p>
      <w:pPr>
        <w:ind w:left="880" w:hanging="806"/>
        <w:spacing w:after="0" w:line="249" w:lineRule="auto"/>
        <w:tabs>
          <w:tab w:leader="none" w:pos="22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10.8</w:t>
      </w:r>
      <w:r>
        <w:rPr>
          <w:rFonts w:ascii="Arial" w:cs="Arial" w:eastAsia="Arial" w:hAnsi="Arial"/>
          <w:sz w:val="21"/>
          <w:szCs w:val="21"/>
          <w:color w:val="auto"/>
        </w:rPr>
        <w:t xml:space="preserve">, in partial consideration of Arrowhead’s grant of the rights and licenses to GSK hereunder, on a Product-by-Product and country-by-country basis, during the applicable Royalty Term for such Product in a given country in the GSK Territory, GSK will pay Arrowhead royalties based on the aggregate annual Net Sales of all Products sold by GSK, its Affiliates or Sublicensees in the GSK Territory during a Calendar Year at the rates set forth in the table below, subject to the remainder of this </w:t>
      </w:r>
      <w:r>
        <w:rPr>
          <w:rFonts w:ascii="Arial" w:cs="Arial" w:eastAsia="Arial" w:hAnsi="Arial"/>
          <w:sz w:val="21"/>
          <w:szCs w:val="21"/>
          <w:u w:val="single" w:color="auto"/>
          <w:color w:val="auto"/>
        </w:rPr>
        <w:t>Section 5.4</w:t>
      </w:r>
      <w:r>
        <w:rPr>
          <w:rFonts w:ascii="Arial" w:cs="Arial" w:eastAsia="Arial" w:hAnsi="Arial"/>
          <w:sz w:val="21"/>
          <w:szCs w:val="21"/>
          <w:color w:val="auto"/>
        </w:rPr>
        <w:t>:</w:t>
      </w:r>
    </w:p>
    <w:p>
      <w:pPr>
        <w:spacing w:after="0" w:line="180" w:lineRule="exact"/>
        <w:rPr>
          <w:sz w:val="20"/>
          <w:szCs w:val="20"/>
          <w:color w:val="auto"/>
        </w:rPr>
      </w:pPr>
    </w:p>
    <w:tbl>
      <w:tblPr>
        <w:tblLayout w:type="fixed"/>
        <w:tblInd w:w="1750" w:type="dxa"/>
        <w:tblCellMar>
          <w:top w:w="0" w:type="dxa"/>
          <w:left w:w="0" w:type="dxa"/>
          <w:bottom w:w="0" w:type="dxa"/>
          <w:right w:w="0" w:type="dxa"/>
        </w:tblCellMar>
      </w:tblPr>
      <w:tr>
        <w:trPr>
          <w:trHeight w:val="337"/>
        </w:trPr>
        <w:tc>
          <w:tcPr>
            <w:tcW w:w="448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b w:val="1"/>
                <w:bCs w:val="1"/>
                <w:color w:val="auto"/>
                <w:w w:val="98"/>
              </w:rPr>
              <w:t>Aggregate Annual Net Sales of Products in</w:t>
            </w:r>
          </w:p>
        </w:tc>
        <w:tc>
          <w:tcPr>
            <w:tcW w:w="27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Royalty Rate</w:t>
            </w:r>
          </w:p>
        </w:tc>
        <w:tc>
          <w:tcPr>
            <w:tcW w:w="0" w:type="dxa"/>
            <w:vAlign w:val="bottom"/>
          </w:tcPr>
          <w:p>
            <w:pPr>
              <w:spacing w:after="0"/>
              <w:rPr>
                <w:sz w:val="1"/>
                <w:szCs w:val="1"/>
                <w:color w:val="auto"/>
              </w:rPr>
            </w:pPr>
          </w:p>
        </w:tc>
      </w:tr>
      <w:tr>
        <w:trPr>
          <w:trHeight w:val="159"/>
        </w:trPr>
        <w:tc>
          <w:tcPr>
            <w:tcW w:w="4480" w:type="dxa"/>
            <w:vAlign w:val="bottom"/>
            <w:tcBorders>
              <w:left w:val="single" w:sz="8" w:color="auto"/>
              <w:right w:val="single" w:sz="8" w:color="auto"/>
            </w:tcBorders>
            <w:vMerge w:val="restart"/>
            <w:shd w:val="clear" w:color="auto" w:fill="D9D9D9"/>
          </w:tcPr>
          <w:p>
            <w:pPr>
              <w:ind w:left="1380"/>
              <w:spacing w:after="0"/>
              <w:rPr>
                <w:sz w:val="20"/>
                <w:szCs w:val="20"/>
                <w:color w:val="auto"/>
              </w:rPr>
            </w:pPr>
            <w:r>
              <w:rPr>
                <w:rFonts w:ascii="Arial" w:cs="Arial" w:eastAsia="Arial" w:hAnsi="Arial"/>
                <w:sz w:val="22"/>
                <w:szCs w:val="22"/>
                <w:b w:val="1"/>
                <w:bCs w:val="1"/>
                <w:color w:val="auto"/>
              </w:rPr>
              <w:t>the GSK Territory</w:t>
            </w:r>
          </w:p>
        </w:tc>
        <w:tc>
          <w:tcPr>
            <w:tcW w:w="276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76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48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76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w w:val="99"/>
              </w:rPr>
              <w:t>Portion of annual Net Sales of Products in the</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rPr>
              <w:t>GSK Territory less than or equal to [***]</w:t>
            </w:r>
          </w:p>
        </w:tc>
        <w:tc>
          <w:tcPr>
            <w:tcW w:w="2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w w:val="99"/>
              </w:rPr>
              <w:t>Portion of annual Net Sales of Products in the</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Borders>
              <w:left w:val="single" w:sz="8" w:color="auto"/>
              <w:right w:val="single" w:sz="8" w:color="auto"/>
            </w:tcBorders>
          </w:tcPr>
          <w:p>
            <w:pPr>
              <w:spacing w:after="0" w:line="243" w:lineRule="exact"/>
              <w:rPr>
                <w:sz w:val="20"/>
                <w:szCs w:val="20"/>
                <w:color w:val="auto"/>
              </w:rPr>
            </w:pPr>
            <w:r>
              <w:rPr>
                <w:rFonts w:ascii="Arial" w:cs="Arial" w:eastAsia="Arial" w:hAnsi="Arial"/>
                <w:sz w:val="22"/>
                <w:szCs w:val="22"/>
                <w:color w:val="auto"/>
                <w:w w:val="96"/>
              </w:rPr>
              <w:t>GSK Territory greater than [***] but less than or</w:t>
            </w:r>
          </w:p>
        </w:tc>
        <w:tc>
          <w:tcPr>
            <w:tcW w:w="2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rPr>
              <w:t>equal to [***]</w:t>
            </w:r>
          </w:p>
        </w:tc>
        <w:tc>
          <w:tcPr>
            <w:tcW w:w="2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w w:val="99"/>
              </w:rPr>
              <w:t>Portion of annual Net Sales of Products in the</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Borders>
              <w:left w:val="single" w:sz="8" w:color="auto"/>
              <w:right w:val="single" w:sz="8" w:color="auto"/>
            </w:tcBorders>
          </w:tcPr>
          <w:p>
            <w:pPr>
              <w:spacing w:after="0" w:line="243" w:lineRule="exact"/>
              <w:rPr>
                <w:sz w:val="20"/>
                <w:szCs w:val="20"/>
                <w:color w:val="auto"/>
              </w:rPr>
            </w:pPr>
            <w:r>
              <w:rPr>
                <w:rFonts w:ascii="Arial" w:cs="Arial" w:eastAsia="Arial" w:hAnsi="Arial"/>
                <w:sz w:val="22"/>
                <w:szCs w:val="22"/>
                <w:color w:val="auto"/>
                <w:w w:val="96"/>
              </w:rPr>
              <w:t>GSK Territory greater than [***] but less than or</w:t>
            </w:r>
          </w:p>
        </w:tc>
        <w:tc>
          <w:tcPr>
            <w:tcW w:w="2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rPr>
              <w:t>equal to [***]</w:t>
            </w:r>
          </w:p>
        </w:tc>
        <w:tc>
          <w:tcPr>
            <w:tcW w:w="2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w w:val="99"/>
              </w:rPr>
              <w:t>Portion of annual Net Sales of Products in the</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4480" w:type="dxa"/>
            <w:vAlign w:val="bottom"/>
            <w:tcBorders>
              <w:left w:val="single" w:sz="8" w:color="auto"/>
              <w:right w:val="single" w:sz="8" w:color="auto"/>
            </w:tcBorders>
          </w:tcPr>
          <w:p>
            <w:pPr>
              <w:spacing w:after="0"/>
              <w:rPr>
                <w:sz w:val="20"/>
                <w:szCs w:val="20"/>
                <w:color w:val="auto"/>
              </w:rPr>
            </w:pPr>
            <w:r>
              <w:rPr>
                <w:rFonts w:ascii="Arial" w:cs="Arial" w:eastAsia="Arial" w:hAnsi="Arial"/>
                <w:sz w:val="22"/>
                <w:szCs w:val="22"/>
                <w:color w:val="auto"/>
              </w:rPr>
              <w:t>GSK Territory greater than [***]</w:t>
            </w:r>
          </w:p>
        </w:tc>
        <w:tc>
          <w:tcPr>
            <w:tcW w:w="2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880" w:hanging="8"/>
        <w:spacing w:after="0" w:line="246" w:lineRule="auto"/>
        <w:tabs>
          <w:tab w:leader="none" w:pos="1780" w:val="left"/>
        </w:tabs>
        <w:numPr>
          <w:ilvl w:val="0"/>
          <w:numId w:val="102"/>
        </w:numPr>
        <w:rPr>
          <w:rFonts w:ascii="Arial" w:cs="Arial" w:eastAsia="Arial" w:hAnsi="Arial"/>
          <w:sz w:val="21"/>
          <w:szCs w:val="21"/>
          <w:b w:val="1"/>
          <w:bCs w:val="1"/>
          <w:color w:val="auto"/>
        </w:rPr>
      </w:pPr>
      <w:r>
        <w:rPr>
          <w:rFonts w:ascii="Arial" w:cs="Arial" w:eastAsia="Arial" w:hAnsi="Arial"/>
          <w:sz w:val="21"/>
          <w:szCs w:val="21"/>
          <w:color w:val="auto"/>
        </w:rPr>
        <w:t xml:space="preserve">For purposes of determining whether a royalty threshold above has been attained, Net Sales that are generated by sales of a Product in a country for which the Royalty Term has expired shall be excluded from the total amount of Net Sales. As of the effective date of expiration of the Royalty Term with respect to a given Product and country of the GSK Territory, the license to GSK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shall automatically convert to a royalty-free, irrevocable, perpetual, non-exclusive and sublicensable license under the Arrowhead Technology to Develop, Manufacture (including to have Manufactured) and Commercialize such Product in such country. For clarity, GSK’s obligation to pay royalties to Arrowhead under this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is imposed only once with respect to the same unit of a Product regardless of the number of Arrowhead Patents Covering such Product.</w:t>
      </w:r>
    </w:p>
    <w:p>
      <w:pPr>
        <w:spacing w:after="0" w:line="179" w:lineRule="exact"/>
        <w:rPr>
          <w:rFonts w:ascii="Arial" w:cs="Arial" w:eastAsia="Arial" w:hAnsi="Arial"/>
          <w:sz w:val="21"/>
          <w:szCs w:val="21"/>
          <w:b w:val="1"/>
          <w:bCs w:val="1"/>
          <w:color w:val="auto"/>
        </w:rPr>
      </w:pPr>
    </w:p>
    <w:p>
      <w:pPr>
        <w:jc w:val="both"/>
        <w:ind w:left="880" w:hanging="8"/>
        <w:spacing w:after="0" w:line="235" w:lineRule="auto"/>
        <w:tabs>
          <w:tab w:leader="none" w:pos="1792"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 xml:space="preserve">Within [***] days after the end of each Calendar Quarter during which royalties become payable pursuant to this </w:t>
      </w:r>
      <w:r>
        <w:rPr>
          <w:rFonts w:ascii="Arial" w:cs="Arial" w:eastAsia="Arial" w:hAnsi="Arial"/>
          <w:sz w:val="22"/>
          <w:szCs w:val="22"/>
          <w:u w:val="single" w:color="auto"/>
          <w:color w:val="auto"/>
        </w:rPr>
        <w:t>Section 5.4</w:t>
      </w:r>
      <w:r>
        <w:rPr>
          <w:rFonts w:ascii="Arial" w:cs="Arial" w:eastAsia="Arial" w:hAnsi="Arial"/>
          <w:sz w:val="22"/>
          <w:szCs w:val="22"/>
          <w:color w:val="auto"/>
        </w:rPr>
        <w:t>, GSK shall deliver to Arrowhead a report (“</w:t>
      </w:r>
      <w:r>
        <w:rPr>
          <w:rFonts w:ascii="Arial" w:cs="Arial" w:eastAsia="Arial" w:hAnsi="Arial"/>
          <w:sz w:val="22"/>
          <w:szCs w:val="22"/>
          <w:b w:val="1"/>
          <w:bCs w:val="1"/>
          <w:color w:val="auto"/>
        </w:rPr>
        <w:t>Royalty Report</w:t>
      </w:r>
      <w:r>
        <w:rPr>
          <w:rFonts w:ascii="Arial" w:cs="Arial" w:eastAsia="Arial" w:hAnsi="Arial"/>
          <w:sz w:val="22"/>
          <w:szCs w:val="22"/>
          <w:color w:val="auto"/>
        </w:rPr>
        <w:t>”), on a Product-by-Product basis (where applicable), summarizing the total amount of applicable payments, if any, received during such Calendar Quarter, including any Sales Milestone Event that was achieved during such Calendar Quarter in the GSK Territory in accordance with Section 5.3, as applicable, and, on a Product-by-Product and country-by-country basis, details regarding the calculation of the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-183515</wp:posOffset>
            </wp:positionV>
            <wp:extent cx="6515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right="260" w:firstLine="8"/>
        <w:spacing w:after="0" w:line="266" w:lineRule="auto"/>
        <w:tabs>
          <w:tab w:leader="none" w:pos="43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5" w:lineRule="auto"/>
        <w:rPr>
          <w:sz w:val="20"/>
          <w:szCs w:val="20"/>
          <w:color w:val="auto"/>
        </w:rPr>
      </w:pPr>
      <w:r>
        <w:rPr>
          <w:rFonts w:ascii="Arial" w:cs="Arial" w:eastAsia="Arial" w:hAnsi="Arial"/>
          <w:sz w:val="22"/>
          <w:szCs w:val="22"/>
          <w:color w:val="auto"/>
        </w:rPr>
        <w:t xml:space="preserve">payable under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including amounts of Net Sales, any applicable reductions or deductions to Net Sales, the royalty rate due, the applicable exchange rate for the period, and the amount of any applicable true-up or adjustments. Each Royalty Report shall be deemed Confidential Information of GSK subject to the obligations of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GSK shall pay to Arrowhead the royalties payable under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with respect to a given Calendar Quarter within [***] days following the end of each Calendar Quarter together with delivery of the applicable Royalty Report.</w:t>
      </w:r>
    </w:p>
    <w:p>
      <w:pPr>
        <w:spacing w:after="0" w:line="188" w:lineRule="exact"/>
        <w:rPr>
          <w:sz w:val="20"/>
          <w:szCs w:val="20"/>
          <w:color w:val="auto"/>
        </w:rPr>
      </w:pPr>
    </w:p>
    <w:p>
      <w:pPr>
        <w:jc w:val="both"/>
        <w:ind w:left="880" w:hanging="8"/>
        <w:spacing w:after="0" w:line="257" w:lineRule="auto"/>
        <w:tabs>
          <w:tab w:leader="none" w:pos="1768"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5.4(g)</w:t>
      </w:r>
      <w:r>
        <w:rPr>
          <w:rFonts w:ascii="Arial" w:cs="Arial" w:eastAsia="Arial" w:hAnsi="Arial"/>
          <w:sz w:val="21"/>
          <w:szCs w:val="21"/>
          <w:color w:val="auto"/>
        </w:rPr>
        <w:t xml:space="preserve">, if at any point during the applicable Royalty Term for a given Product in a given country in the GSK Territory, such Product is not covered by a Valid Claim of any Arrowhead Patent, the applicable royalty rates set forth in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shall be reduced by [***] for such Product in such country.</w:t>
      </w:r>
    </w:p>
    <w:p>
      <w:pPr>
        <w:spacing w:after="0" w:line="169" w:lineRule="exact"/>
        <w:rPr>
          <w:rFonts w:ascii="Arial" w:cs="Arial" w:eastAsia="Arial" w:hAnsi="Arial"/>
          <w:sz w:val="21"/>
          <w:szCs w:val="21"/>
          <w:b w:val="1"/>
          <w:bCs w:val="1"/>
          <w:color w:val="auto"/>
        </w:rPr>
      </w:pPr>
    </w:p>
    <w:p>
      <w:pPr>
        <w:jc w:val="both"/>
        <w:ind w:left="880" w:hanging="8"/>
        <w:spacing w:after="0" w:line="234" w:lineRule="auto"/>
        <w:tabs>
          <w:tab w:leader="none" w:pos="1792"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5.4(g)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5.4(h)</w:t>
      </w:r>
      <w:r>
        <w:rPr>
          <w:rFonts w:ascii="Arial" w:cs="Arial" w:eastAsia="Arial" w:hAnsi="Arial"/>
          <w:sz w:val="22"/>
          <w:szCs w:val="22"/>
          <w:color w:val="auto"/>
        </w:rPr>
        <w:t xml:space="preserve">, GSK will be entitled to deduct [***] paid by GSK, its Affiliates or Sublicensees pursuant to (i) any Third Party Agreement or (ii) any Arrowhead Third Party Agreement under which GSK has agreed take a sublicense pursuant to </w:t>
      </w:r>
      <w:r>
        <w:rPr>
          <w:rFonts w:ascii="Arial" w:cs="Arial" w:eastAsia="Arial" w:hAnsi="Arial"/>
          <w:sz w:val="22"/>
          <w:szCs w:val="22"/>
          <w:u w:val="single" w:color="auto"/>
          <w:color w:val="auto"/>
        </w:rPr>
        <w:t>Section 2.9(b)</w:t>
      </w:r>
      <w:r>
        <w:rPr>
          <w:rFonts w:ascii="Arial" w:cs="Arial" w:eastAsia="Arial" w:hAnsi="Arial"/>
          <w:sz w:val="22"/>
          <w:szCs w:val="22"/>
          <w:color w:val="auto"/>
        </w:rPr>
        <w:t xml:space="preserve"> (such royalties or milestone payments, “</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Payments</w:t>
      </w:r>
      <w:r>
        <w:rPr>
          <w:rFonts w:ascii="Arial" w:cs="Arial" w:eastAsia="Arial" w:hAnsi="Arial"/>
          <w:sz w:val="22"/>
          <w:szCs w:val="22"/>
          <w:color w:val="auto"/>
        </w:rPr>
        <w:t>”) from any royalties due to Arrowhead pursuant to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5.4</w:t>
      </w:r>
      <w:r>
        <w:rPr>
          <w:rFonts w:ascii="Arial" w:cs="Arial" w:eastAsia="Arial" w:hAnsi="Arial"/>
          <w:sz w:val="22"/>
          <w:szCs w:val="22"/>
          <w:b w:val="1"/>
          <w:bCs w:val="1"/>
          <w:color w:val="auto"/>
        </w:rPr>
        <w:t xml:space="preserve"> </w:t>
      </w:r>
      <w:r>
        <w:rPr>
          <w:rFonts w:ascii="Arial" w:cs="Arial" w:eastAsia="Arial" w:hAnsi="Arial"/>
          <w:sz w:val="22"/>
          <w:szCs w:val="22"/>
          <w:color w:val="auto"/>
        </w:rPr>
        <w:t>until the amount of all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have been fully deducted; provided that the only Third Party Payments that may be deducted are those that are actually paid by GSK or such Affiliates or Sublicensees to the applicable Third Party under such Third Party Agreement as of or prior to when such royalty payments are due and payable to Arrowhead for such Product in such country.</w:t>
      </w:r>
    </w:p>
    <w:p>
      <w:pPr>
        <w:spacing w:after="0" w:line="186" w:lineRule="exact"/>
        <w:rPr>
          <w:rFonts w:ascii="Arial" w:cs="Arial" w:eastAsia="Arial" w:hAnsi="Arial"/>
          <w:sz w:val="22"/>
          <w:szCs w:val="22"/>
          <w:b w:val="1"/>
          <w:bCs w:val="1"/>
          <w:color w:val="auto"/>
        </w:rPr>
      </w:pPr>
    </w:p>
    <w:p>
      <w:pPr>
        <w:jc w:val="both"/>
        <w:ind w:left="880" w:hanging="8"/>
        <w:spacing w:after="0" w:line="235" w:lineRule="auto"/>
        <w:tabs>
          <w:tab w:leader="none" w:pos="1768"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5.4(g)</w:t>
      </w:r>
      <w:r>
        <w:rPr>
          <w:rFonts w:ascii="Arial" w:cs="Arial" w:eastAsia="Arial" w:hAnsi="Arial"/>
          <w:sz w:val="22"/>
          <w:szCs w:val="22"/>
          <w:color w:val="auto"/>
        </w:rPr>
        <w:t>, on a Product-by-Product and country-by-country basis in the GSK Territory, if one or more Generic Products with respect to such Product is marketed and sold in such country by one or more Third Parties during any Calendar Quarter during the applicable Royalty Term for such Product [***] (“</w:t>
      </w:r>
      <w:r>
        <w:rPr>
          <w:rFonts w:ascii="Arial" w:cs="Arial" w:eastAsia="Arial" w:hAnsi="Arial"/>
          <w:sz w:val="22"/>
          <w:szCs w:val="22"/>
          <w:b w:val="1"/>
          <w:bCs w:val="1"/>
          <w:color w:val="auto"/>
        </w:rPr>
        <w:t>Generic</w:t>
      </w:r>
      <w:r>
        <w:rPr>
          <w:rFonts w:ascii="Arial" w:cs="Arial" w:eastAsia="Arial" w:hAnsi="Arial"/>
          <w:sz w:val="22"/>
          <w:szCs w:val="22"/>
          <w:color w:val="auto"/>
        </w:rPr>
        <w:t xml:space="preserve"> </w:t>
      </w:r>
      <w:r>
        <w:rPr>
          <w:rFonts w:ascii="Arial" w:cs="Arial" w:eastAsia="Arial" w:hAnsi="Arial"/>
          <w:sz w:val="22"/>
          <w:szCs w:val="22"/>
          <w:b w:val="1"/>
          <w:bCs w:val="1"/>
          <w:color w:val="auto"/>
        </w:rPr>
        <w:t>Competition</w:t>
      </w:r>
      <w:r>
        <w:rPr>
          <w:rFonts w:ascii="Arial" w:cs="Arial" w:eastAsia="Arial" w:hAnsi="Arial"/>
          <w:sz w:val="22"/>
          <w:szCs w:val="22"/>
          <w:color w:val="auto"/>
        </w:rPr>
        <w:t>”) [***], then, commencing in such Calendar Quarter, the applicable royalty rates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b w:val="1"/>
          <w:bCs w:val="1"/>
          <w:color w:val="auto"/>
        </w:rPr>
        <w:t xml:space="preserve"> </w:t>
      </w:r>
      <w:r>
        <w:rPr>
          <w:rFonts w:ascii="Arial" w:cs="Arial" w:eastAsia="Arial" w:hAnsi="Arial"/>
          <w:sz w:val="22"/>
          <w:szCs w:val="22"/>
          <w:color w:val="auto"/>
        </w:rPr>
        <w:t>5.4(a) shall be reduced by [***] for such Product in such country for so long as such Generic Competition persists in such country.</w:t>
      </w:r>
    </w:p>
    <w:p>
      <w:pPr>
        <w:spacing w:after="0" w:line="187" w:lineRule="exact"/>
        <w:rPr>
          <w:rFonts w:ascii="Arial" w:cs="Arial" w:eastAsia="Arial" w:hAnsi="Arial"/>
          <w:sz w:val="22"/>
          <w:szCs w:val="22"/>
          <w:b w:val="1"/>
          <w:bCs w:val="1"/>
          <w:color w:val="auto"/>
        </w:rPr>
      </w:pPr>
    </w:p>
    <w:p>
      <w:pPr>
        <w:ind w:left="1740" w:hanging="868"/>
        <w:spacing w:after="0"/>
        <w:tabs>
          <w:tab w:leader="none" w:pos="1740"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left="880" w:hanging="8"/>
        <w:spacing w:after="0" w:line="236" w:lineRule="auto"/>
        <w:tabs>
          <w:tab w:leader="none" w:pos="1780"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the foregoing, under no circumstances shall the deductions under </w:t>
      </w:r>
      <w:r>
        <w:rPr>
          <w:rFonts w:ascii="Arial" w:cs="Arial" w:eastAsia="Arial" w:hAnsi="Arial"/>
          <w:sz w:val="22"/>
          <w:szCs w:val="22"/>
          <w:u w:val="single" w:color="auto"/>
          <w:color w:val="auto"/>
        </w:rPr>
        <w:t>Section 5.4(c)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5.4(d), </w:t>
      </w:r>
      <w:r>
        <w:rPr>
          <w:rFonts w:ascii="Arial" w:cs="Arial" w:eastAsia="Arial" w:hAnsi="Arial"/>
          <w:sz w:val="22"/>
          <w:szCs w:val="22"/>
          <w:u w:val="single" w:color="auto"/>
          <w:color w:val="auto"/>
        </w:rPr>
        <w:t>Section 5.4(e)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5.4(f)</w:t>
      </w:r>
      <w:r>
        <w:rPr>
          <w:rFonts w:ascii="Arial" w:cs="Arial" w:eastAsia="Arial" w:hAnsi="Arial"/>
          <w:sz w:val="22"/>
          <w:szCs w:val="22"/>
          <w:color w:val="auto"/>
        </w:rPr>
        <w:t xml:space="preserve"> (in the aggregate, but without taking into account any reduction pursuant to </w:t>
      </w:r>
      <w:r>
        <w:rPr>
          <w:rFonts w:ascii="Arial" w:cs="Arial" w:eastAsia="Arial" w:hAnsi="Arial"/>
          <w:sz w:val="22"/>
          <w:szCs w:val="22"/>
          <w:u w:val="single" w:color="auto"/>
          <w:color w:val="auto"/>
        </w:rPr>
        <w:t>Section 10.8</w:t>
      </w:r>
      <w:r>
        <w:rPr>
          <w:rFonts w:ascii="Arial" w:cs="Arial" w:eastAsia="Arial" w:hAnsi="Arial"/>
          <w:sz w:val="22"/>
          <w:szCs w:val="22"/>
          <w:color w:val="auto"/>
        </w:rPr>
        <w:t xml:space="preserve">) result in the amount payable to Arrowhead with respect to a given Product in a given country for any given Calendar Quarter being reduced by more than [***] compared with the amount otherwise payable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5.4; provided, however, recover [***].</w:t>
      </w:r>
    </w:p>
    <w:p>
      <w:pPr>
        <w:spacing w:after="0" w:line="187" w:lineRule="exact"/>
        <w:rPr>
          <w:rFonts w:ascii="Arial" w:cs="Arial" w:eastAsia="Arial" w:hAnsi="Arial"/>
          <w:sz w:val="22"/>
          <w:szCs w:val="22"/>
          <w:b w:val="1"/>
          <w:bCs w:val="1"/>
          <w:color w:val="auto"/>
        </w:rPr>
      </w:pPr>
    </w:p>
    <w:p>
      <w:pPr>
        <w:jc w:val="both"/>
        <w:ind w:left="880" w:hanging="8"/>
        <w:spacing w:after="0" w:line="287" w:lineRule="auto"/>
        <w:tabs>
          <w:tab w:leader="none" w:pos="1792" w:val="left"/>
        </w:tabs>
        <w:numPr>
          <w:ilvl w:val="0"/>
          <w:numId w:val="104"/>
        </w:numPr>
        <w:rPr>
          <w:rFonts w:ascii="Arial" w:cs="Arial" w:eastAsia="Arial" w:hAnsi="Arial"/>
          <w:sz w:val="19"/>
          <w:szCs w:val="19"/>
          <w:b w:val="1"/>
          <w:bCs w:val="1"/>
          <w:color w:val="auto"/>
        </w:rPr>
      </w:pPr>
      <w:r>
        <w:rPr>
          <w:rFonts w:ascii="Arial" w:cs="Arial" w:eastAsia="Arial" w:hAnsi="Arial"/>
          <w:sz w:val="19"/>
          <w:szCs w:val="19"/>
          <w:color w:val="auto"/>
        </w:rPr>
        <w:t xml:space="preserve">During the Term, prior to GSK entering into any Third Party Agreement under </w:t>
      </w:r>
      <w:r>
        <w:rPr>
          <w:rFonts w:ascii="Arial" w:cs="Arial" w:eastAsia="Arial" w:hAnsi="Arial"/>
          <w:sz w:val="19"/>
          <w:szCs w:val="19"/>
          <w:u w:val="single" w:color="auto"/>
          <w:color w:val="auto"/>
        </w:rPr>
        <w:t>Section 5.4(d)</w:t>
      </w:r>
      <w:r>
        <w:rPr>
          <w:rFonts w:ascii="Arial" w:cs="Arial" w:eastAsia="Arial" w:hAnsi="Arial"/>
          <w:sz w:val="19"/>
          <w:szCs w:val="19"/>
          <w:color w:val="auto"/>
        </w:rPr>
        <w:t>, GSK shall provide written notice to Arrowhead of GSK’s intent to enter into such Third Party Agreement, along with reasonably detailed information regarding the proposed financial terms and other terms of and the Patents of the Third Party proposed to be licensed under such contemplated Third Party Agreement. Prior to GSK executing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-2166620</wp:posOffset>
            </wp:positionV>
            <wp:extent cx="3238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-1275080</wp:posOffset>
            </wp:positionV>
            <wp:extent cx="331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147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-812165</wp:posOffset>
            </wp:positionV>
            <wp:extent cx="1714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right="260" w:firstLine="8"/>
        <w:spacing w:after="0" w:line="266" w:lineRule="auto"/>
        <w:tabs>
          <w:tab w:leader="none" w:pos="43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Third Party Agreement, the Parties, through the Patent Working Group, shall confer to discuss whether it is in best interest of the Parties, in respective of their respective rights to Develop, Manufacture and Commercialize the Compound and the Products in their respective Territory in accordance with this Agreement, to enter into such Third Party Agreement.</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Mode of Payment and Currency; Invoices; Late Payments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left="880" w:hanging="8"/>
        <w:spacing w:after="0" w:line="274" w:lineRule="auto"/>
        <w:tabs>
          <w:tab w:leader="none" w:pos="1780"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All payments made by a Party (the “</w:t>
      </w:r>
      <w:r>
        <w:rPr>
          <w:rFonts w:ascii="Arial" w:cs="Arial" w:eastAsia="Arial" w:hAnsi="Arial"/>
          <w:sz w:val="19"/>
          <w:szCs w:val="19"/>
          <w:b w:val="1"/>
          <w:bCs w:val="1"/>
          <w:color w:val="auto"/>
        </w:rPr>
        <w:t>Payor Party</w:t>
      </w:r>
      <w:r>
        <w:rPr>
          <w:rFonts w:ascii="Arial" w:cs="Arial" w:eastAsia="Arial" w:hAnsi="Arial"/>
          <w:sz w:val="19"/>
          <w:szCs w:val="19"/>
          <w:color w:val="auto"/>
        </w:rPr>
        <w:t>”) to the other Party (the “</w:t>
      </w:r>
      <w:r>
        <w:rPr>
          <w:rFonts w:ascii="Arial" w:cs="Arial" w:eastAsia="Arial" w:hAnsi="Arial"/>
          <w:sz w:val="19"/>
          <w:szCs w:val="19"/>
          <w:b w:val="1"/>
          <w:bCs w:val="1"/>
          <w:color w:val="auto"/>
        </w:rPr>
        <w:t>Payee Party</w:t>
      </w:r>
      <w:r>
        <w:rPr>
          <w:rFonts w:ascii="Arial" w:cs="Arial" w:eastAsia="Arial" w:hAnsi="Arial"/>
          <w:sz w:val="19"/>
          <w:szCs w:val="19"/>
          <w:color w:val="auto"/>
        </w:rPr>
        <w:t>”) hereunder shall be made by deposit of US Dollars in the requisite amount by electronic wire transfer of immediately available funds directly to such bank account as the Payee Party may from time to time designate by reasonable notice to the Payor Party. With respect to amounts payable hereunder not denominated in US Dollars, the Payor Party shall convert applicable amounts in foreign currency into US Dollars using its standard conversion method consistent with its applicable Accounting Standard in a manner consistent with the Payor Party’s customary and usual conversion procedures used in preparing its audited financial reports applied on a consistent basis; provided that such procedures use a widely accepted source of published exchange rates. Based on the resulting sales in US Dollars, the then-applicable royalties shall be calculated. The Parties may vary the method of payment set forth herein at any time upon mutual agreement, and any change shall be consistent with the local Law at the place of payment or remittance.</w:t>
      </w:r>
    </w:p>
    <w:p>
      <w:pPr>
        <w:spacing w:after="0" w:line="157" w:lineRule="exact"/>
        <w:rPr>
          <w:rFonts w:ascii="Arial" w:cs="Arial" w:eastAsia="Arial" w:hAnsi="Arial"/>
          <w:sz w:val="19"/>
          <w:szCs w:val="19"/>
          <w:b w:val="1"/>
          <w:bCs w:val="1"/>
          <w:color w:val="auto"/>
        </w:rPr>
      </w:pPr>
    </w:p>
    <w:p>
      <w:pPr>
        <w:ind w:left="880" w:hanging="8"/>
        <w:spacing w:after="0" w:line="250" w:lineRule="auto"/>
        <w:tabs>
          <w:tab w:leader="none" w:pos="1792"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 xml:space="preserve">All payments made by GSK to Arrowhead under this Agreement shall be paid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5.5(a), following receipt by GSK of a Valid Invoice in accordance with </w:t>
      </w:r>
      <w:r>
        <w:rPr>
          <w:rFonts w:ascii="Arial" w:cs="Arial" w:eastAsia="Arial" w:hAnsi="Arial"/>
          <w:sz w:val="22"/>
          <w:szCs w:val="22"/>
          <w:b w:val="1"/>
          <w:bCs w:val="1"/>
          <w:color w:val="auto"/>
        </w:rPr>
        <w:t>Schedule 5.5</w:t>
      </w:r>
      <w:r>
        <w:rPr>
          <w:rFonts w:ascii="Arial" w:cs="Arial" w:eastAsia="Arial" w:hAnsi="Arial"/>
          <w:sz w:val="22"/>
          <w:szCs w:val="22"/>
          <w:color w:val="auto"/>
        </w:rPr>
        <w:t>.</w:t>
      </w:r>
    </w:p>
    <w:p>
      <w:pPr>
        <w:spacing w:after="0" w:line="174" w:lineRule="exact"/>
        <w:rPr>
          <w:rFonts w:ascii="Arial" w:cs="Arial" w:eastAsia="Arial" w:hAnsi="Arial"/>
          <w:sz w:val="22"/>
          <w:szCs w:val="22"/>
          <w:b w:val="1"/>
          <w:bCs w:val="1"/>
          <w:color w:val="auto"/>
        </w:rPr>
      </w:pPr>
    </w:p>
    <w:p>
      <w:pPr>
        <w:jc w:val="both"/>
        <w:ind w:left="880" w:hanging="8"/>
        <w:spacing w:after="0"/>
        <w:tabs>
          <w:tab w:leader="none" w:pos="1768"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The Payor Party will pay the Payee Party interest on any undisputed payments that are not paid on or before the date such payments are due under this Agreement at a rate equal to [***] per annum or, if lower, the maximum applicable legal rate, calculated on the total number of days payment is delinquent.</w:t>
      </w:r>
    </w:p>
    <w:p>
      <w:pPr>
        <w:spacing w:after="0" w:line="186" w:lineRule="exact"/>
        <w:rPr>
          <w:rFonts w:ascii="Arial" w:cs="Arial" w:eastAsia="Arial" w:hAnsi="Arial"/>
          <w:sz w:val="22"/>
          <w:szCs w:val="22"/>
          <w:b w:val="1"/>
          <w:bCs w:val="1"/>
          <w:color w:val="auto"/>
        </w:rPr>
      </w:pPr>
    </w:p>
    <w:p>
      <w:pPr>
        <w:ind w:left="880" w:hanging="8"/>
        <w:spacing w:after="0" w:line="250" w:lineRule="auto"/>
        <w:tabs>
          <w:tab w:leader="none" w:pos="1792"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to the contrary contained herein, the terms and provisions of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5.3 and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are subject to </w:t>
      </w:r>
      <w:r>
        <w:rPr>
          <w:rFonts w:ascii="Arial" w:cs="Arial" w:eastAsia="Arial" w:hAnsi="Arial"/>
          <w:sz w:val="22"/>
          <w:szCs w:val="22"/>
          <w:u w:val="single" w:color="auto"/>
          <w:color w:val="auto"/>
        </w:rPr>
        <w:t>Section 10.8</w:t>
      </w:r>
      <w:r>
        <w:rPr>
          <w:rFonts w:ascii="Arial" w:cs="Arial" w:eastAsia="Arial" w:hAnsi="Arial"/>
          <w:sz w:val="22"/>
          <w:szCs w:val="22"/>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-1083310</wp:posOffset>
            </wp:positionV>
            <wp:extent cx="323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-37465</wp:posOffset>
            </wp:positionV>
            <wp:extent cx="1714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color w:val="auto"/>
        </w:rPr>
        <w:t>Records; Audits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49" w:lineRule="auto"/>
        <w:tabs>
          <w:tab w:leader="none" w:pos="1780" w:val="left"/>
        </w:tabs>
        <w:numPr>
          <w:ilvl w:val="0"/>
          <w:numId w:val="107"/>
        </w:numPr>
        <w:rPr>
          <w:rFonts w:ascii="Arial" w:cs="Arial" w:eastAsia="Arial" w:hAnsi="Arial"/>
          <w:sz w:val="21"/>
          <w:szCs w:val="21"/>
          <w:b w:val="1"/>
          <w:bCs w:val="1"/>
          <w:color w:val="auto"/>
        </w:rPr>
      </w:pPr>
      <w:r>
        <w:rPr>
          <w:rFonts w:ascii="Arial" w:cs="Arial" w:eastAsia="Arial" w:hAnsi="Arial"/>
          <w:sz w:val="21"/>
          <w:szCs w:val="21"/>
          <w:color w:val="auto"/>
        </w:rPr>
        <w:t>GSK shall, and shall ensure that its Affiliates and Sublicensees (as applicable), keep complete and accurate records in accordance with its record retention policies applicable to such books and records, but in any event for a period of at least [***] after the end of the Calendar Year in which any such payment becomes payable, in sufficient detail to confirm the accuracy of the calculations hereunder and in accordance with the applicable Accounting Standard that is normally applied by such Party with respect to the filing of its reporting.</w:t>
      </w:r>
    </w:p>
    <w:p>
      <w:pPr>
        <w:spacing w:after="0" w:line="178" w:lineRule="exact"/>
        <w:rPr>
          <w:rFonts w:ascii="Arial" w:cs="Arial" w:eastAsia="Arial" w:hAnsi="Arial"/>
          <w:sz w:val="21"/>
          <w:szCs w:val="21"/>
          <w:b w:val="1"/>
          <w:bCs w:val="1"/>
          <w:color w:val="auto"/>
        </w:rPr>
      </w:pPr>
    </w:p>
    <w:p>
      <w:pPr>
        <w:ind w:left="880" w:hanging="8"/>
        <w:spacing w:after="0" w:line="250" w:lineRule="auto"/>
        <w:tabs>
          <w:tab w:leader="none" w:pos="1792"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During the Term and for [***] thereafter, GSK shall permit, and shall cause its Affiliates or Sublicensees to permit, an independent certified public accounting firm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right="260" w:firstLine="8"/>
        <w:spacing w:after="0" w:line="266" w:lineRule="auto"/>
        <w:tabs>
          <w:tab w:leader="none" w:pos="435"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69" w:lineRule="auto"/>
        <w:rPr>
          <w:sz w:val="20"/>
          <w:szCs w:val="20"/>
          <w:color w:val="auto"/>
        </w:rPr>
      </w:pPr>
      <w:r>
        <w:rPr>
          <w:rFonts w:ascii="Arial" w:cs="Arial" w:eastAsia="Arial" w:hAnsi="Arial"/>
          <w:sz w:val="19"/>
          <w:szCs w:val="19"/>
          <w:color w:val="auto"/>
        </w:rPr>
        <w:t xml:space="preserve">nationally recognized standing selected by Arrowhead, and reasonably acceptable to GSK or such Affiliate or Sublicensee, to have access to and to review, during normal business hours and under obligations of confidentiality at least as protective of GSK Confidential Information as the confidentiality provisions of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and upon [***] prior written notice, no more frequently than once in any [***] period (except in the case of fraud), to verify the accuracy of the Royalty Reports and payments under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with respect to any Calendar Year ending not more than three (3) years prior to such audit request. The accounting firm shall disclose to GSK and Arrowhead only whether the Royalty Reports are correct or incorrect and the specific details concerning any discrepancies. If such accounting firm concludes that additional amounts were owed during such period, and GSK agrees with such calculation, GSK shall pay the additional undisputed amount, plus interest as set forth in </w:t>
      </w:r>
      <w:r>
        <w:rPr>
          <w:rFonts w:ascii="Arial" w:cs="Arial" w:eastAsia="Arial" w:hAnsi="Arial"/>
          <w:sz w:val="19"/>
          <w:szCs w:val="19"/>
          <w:u w:val="single" w:color="auto"/>
          <w:color w:val="auto"/>
        </w:rPr>
        <w:t>Section 5.5(c)</w:t>
      </w:r>
      <w:r>
        <w:rPr>
          <w:rFonts w:ascii="Arial" w:cs="Arial" w:eastAsia="Arial" w:hAnsi="Arial"/>
          <w:sz w:val="19"/>
          <w:szCs w:val="19"/>
          <w:color w:val="auto"/>
        </w:rPr>
        <w:t xml:space="preserve">, within [***] days following GSK’s receipt of such accounting firm’s written report and a Valid Invoice in accordance with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If such accounting firm concludes that an overpayment was made, such overpayment shall be fully creditable against amounts payable in subsequent payment periods. If GSK disagrees with such calculation, GSK and Arrowhead shall, acting reasonably and in good faith, work to resolve the disagreement. If the Parties are unable to reach a mutually acceptable resolution of any such dispute within twenty (20) Business Days, the dispute shall be submitted for resolution to an accounting firm jointly selected by the Parties to conduct a review, and if such firm concurs that any additional amounts were owed by GSK during such period, GSK shall make the required payment, plus interest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5.5(c)</w:t>
      </w:r>
      <w:r>
        <w:rPr>
          <w:rFonts w:ascii="Arial" w:cs="Arial" w:eastAsia="Arial" w:hAnsi="Arial"/>
          <w:sz w:val="19"/>
          <w:szCs w:val="19"/>
          <w:color w:val="auto"/>
        </w:rPr>
        <w:t xml:space="preserve">, within [***] days following GSK’s receipt of the report of its accounting firm and a Valid Invoice in accordance with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Arrowhead shall pay for the cost of any audit, unless GSK has underpaid Arrowhead by [***] or more for the audited period. Each Party shall treat all information that it receives under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in accordance with the confidentiality provisions of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of this Agreement, and shall cause its accounting firm to enter into an acceptable, reasonable confidentiality agreement with the other Party obligating such firm to retain all such financial information in confidence pursuant to such confidentiality agreement, except to the extent necessary for such Party to enforce its rights under this Agreement.</w:t>
      </w:r>
    </w:p>
    <w:p>
      <w:pPr>
        <w:spacing w:after="0" w:line="200" w:lineRule="exact"/>
        <w:rPr>
          <w:sz w:val="20"/>
          <w:szCs w:val="20"/>
          <w:color w:val="auto"/>
        </w:rPr>
      </w:pP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color w:val="auto"/>
        </w:rPr>
        <w:t>Taxes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73" w:lineRule="auto"/>
        <w:tabs>
          <w:tab w:leader="none" w:pos="1780"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If any amounts to be paid by GSK under this Agreement (including the upfront payment or any Development Milestone Payments, Sales Milestone Payments or royalties paid hereunder) are subject to any withholding or similar Tax, GSK shall (i) pay such withholding or similar Tax to the proper Governmental Body; and (ii) remit such payments to Arrowhead subject to deductions of any such withholding or similar Tax paid by GSK. The Parties agree to cooperate with one another and use reasonable efforts to reduce or eliminate tax withholding or similar obligations in respect of the upfront payment or any Development Milestone Payments, Sales Milestone Payments or royalties paid by GSK to Arrowhead under this Agreement. Arrowhead will provide GSK any tax forms that may be reasonably necessary in order for GSK not to withhold tax or to withhold tax at a reduced rate under an applicable bilateral income tax treaty. Each Party will provide the other with reasonable assistance to enable the recovery, as permitted by Law, of withholding taxes, value added taxes or similar obligations resulting from payments made under this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right="260" w:firstLine="8"/>
        <w:spacing w:after="0" w:line="266" w:lineRule="auto"/>
        <w:tabs>
          <w:tab w:leader="none" w:pos="435"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45" w:lineRule="auto"/>
        <w:rPr>
          <w:sz w:val="20"/>
          <w:szCs w:val="20"/>
          <w:color w:val="auto"/>
        </w:rPr>
      </w:pPr>
      <w:r>
        <w:rPr>
          <w:rFonts w:ascii="Arial" w:cs="Arial" w:eastAsia="Arial" w:hAnsi="Arial"/>
          <w:sz w:val="21"/>
          <w:szCs w:val="21"/>
          <w:color w:val="auto"/>
        </w:rPr>
        <w:t>Agreement, such recovery to be for the benefit of the Party bearing such withholding tax or value added tax. Notwithstanding the foregoing, if an action (including any license or sublicense of any rights or performance of any obligations under this Agreement, a change in the applicable taxing jurisdiction or any failure to comply with Laws or filing or record retention requirements) by either Party or any of its Affiliates causes any new or increased withholding tax liability that would not have been imposed in the absence of such action, such Party causing the new or increased withholding tax liability shall indemnify and hold harmless the other Party and its Affiliates from the amount of such additional or increased withholding tax (except to the extent that such other Party or its Affiliates is entitled to a refund of such withheld taxes or entitled to credit such withheld taxes against taxes which such other Party or its Affiliates would otherwise be required to pay).</w:t>
      </w:r>
    </w:p>
    <w:p>
      <w:pPr>
        <w:spacing w:after="0" w:line="184" w:lineRule="exact"/>
        <w:rPr>
          <w:sz w:val="20"/>
          <w:szCs w:val="20"/>
          <w:color w:val="auto"/>
        </w:rPr>
      </w:pPr>
    </w:p>
    <w:p>
      <w:pPr>
        <w:jc w:val="both"/>
        <w:ind w:left="880" w:hanging="8"/>
        <w:spacing w:after="0" w:line="245" w:lineRule="auto"/>
        <w:tabs>
          <w:tab w:leader="none" w:pos="1792" w:val="left"/>
        </w:tabs>
        <w:numPr>
          <w:ilvl w:val="0"/>
          <w:numId w:val="111"/>
        </w:numPr>
        <w:rPr>
          <w:rFonts w:ascii="Arial" w:cs="Arial" w:eastAsia="Arial" w:hAnsi="Arial"/>
          <w:sz w:val="21"/>
          <w:szCs w:val="21"/>
          <w:b w:val="1"/>
          <w:bCs w:val="1"/>
          <w:color w:val="auto"/>
        </w:rPr>
      </w:pPr>
      <w:r>
        <w:rPr>
          <w:rFonts w:ascii="Arial" w:cs="Arial" w:eastAsia="Arial" w:hAnsi="Arial"/>
          <w:sz w:val="21"/>
          <w:szCs w:val="21"/>
          <w:color w:val="auto"/>
        </w:rPr>
        <w:t xml:space="preserve">All amounts payable under or in connection with this Agreement are exclusive of VAT and Indirect Taxes. Any VAT and Indirect Taxes payable on the consideration paid hereunder (including the upfront payment or any Development Milestone Payments, Sales Milestone Payments or royalties paid hereunder) shall be paid by GSK at the same time as the payment or provision of such consideration to which it relates, subject to the production of a VAT and Indirect Taxes Valid Invoice in accordance with </w:t>
      </w:r>
      <w:r>
        <w:rPr>
          <w:rFonts w:ascii="Arial" w:cs="Arial" w:eastAsia="Arial" w:hAnsi="Arial"/>
          <w:sz w:val="21"/>
          <w:szCs w:val="21"/>
          <w:u w:val="single" w:color="auto"/>
          <w:color w:val="auto"/>
        </w:rPr>
        <w:t>Section 5.6</w:t>
      </w:r>
      <w:r>
        <w:rPr>
          <w:rFonts w:ascii="Arial" w:cs="Arial" w:eastAsia="Arial" w:hAnsi="Arial"/>
          <w:sz w:val="21"/>
          <w:szCs w:val="21"/>
          <w:color w:val="auto"/>
        </w:rPr>
        <w:t>. Each Party agrees that it shall provide to the other Party any information and copies of any documents within its control to the extent reasonably requested by the other Party for the purposes of (i) determining the amount of VAT and Indirect Taxes chargeable under this Agreement, (ii) establishing the “place of supply for VAT” purposes, or (iii) complying with its VAT and Indirect Taxes reporting or accounting obligations.</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Inventions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80" w:hanging="908"/>
        <w:spacing w:after="0"/>
        <w:tabs>
          <w:tab w:leader="none" w:pos="1780" w:val="left"/>
        </w:tabs>
        <w:numPr>
          <w:ilvl w:val="0"/>
          <w:numId w:val="112"/>
        </w:numPr>
        <w:rPr>
          <w:rFonts w:ascii="Arial" w:cs="Arial" w:eastAsia="Arial" w:hAnsi="Arial"/>
          <w:sz w:val="19"/>
          <w:szCs w:val="19"/>
          <w:b w:val="1"/>
          <w:bCs w:val="1"/>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all determinations of inventorship will be in accordance with U.S. patent</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law.</w:t>
      </w:r>
    </w:p>
    <w:p>
      <w:pPr>
        <w:spacing w:after="0" w:line="188" w:lineRule="exact"/>
        <w:rPr>
          <w:rFonts w:ascii="Arial" w:cs="Arial" w:eastAsia="Arial" w:hAnsi="Arial"/>
          <w:sz w:val="19"/>
          <w:szCs w:val="19"/>
          <w:b w:val="1"/>
          <w:bCs w:val="1"/>
          <w:color w:val="auto"/>
        </w:rPr>
      </w:pPr>
    </w:p>
    <w:p>
      <w:pPr>
        <w:jc w:val="both"/>
        <w:ind w:left="880" w:firstLine="789"/>
        <w:spacing w:after="0" w:line="273" w:lineRule="auto"/>
        <w:tabs>
          <w:tab w:leader="none" w:pos="252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As between the Parties, (A) all Agreement Know-How solely related to the Registered Starting Material ([***]), whether invented solely by or on behalf of one (1) or more Personnel of Arrowhead (or its Affiliates, licensees, sublicensees or subcontractors), solely by or on behalf of one (1) or more Personnel of GSK (or its Affiliates, licensees, or sublicensees, or subcontractors), or jointly by one (1) or more Personnel of GSK (or its Affiliates, licensees, sublicensees or subcontractors), and by one (1) or more Personnel of Arrowhead (or its Affiliates, licensees, or sublicensees or subcontractor) (the “</w:t>
      </w:r>
      <w:r>
        <w:rPr>
          <w:rFonts w:ascii="Arial" w:cs="Arial" w:eastAsia="Arial" w:hAnsi="Arial"/>
          <w:sz w:val="19"/>
          <w:szCs w:val="19"/>
          <w:b w:val="1"/>
          <w:bCs w:val="1"/>
          <w:color w:val="auto"/>
        </w:rPr>
        <w:t>New [***] Know-How</w:t>
      </w:r>
      <w:r>
        <w:rPr>
          <w:rFonts w:ascii="Arial" w:cs="Arial" w:eastAsia="Arial" w:hAnsi="Arial"/>
          <w:sz w:val="19"/>
          <w:szCs w:val="19"/>
          <w:color w:val="auto"/>
        </w:rPr>
        <w:t>”), together with any Agreement Patents that claim such New [***] Know-How (the “</w:t>
      </w:r>
      <w:r>
        <w:rPr>
          <w:rFonts w:ascii="Arial" w:cs="Arial" w:eastAsia="Arial" w:hAnsi="Arial"/>
          <w:sz w:val="19"/>
          <w:szCs w:val="19"/>
          <w:b w:val="1"/>
          <w:bCs w:val="1"/>
          <w:color w:val="auto"/>
        </w:rPr>
        <w:t>New [***] Patents</w:t>
      </w:r>
      <w:r>
        <w:rPr>
          <w:rFonts w:ascii="Arial" w:cs="Arial" w:eastAsia="Arial" w:hAnsi="Arial"/>
          <w:sz w:val="19"/>
          <w:szCs w:val="19"/>
          <w:color w:val="auto"/>
        </w:rPr>
        <w:t xml:space="preserve">”), shall be owned solely by Arrowhead; and (B) all Agreement Know-How that is invented solely by or on behalf of one (1) or more Personnel of Arrowhead (or its Affiliates, licensees, sublicensees or subcontractors) but </w:t>
      </w:r>
      <w:r>
        <w:rPr>
          <w:rFonts w:ascii="Arial" w:cs="Arial" w:eastAsia="Arial" w:hAnsi="Arial"/>
          <w:sz w:val="19"/>
          <w:szCs w:val="19"/>
          <w:i w:val="1"/>
          <w:iCs w:val="1"/>
          <w:color w:val="auto"/>
        </w:rPr>
        <w:t>excluding</w:t>
      </w:r>
      <w:r>
        <w:rPr>
          <w:rFonts w:ascii="Arial" w:cs="Arial" w:eastAsia="Arial" w:hAnsi="Arial"/>
          <w:sz w:val="19"/>
          <w:szCs w:val="19"/>
          <w:color w:val="auto"/>
        </w:rPr>
        <w:t xml:space="preserve"> any New [***] Know-How (together with the New [***] Know-How, the “</w:t>
      </w:r>
      <w:r>
        <w:rPr>
          <w:rFonts w:ascii="Arial" w:cs="Arial" w:eastAsia="Arial" w:hAnsi="Arial"/>
          <w:sz w:val="19"/>
          <w:szCs w:val="19"/>
          <w:b w:val="1"/>
          <w:bCs w:val="1"/>
          <w:color w:val="auto"/>
        </w:rPr>
        <w:t>Arrowhead Agreement Know-How</w:t>
      </w:r>
      <w:r>
        <w:rPr>
          <w:rFonts w:ascii="Arial" w:cs="Arial" w:eastAsia="Arial" w:hAnsi="Arial"/>
          <w:sz w:val="19"/>
          <w:szCs w:val="19"/>
          <w:color w:val="auto"/>
        </w:rPr>
        <w:t>”), together with any Agreement Patents that claim such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right="260" w:firstLine="8"/>
        <w:spacing w:after="0" w:line="266" w:lineRule="auto"/>
        <w:tabs>
          <w:tab w:leader="none" w:pos="435"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ind w:left="880"/>
        <w:spacing w:after="0" w:line="256" w:lineRule="auto"/>
        <w:rPr>
          <w:sz w:val="20"/>
          <w:szCs w:val="20"/>
          <w:color w:val="auto"/>
        </w:rPr>
      </w:pPr>
      <w:r>
        <w:rPr>
          <w:rFonts w:ascii="Arial" w:cs="Arial" w:eastAsia="Arial" w:hAnsi="Arial"/>
          <w:sz w:val="22"/>
          <w:szCs w:val="22"/>
          <w:color w:val="auto"/>
        </w:rPr>
        <w:t>Arrowhead Agreement Know-How (together with the New [***] Patents, the “</w:t>
      </w:r>
      <w:r>
        <w:rPr>
          <w:rFonts w:ascii="Arial" w:cs="Arial" w:eastAsia="Arial" w:hAnsi="Arial"/>
          <w:sz w:val="22"/>
          <w:szCs w:val="22"/>
          <w:b w:val="1"/>
          <w:bCs w:val="1"/>
          <w:color w:val="auto"/>
        </w:rPr>
        <w:t>Arrowhead Agreement Patents</w:t>
      </w:r>
      <w:r>
        <w:rPr>
          <w:rFonts w:ascii="Arial" w:cs="Arial" w:eastAsia="Arial" w:hAnsi="Arial"/>
          <w:sz w:val="22"/>
          <w:szCs w:val="22"/>
          <w:color w:val="auto"/>
        </w:rPr>
        <w:t>”), shall be owned solely by Arrowhead.</w:t>
      </w:r>
    </w:p>
    <w:p>
      <w:pPr>
        <w:spacing w:after="0" w:line="168" w:lineRule="exact"/>
        <w:rPr>
          <w:sz w:val="20"/>
          <w:szCs w:val="20"/>
          <w:color w:val="auto"/>
        </w:rPr>
      </w:pPr>
    </w:p>
    <w:p>
      <w:pPr>
        <w:jc w:val="both"/>
        <w:ind w:left="880" w:firstLine="789"/>
        <w:spacing w:after="0" w:line="252" w:lineRule="auto"/>
        <w:tabs>
          <w:tab w:leader="none" w:pos="2589" w:val="left"/>
        </w:tabs>
        <w:numPr>
          <w:ilvl w:val="1"/>
          <w:numId w:val="114"/>
        </w:numPr>
        <w:rPr>
          <w:rFonts w:ascii="Arial" w:cs="Arial" w:eastAsia="Arial" w:hAnsi="Arial"/>
          <w:sz w:val="21"/>
          <w:szCs w:val="21"/>
          <w:color w:val="auto"/>
        </w:rPr>
      </w:pPr>
      <w:r>
        <w:rPr>
          <w:rFonts w:ascii="Arial" w:cs="Arial" w:eastAsia="Arial" w:hAnsi="Arial"/>
          <w:sz w:val="21"/>
          <w:szCs w:val="21"/>
          <w:color w:val="auto"/>
        </w:rPr>
        <w:t xml:space="preserve">As between the Parties, all Agreement Know-How that is invented solely by or on behalf of one (1) or more Personnel of GSK (or its Affiliates, licensees, sublicensees or subcontractors) but </w:t>
      </w:r>
      <w:r>
        <w:rPr>
          <w:rFonts w:ascii="Arial" w:cs="Arial" w:eastAsia="Arial" w:hAnsi="Arial"/>
          <w:sz w:val="21"/>
          <w:szCs w:val="21"/>
          <w:i w:val="1"/>
          <w:iCs w:val="1"/>
          <w:color w:val="auto"/>
        </w:rPr>
        <w:t>excluding</w:t>
      </w:r>
      <w:r>
        <w:rPr>
          <w:rFonts w:ascii="Arial" w:cs="Arial" w:eastAsia="Arial" w:hAnsi="Arial"/>
          <w:sz w:val="21"/>
          <w:szCs w:val="21"/>
          <w:color w:val="auto"/>
        </w:rPr>
        <w:t xml:space="preserve"> any New [***] Know-How (the “</w:t>
      </w:r>
      <w:r>
        <w:rPr>
          <w:rFonts w:ascii="Arial" w:cs="Arial" w:eastAsia="Arial" w:hAnsi="Arial"/>
          <w:sz w:val="21"/>
          <w:szCs w:val="21"/>
          <w:b w:val="1"/>
          <w:bCs w:val="1"/>
          <w:color w:val="auto"/>
        </w:rPr>
        <w:t>GSK Agreement Know-How</w:t>
      </w:r>
      <w:r>
        <w:rPr>
          <w:rFonts w:ascii="Arial" w:cs="Arial" w:eastAsia="Arial" w:hAnsi="Arial"/>
          <w:sz w:val="21"/>
          <w:szCs w:val="21"/>
          <w:color w:val="auto"/>
        </w:rPr>
        <w:t>”), together with any Agreement Patents that claim such GSK Agreement Know-How (the “</w:t>
      </w:r>
      <w:r>
        <w:rPr>
          <w:rFonts w:ascii="Arial" w:cs="Arial" w:eastAsia="Arial" w:hAnsi="Arial"/>
          <w:sz w:val="21"/>
          <w:szCs w:val="21"/>
          <w:b w:val="1"/>
          <w:bCs w:val="1"/>
          <w:color w:val="auto"/>
        </w:rPr>
        <w:t>GSK Agreement Patents</w:t>
      </w:r>
      <w:r>
        <w:rPr>
          <w:rFonts w:ascii="Arial" w:cs="Arial" w:eastAsia="Arial" w:hAnsi="Arial"/>
          <w:sz w:val="21"/>
          <w:szCs w:val="21"/>
          <w:color w:val="auto"/>
        </w:rPr>
        <w:t>”), shall be owned solely by GSK.</w:t>
      </w:r>
    </w:p>
    <w:p>
      <w:pPr>
        <w:spacing w:after="0" w:line="173" w:lineRule="exact"/>
        <w:rPr>
          <w:rFonts w:ascii="Arial" w:cs="Arial" w:eastAsia="Arial" w:hAnsi="Arial"/>
          <w:sz w:val="21"/>
          <w:szCs w:val="21"/>
          <w:color w:val="auto"/>
        </w:rPr>
      </w:pPr>
    </w:p>
    <w:p>
      <w:pPr>
        <w:jc w:val="both"/>
        <w:ind w:left="880" w:firstLine="789"/>
        <w:spacing w:after="0" w:line="272" w:lineRule="auto"/>
        <w:tabs>
          <w:tab w:leader="none" w:pos="2649"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As between the Parties, all Agreement Know-How (other than New [***] Know-How) that is invented jointly by one (1) or more Personnel of GSK (or its Affiliates, licensees, sublicensees or subcontractors), and by one (1) or more Personnel of Arrowhead (or its Affiliates, licensees, sublicensees or subcontractors) but </w:t>
      </w:r>
      <w:r>
        <w:rPr>
          <w:rFonts w:ascii="Arial" w:cs="Arial" w:eastAsia="Arial" w:hAnsi="Arial"/>
          <w:sz w:val="19"/>
          <w:szCs w:val="19"/>
          <w:i w:val="1"/>
          <w:iCs w:val="1"/>
          <w:color w:val="auto"/>
        </w:rPr>
        <w:t>excluding</w:t>
      </w:r>
      <w:r>
        <w:rPr>
          <w:rFonts w:ascii="Arial" w:cs="Arial" w:eastAsia="Arial" w:hAnsi="Arial"/>
          <w:sz w:val="19"/>
          <w:szCs w:val="19"/>
          <w:color w:val="auto"/>
        </w:rPr>
        <w:t xml:space="preserve"> any New [***] Know-How (the “</w:t>
      </w:r>
      <w:r>
        <w:rPr>
          <w:rFonts w:ascii="Arial" w:cs="Arial" w:eastAsia="Arial" w:hAnsi="Arial"/>
          <w:sz w:val="19"/>
          <w:szCs w:val="19"/>
          <w:b w:val="1"/>
          <w:bCs w:val="1"/>
          <w:color w:val="auto"/>
        </w:rPr>
        <w:t>Joint Agreement Know-How</w:t>
      </w:r>
      <w:r>
        <w:rPr>
          <w:rFonts w:ascii="Arial" w:cs="Arial" w:eastAsia="Arial" w:hAnsi="Arial"/>
          <w:sz w:val="19"/>
          <w:szCs w:val="19"/>
          <w:color w:val="auto"/>
        </w:rPr>
        <w:t>”), together with any Agreement Patents that claim or cover such Joint Agreement Know-How (the “</w:t>
      </w:r>
      <w:r>
        <w:rPr>
          <w:rFonts w:ascii="Arial" w:cs="Arial" w:eastAsia="Arial" w:hAnsi="Arial"/>
          <w:sz w:val="19"/>
          <w:szCs w:val="19"/>
          <w:b w:val="1"/>
          <w:bCs w:val="1"/>
          <w:color w:val="auto"/>
        </w:rPr>
        <w:t>Joint Agreement Patents</w:t>
      </w:r>
      <w:r>
        <w:rPr>
          <w:rFonts w:ascii="Arial" w:cs="Arial" w:eastAsia="Arial" w:hAnsi="Arial"/>
          <w:sz w:val="19"/>
          <w:szCs w:val="19"/>
          <w:color w:val="auto"/>
        </w:rPr>
        <w:t>”) shall be owned jointly by the Parties, on an equal and undivided basis, including all rights, title and interest thereto and, subject to any rights or licenses expressly granted by one Party to the other Party under this Agreement. Each Party will each have the right to exploit, to grant licenses under, to assign and to otherwise dispose of such Joint Agreement Know-How or Joint Agreement Patents, without an accounting or obligation to, or consent required from, the other Party, and each Party hereby waives any right it may have under the laws of any jurisdiction to require any such consent or accounting (or, if such waiver is not valid in any jurisdiction, each Party hereby consents to the grant of any license to any Third Party without accounting to the other Party).</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880" w:hanging="8"/>
        <w:spacing w:after="0" w:line="244" w:lineRule="auto"/>
        <w:tabs>
          <w:tab w:leader="none" w:pos="1792" w:val="left"/>
        </w:tabs>
        <w:numPr>
          <w:ilvl w:val="0"/>
          <w:numId w:val="115"/>
        </w:numPr>
        <w:rPr>
          <w:rFonts w:ascii="Arial" w:cs="Arial" w:eastAsia="Arial" w:hAnsi="Arial"/>
          <w:sz w:val="21"/>
          <w:szCs w:val="21"/>
          <w:b w:val="1"/>
          <w:bCs w:val="1"/>
          <w:color w:val="auto"/>
        </w:rPr>
      </w:pPr>
      <w:r>
        <w:rPr>
          <w:rFonts w:ascii="Arial" w:cs="Arial" w:eastAsia="Arial" w:hAnsi="Arial"/>
          <w:sz w:val="21"/>
          <w:szCs w:val="21"/>
          <w:color w:val="auto"/>
        </w:rPr>
        <w:t>During the Term (i) Arrowhead will promptly disclose to GSK all invention disclosures or other similar documents relating to any Arrowhead Agreement Know-How or Joint Agreement Know-How developed or invented by or on behalf of Arrowhead (or its Affiliates, licensees, sublicensees or subcontractors) hereunder during the Term, and (ii) GSK will promptly disclose to Arrowhead all invention disclosures or other similar documents relating to any New [***] Know-How, GSK Licensed Know-How or Joint Agreement Know-How developed or invented by or on behalf of GSK (or its Affiliates, licensees, sublicensees or subcontractors) hereunder during the Term. Each Party shall also respond promptly to reasonable requests from the other Party for additional information relating to such disclosures, documents or applications; provided that (A) GSK shall only be obligated to respond to the extent such additional requested information is included within the New [***] Know-How, GSK Licensed Know-How or Joint Agreement Know-How, as applicable; and (B) Arrowhead shall only be obligated to respond to the extent such additional requested information is included within the Arrowhead Agreement Know-How or Joint Agreement Know-How, as applicable.</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Patent Working Group</w:t>
      </w:r>
    </w:p>
    <w:p>
      <w:pPr>
        <w:spacing w:after="0" w:line="206" w:lineRule="exact"/>
        <w:rPr>
          <w:sz w:val="20"/>
          <w:szCs w:val="20"/>
          <w:color w:val="auto"/>
        </w:rPr>
      </w:pPr>
    </w:p>
    <w:p>
      <w:pPr>
        <w:ind w:left="880" w:hanging="806"/>
        <w:spacing w:after="0" w:line="239" w:lineRule="auto"/>
        <w:tabs>
          <w:tab w:leader="none" w:pos="2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Parties will establish a patent working group (“</w:t>
      </w:r>
      <w:r>
        <w:rPr>
          <w:rFonts w:ascii="Arial" w:cs="Arial" w:eastAsia="Arial" w:hAnsi="Arial"/>
          <w:sz w:val="22"/>
          <w:szCs w:val="22"/>
          <w:b w:val="1"/>
          <w:bCs w:val="1"/>
          <w:color w:val="auto"/>
        </w:rPr>
        <w:t>Patent Working Group</w:t>
      </w:r>
      <w:r>
        <w:rPr>
          <w:rFonts w:ascii="Arial" w:cs="Arial" w:eastAsia="Arial" w:hAnsi="Arial"/>
          <w:sz w:val="22"/>
          <w:szCs w:val="22"/>
          <w:color w:val="auto"/>
        </w:rPr>
        <w:t>”) comprising an equal number of up to three (3) representatives of each Party, including a patent attorney or agent designated by such Party as its lead contact, for the sole purposes of alignment of activities under this Article 6 governing responsibilities for the preparation, filing, prosecution, pre-grant proceedings, post-grant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-184785</wp:posOffset>
            </wp:positionV>
            <wp:extent cx="5092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right="260" w:firstLine="8"/>
        <w:spacing w:after="0" w:line="266" w:lineRule="auto"/>
        <w:tabs>
          <w:tab w:leader="none" w:pos="435"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71" w:lineRule="auto"/>
        <w:rPr>
          <w:sz w:val="20"/>
          <w:szCs w:val="20"/>
          <w:color w:val="auto"/>
        </w:rPr>
      </w:pPr>
      <w:r>
        <w:rPr>
          <w:rFonts w:ascii="Arial" w:cs="Arial" w:eastAsia="Arial" w:hAnsi="Arial"/>
          <w:sz w:val="19"/>
          <w:szCs w:val="19"/>
          <w:color w:val="auto"/>
        </w:rPr>
        <w:t xml:space="preserve">(including any US interferences, reissue proceedings, reexaminations and EP oppositions), maintenance, enforcement and defense of all Arrowhead Patents and GSK Licensed Patents globally or any other patent matters pertaining to the Development, Manufacture or Commercialization of the Compounds or any Products hereunder. The Patent Working Group will meet as frequently as necessary to carry out its duties under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but no more often than once per Calendar Quarter, unless otherwise agreed by its members. The Patent Working Group may meet in person, by videoconference or by teleconference. Meetings of the Patent Working Group will be effective only if at least one (1) representative of each Party is present or participating in such meeting. Each Party will bear the expense of its respective Patent Working Group members’ participation in Patent Working Group meetings. For the avoidance of doubt, the Patent Working Group shall have no decision-making authority and, subject to the remainder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neither Party’s activities or decisions regarding the preparation, filing, prosecution, pre-grant proceedings, post-grant proceedings (including any US interferences, reissue proceedings, reexaminations and EP oppositions), maintenance, enforcement and defense of any Patents or any other patent matters pertaining to the Development, Manufacture or Commercialization of the Compounds or any Products hereunder in their respective Territories shall require the approval, consent or agreement of the Patent Working Group.</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Prosecution and Maintenance of Arrowhead Patents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34" w:lineRule="auto"/>
        <w:tabs>
          <w:tab w:leader="none" w:pos="1780" w:val="left"/>
        </w:tabs>
        <w:numPr>
          <w:ilvl w:val="0"/>
          <w:numId w:val="118"/>
        </w:numPr>
        <w:rPr>
          <w:rFonts w:ascii="Arial" w:cs="Arial" w:eastAsia="Arial" w:hAnsi="Arial"/>
          <w:sz w:val="22"/>
          <w:szCs w:val="22"/>
          <w:b w:val="1"/>
          <w:bCs w:val="1"/>
          <w:color w:val="auto"/>
        </w:rPr>
      </w:pPr>
      <w:r>
        <w:rPr>
          <w:rFonts w:ascii="Arial" w:cs="Arial" w:eastAsia="Arial" w:hAnsi="Arial"/>
          <w:sz w:val="22"/>
          <w:szCs w:val="22"/>
          <w:color w:val="auto"/>
        </w:rPr>
        <w:t xml:space="preserve">As between the Parties, GSK has the first right (but not the obligation), in its sole discretion and at its own cost and expense, to control the preparation, filing, prosecution (including any interferences, oppositions, </w:t>
      </w:r>
      <w:r>
        <w:rPr>
          <w:rFonts w:ascii="Arial" w:cs="Arial" w:eastAsia="Arial" w:hAnsi="Arial"/>
          <w:sz w:val="22"/>
          <w:szCs w:val="22"/>
          <w:i w:val="1"/>
          <w:iCs w:val="1"/>
          <w:color w:val="auto"/>
        </w:rPr>
        <w:t>inter partes</w:t>
      </w:r>
      <w:r>
        <w:rPr>
          <w:rFonts w:ascii="Arial" w:cs="Arial" w:eastAsia="Arial" w:hAnsi="Arial"/>
          <w:sz w:val="22"/>
          <w:szCs w:val="22"/>
          <w:color w:val="auto"/>
        </w:rPr>
        <w:t xml:space="preserve"> review, post-grant reissue proceedings and reexaminations (collectively, “</w:t>
      </w:r>
      <w:r>
        <w:rPr>
          <w:rFonts w:ascii="Arial" w:cs="Arial" w:eastAsia="Arial" w:hAnsi="Arial"/>
          <w:sz w:val="22"/>
          <w:szCs w:val="22"/>
          <w:b w:val="1"/>
          <w:bCs w:val="1"/>
          <w:color w:val="auto"/>
        </w:rPr>
        <w:t>Post-Grant Proceedings</w:t>
      </w:r>
      <w:r>
        <w:rPr>
          <w:rFonts w:ascii="Arial" w:cs="Arial" w:eastAsia="Arial" w:hAnsi="Arial"/>
          <w:sz w:val="22"/>
          <w:szCs w:val="22"/>
          <w:color w:val="auto"/>
        </w:rPr>
        <w:t>”)) and maintenance of (i) all Arrowhead HSD17B13-Specific Patents (including those that are Arrowhead Agreement Patents and Joint Agreement Patents) in the GSK Territory, (ii) all Joint Agreement Patents, that are not Arrowhead Platform Patents or Arrowhead HSD17B13-Specific Patents, in the GSK Territory, and (iii) all GSK Licensed Patents in the GSK Territory and the Arrowhead Territory.</w:t>
      </w:r>
    </w:p>
    <w:p>
      <w:pPr>
        <w:spacing w:after="0" w:line="190" w:lineRule="exact"/>
        <w:rPr>
          <w:rFonts w:ascii="Arial" w:cs="Arial" w:eastAsia="Arial" w:hAnsi="Arial"/>
          <w:sz w:val="22"/>
          <w:szCs w:val="22"/>
          <w:b w:val="1"/>
          <w:bCs w:val="1"/>
          <w:color w:val="auto"/>
        </w:rPr>
      </w:pPr>
    </w:p>
    <w:p>
      <w:pPr>
        <w:jc w:val="both"/>
        <w:ind w:left="880" w:hanging="8"/>
        <w:spacing w:after="0" w:line="272" w:lineRule="auto"/>
        <w:tabs>
          <w:tab w:leader="none" w:pos="1792" w:val="left"/>
        </w:tabs>
        <w:numPr>
          <w:ilvl w:val="0"/>
          <w:numId w:val="118"/>
        </w:numPr>
        <w:rPr>
          <w:rFonts w:ascii="Arial" w:cs="Arial" w:eastAsia="Arial" w:hAnsi="Arial"/>
          <w:sz w:val="19"/>
          <w:szCs w:val="19"/>
          <w:b w:val="1"/>
          <w:bCs w:val="1"/>
          <w:color w:val="auto"/>
        </w:rPr>
      </w:pPr>
      <w:r>
        <w:rPr>
          <w:rFonts w:ascii="Arial" w:cs="Arial" w:eastAsia="Arial" w:hAnsi="Arial"/>
          <w:sz w:val="19"/>
          <w:szCs w:val="19"/>
          <w:color w:val="auto"/>
        </w:rPr>
        <w:t xml:space="preserve">As between the Parties, Arrowhead has the first right (but not the obligation), in its sole discretion and at its own cost and expense, to control the preparation, filing, prosecution (including any Post-Grant Proceedings) and maintenance of (i) all Arrowhead Platform Patents (including those that are Arrowhead Agreement Patents and Joint Agreement Patents) in the Arrowhead Territory and the GSK Territory, (ii) all Arrowhead HSD17B13-Specific Patents (including those that are Arrowhead Agreement Patents and Joint Agreement Patents) in the Arrowhead Territory, (iii) all Joint Agreement Patents, that are not Arrowhead Platform Patents or Arrowhead HSD17B13-Specific Patents, in the Arrowhead Territory, and (iv) all Arrowhead Agreement Patents, that are not Arrowhead Platform Patents or Arrowhead HSD17B13-Specific Patents, in the GSK Territory or the Arrowhead Territory. Notwithstanding the foregoing, with respect to any Arrowhead Platform Patents for which Arrowhead retains control of the preparation, filing, prosecution (including any Post-Grant Proceedings) and maintenance pursuant to this </w:t>
      </w:r>
      <w:r>
        <w:rPr>
          <w:rFonts w:ascii="Arial" w:cs="Arial" w:eastAsia="Arial" w:hAnsi="Arial"/>
          <w:sz w:val="19"/>
          <w:szCs w:val="19"/>
          <w:u w:val="single" w:color="auto"/>
          <w:color w:val="auto"/>
        </w:rPr>
        <w:t>Section 6.3</w:t>
      </w:r>
      <w:r>
        <w:rPr>
          <w:rFonts w:ascii="Arial" w:cs="Arial" w:eastAsia="Arial" w:hAnsi="Arial"/>
          <w:sz w:val="19"/>
          <w:szCs w:val="19"/>
          <w:color w:val="auto"/>
        </w:rPr>
        <w:t>, Arrowhead shall use Commercially Reasonable Efforts to file and diligently prosecute any divisional applications, continuations applications, national phase applications or similar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right="260" w:firstLine="8"/>
        <w:spacing w:after="0" w:line="266" w:lineRule="auto"/>
        <w:tabs>
          <w:tab w:leader="none" w:pos="435"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spacing w:after="0" w:line="250" w:lineRule="auto"/>
        <w:rPr>
          <w:sz w:val="20"/>
          <w:szCs w:val="20"/>
          <w:color w:val="auto"/>
        </w:rPr>
      </w:pPr>
      <w:r>
        <w:rPr>
          <w:rFonts w:ascii="Arial" w:cs="Arial" w:eastAsia="Arial" w:hAnsi="Arial"/>
          <w:sz w:val="22"/>
          <w:szCs w:val="22"/>
          <w:color w:val="auto"/>
        </w:rPr>
        <w:t>filings with the objective of seeking issuance of additional Arrowhead HSD17B13-Specific Patents as separate from the Arrowhead Platform Patents.</w:t>
      </w:r>
    </w:p>
    <w:p>
      <w:pPr>
        <w:spacing w:after="0" w:line="175" w:lineRule="exact"/>
        <w:rPr>
          <w:sz w:val="20"/>
          <w:szCs w:val="20"/>
          <w:color w:val="auto"/>
        </w:rPr>
      </w:pPr>
    </w:p>
    <w:p>
      <w:pPr>
        <w:jc w:val="both"/>
        <w:ind w:left="880" w:hanging="8"/>
        <w:spacing w:after="0" w:line="270" w:lineRule="auto"/>
        <w:tabs>
          <w:tab w:leader="none" w:pos="1768" w:val="left"/>
        </w:tabs>
        <w:numPr>
          <w:ilvl w:val="0"/>
          <w:numId w:val="120"/>
        </w:numPr>
        <w:rPr>
          <w:rFonts w:ascii="Arial" w:cs="Arial" w:eastAsia="Arial" w:hAnsi="Arial"/>
          <w:sz w:val="19"/>
          <w:szCs w:val="19"/>
          <w:b w:val="1"/>
          <w:bCs w:val="1"/>
          <w:color w:val="auto"/>
        </w:rPr>
      </w:pPr>
      <w:r>
        <w:rPr>
          <w:rFonts w:ascii="Arial" w:cs="Arial" w:eastAsia="Arial" w:hAnsi="Arial"/>
          <w:sz w:val="19"/>
          <w:szCs w:val="19"/>
          <w:color w:val="auto"/>
        </w:rPr>
        <w:t xml:space="preserve">If the Party controlling the preparation, filing, prosecution and maintenance of any Patent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6.3(a) or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as applicable, elects not to file or to continue to prosecute or maintain such Patent in any country of the Territory, subject to, in the case where Arrowhead is such initial controlling Party, Arrowhead’s obligations under any Arrowhead Pre-Existing Agreements and Arrowhead having made such election for strategic reasons to improve the exclusivity position for or revenue of the Parties from a Product, then such Party shall notify the other Party at least thirty (30) Business Days before any deadline applicable to the filing, prosecution or maintenance of such Patent, as the case may be, or any other date by which an action must be taken to establish or preserve such Patent in such country. In such case, such other Party shall have the right (but not the obligation) to assume responsibility for the preparation, filing, prosecution and maintenance of such Patent in such country by delivery of notice to such controlling Party. If a Party so elects to assume responsibility for the preparation, filing prosecution or maintenance of any such Patent in such country, then (i) such Party shall thereafter be the “controlling Party” with respect to such Patent in such country for purposes of this </w:t>
      </w:r>
      <w:r>
        <w:rPr>
          <w:rFonts w:ascii="Arial" w:cs="Arial" w:eastAsia="Arial" w:hAnsi="Arial"/>
          <w:sz w:val="19"/>
          <w:szCs w:val="19"/>
          <w:u w:val="single" w:color="auto"/>
          <w:color w:val="auto"/>
        </w:rPr>
        <w:t>Section 6.3</w:t>
      </w:r>
      <w:r>
        <w:rPr>
          <w:rFonts w:ascii="Arial" w:cs="Arial" w:eastAsia="Arial" w:hAnsi="Arial"/>
          <w:sz w:val="19"/>
          <w:szCs w:val="19"/>
          <w:color w:val="auto"/>
        </w:rPr>
        <w:t>, (ii) the other Party will promptly: (A) provide to such new controlling Party (or their designated counsel) the file histories for, and correspondence with foreign patent counsel related to, such Patent, (B) provide to such new controlling Party a report detailing the status of such Patent as of the applicable date of such notice by such new controlling Party, and (C) provide all assistance reasonably requested by such new controlling Party to the extent reasonably necessary to enable such new controlling Party to assume responsibility for the preparation, filing, prosecution and maintenance of such Patent in such country (including by executing all requested documents, providing additional information with respect to such Patent and making its Personnel reasonably available to such new controlling Party), in each case ((A), (B) or (C)), at no cost to such new controlling Party.</w:t>
      </w:r>
    </w:p>
    <w:p>
      <w:pPr>
        <w:spacing w:after="0" w:line="200" w:lineRule="exact"/>
        <w:rPr>
          <w:rFonts w:ascii="Arial" w:cs="Arial" w:eastAsia="Arial" w:hAnsi="Arial"/>
          <w:sz w:val="19"/>
          <w:szCs w:val="19"/>
          <w:b w:val="1"/>
          <w:bCs w:val="1"/>
          <w:color w:val="auto"/>
        </w:rPr>
      </w:pPr>
    </w:p>
    <w:p>
      <w:pPr>
        <w:spacing w:after="0" w:line="205" w:lineRule="exact"/>
        <w:rPr>
          <w:rFonts w:ascii="Arial" w:cs="Arial" w:eastAsia="Arial" w:hAnsi="Arial"/>
          <w:sz w:val="19"/>
          <w:szCs w:val="19"/>
          <w:b w:val="1"/>
          <w:bCs w:val="1"/>
          <w:color w:val="auto"/>
        </w:rPr>
      </w:pPr>
    </w:p>
    <w:p>
      <w:pPr>
        <w:jc w:val="both"/>
        <w:ind w:left="880" w:hanging="8"/>
        <w:spacing w:after="0" w:line="272" w:lineRule="auto"/>
        <w:tabs>
          <w:tab w:leader="none" w:pos="1792" w:val="left"/>
        </w:tabs>
        <w:numPr>
          <w:ilvl w:val="0"/>
          <w:numId w:val="120"/>
        </w:numPr>
        <w:rPr>
          <w:rFonts w:ascii="Arial" w:cs="Arial" w:eastAsia="Arial" w:hAnsi="Arial"/>
          <w:sz w:val="19"/>
          <w:szCs w:val="19"/>
          <w:b w:val="1"/>
          <w:bCs w:val="1"/>
          <w:color w:val="auto"/>
        </w:rPr>
      </w:pPr>
      <w:r>
        <w:rPr>
          <w:rFonts w:ascii="Arial" w:cs="Arial" w:eastAsia="Arial" w:hAnsi="Arial"/>
          <w:sz w:val="19"/>
          <w:szCs w:val="19"/>
          <w:color w:val="auto"/>
        </w:rPr>
        <w:t xml:space="preserve">The Party controlling the preparation, filing, prosecution and maintenance of any Patent pursuant to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will keep the other Party reasonably informed of all substantive matters relating to the preparation, filing, prosecution and maintenance of such Patent or related Proceedings (e.g., interferences, oppositions, reexaminations, reissues, revocations or nullifications) in a timely manner, including providing such other Party with all material communications from any patent authority in the Territory regarding such Patent, as well as a reasonable opportunity to review and comment on drafts of any material filings or responses to be made to such patent authorities in advance of submitting such filings or responses; provided that such controlling Party will consider in good faith the other Party’s comments, requests and suggestions with respect to strategies for the preparation, filing, prosecution and maintenance of such Patent. In addition, the controlling Party will provide the other Party with copies of all final material filings and responses made to any patent office with respect to such Patent in a timely manner following submission thereof. Upon the controlling Party’s reasonable request, the other Party shall (and shall cause its Affiliates, as applicable, to) provide such controlling Party with reasonable assistance and support in connection with the fulfilment of its obligations under this </w:t>
      </w:r>
      <w:r>
        <w:rPr>
          <w:rFonts w:ascii="Arial" w:cs="Arial" w:eastAsia="Arial" w:hAnsi="Arial"/>
          <w:sz w:val="19"/>
          <w:szCs w:val="19"/>
          <w:u w:val="single" w:color="auto"/>
          <w:color w:val="auto"/>
        </w:rPr>
        <w:t>Section 6.3(d)</w:t>
      </w:r>
      <w:r>
        <w:rPr>
          <w:rFonts w:ascii="Arial" w:cs="Arial" w:eastAsia="Arial" w:hAnsi="Arial"/>
          <w:sz w:val="19"/>
          <w:szCs w:val="19"/>
          <w:color w:val="auto"/>
        </w:rPr>
        <w:t>, at such controlling Party’s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-4970145</wp:posOffset>
            </wp:positionV>
            <wp:extent cx="3238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right="260" w:firstLine="8"/>
        <w:spacing w:after="0" w:line="266" w:lineRule="auto"/>
        <w:tabs>
          <w:tab w:leader="none" w:pos="43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jc w:val="both"/>
        <w:ind w:left="880" w:hanging="8"/>
        <w:spacing w:after="0" w:line="249" w:lineRule="auto"/>
        <w:tabs>
          <w:tab w:leader="none" w:pos="1768" w:val="left"/>
        </w:tabs>
        <w:numPr>
          <w:ilvl w:val="1"/>
          <w:numId w:val="121"/>
        </w:numPr>
        <w:rPr>
          <w:rFonts w:ascii="Arial" w:cs="Arial" w:eastAsia="Arial" w:hAnsi="Arial"/>
          <w:sz w:val="21"/>
          <w:szCs w:val="21"/>
          <w:b w:val="1"/>
          <w:bCs w:val="1"/>
          <w:color w:val="auto"/>
        </w:rPr>
      </w:pPr>
      <w:r>
        <w:rPr>
          <w:rFonts w:ascii="Arial" w:cs="Arial" w:eastAsia="Arial" w:hAnsi="Arial"/>
          <w:sz w:val="21"/>
          <w:szCs w:val="21"/>
          <w:color w:val="auto"/>
        </w:rPr>
        <w:t>Through the Patent Working Group, each Party shall immediately give written notice to the other Party of any certification of which such Party or any of its Affiliates, licensees or sublicensees becomes aware of any allegations of alleged patent invalidity, unenforceability or non-infringement of any Arrowhead Patents or GSK Licensed Patents pursuant to any application or other similar filing or patent certification filed pursuant to 21 U.S.C. § 355(b)(2)(A) (or any amendment or successor statute thereto), or any foreign equivalent thereof.</w:t>
      </w:r>
    </w:p>
    <w:p>
      <w:pPr>
        <w:spacing w:after="0" w:line="178" w:lineRule="exact"/>
        <w:rPr>
          <w:rFonts w:ascii="Arial" w:cs="Arial" w:eastAsia="Arial" w:hAnsi="Arial"/>
          <w:sz w:val="21"/>
          <w:szCs w:val="21"/>
          <w:b w:val="1"/>
          <w:bCs w:val="1"/>
          <w:color w:val="auto"/>
        </w:rPr>
      </w:pPr>
    </w:p>
    <w:p>
      <w:pPr>
        <w:jc w:val="both"/>
        <w:ind w:left="880" w:hanging="8"/>
        <w:spacing w:after="0" w:line="236" w:lineRule="auto"/>
        <w:tabs>
          <w:tab w:leader="none" w:pos="1744" w:val="left"/>
        </w:tabs>
        <w:numPr>
          <w:ilvl w:val="1"/>
          <w:numId w:val="121"/>
        </w:numPr>
        <w:rPr>
          <w:rFonts w:ascii="Arial" w:cs="Arial" w:eastAsia="Arial" w:hAnsi="Arial"/>
          <w:sz w:val="22"/>
          <w:szCs w:val="22"/>
          <w:b w:val="1"/>
          <w:bCs w:val="1"/>
          <w:color w:val="auto"/>
        </w:rPr>
      </w:pPr>
      <w:r>
        <w:rPr>
          <w:rFonts w:ascii="Arial" w:cs="Arial" w:eastAsia="Arial" w:hAnsi="Arial"/>
          <w:sz w:val="22"/>
          <w:szCs w:val="22"/>
          <w:color w:val="auto"/>
        </w:rPr>
        <w:t>The Parties shall discuss in good faith the Arrowhead Patents that will be included in the “Orange Book” maintained by the FDA or similar or equivalent patent listing or linking source, if any, in other countries in the GSK Territory for Products, and, after considering Arrowhead’s comments in good faith, GSK will have the sole right to determine which Arrowhead Patent will be included. Arrowhead will provide such assistance as may be reasonably requested by GSK in connection with such listing.</w:t>
      </w:r>
    </w:p>
    <w:p>
      <w:pPr>
        <w:spacing w:after="0" w:line="187" w:lineRule="exact"/>
        <w:rPr>
          <w:rFonts w:ascii="Arial" w:cs="Arial" w:eastAsia="Arial" w:hAnsi="Arial"/>
          <w:sz w:val="22"/>
          <w:szCs w:val="22"/>
          <w:b w:val="1"/>
          <w:bCs w:val="1"/>
          <w:color w:val="auto"/>
        </w:rPr>
      </w:pPr>
    </w:p>
    <w:p>
      <w:pPr>
        <w:jc w:val="both"/>
        <w:ind w:left="880" w:hanging="8"/>
        <w:spacing w:after="0" w:line="279" w:lineRule="auto"/>
        <w:tabs>
          <w:tab w:leader="none" w:pos="1780" w:val="left"/>
        </w:tabs>
        <w:numPr>
          <w:ilvl w:val="1"/>
          <w:numId w:val="121"/>
        </w:numPr>
        <w:rPr>
          <w:rFonts w:ascii="Arial" w:cs="Arial" w:eastAsia="Arial" w:hAnsi="Arial"/>
          <w:sz w:val="19"/>
          <w:szCs w:val="19"/>
          <w:b w:val="1"/>
          <w:bCs w:val="1"/>
          <w:color w:val="auto"/>
        </w:rPr>
      </w:pPr>
      <w:r>
        <w:rPr>
          <w:rFonts w:ascii="Arial" w:cs="Arial" w:eastAsia="Arial" w:hAnsi="Arial"/>
          <w:sz w:val="19"/>
          <w:szCs w:val="19"/>
          <w:color w:val="auto"/>
        </w:rPr>
        <w:t>As between the Parties, GSK shall have the sole and exclusive right and authority (but not the obligation), in its sole discretion and at its own cost and expense, to (i) determine with respect to any Product in the GSK Territory if any Arrowhead Patent would be eligible for patent term extension pursuant to 35 U.S.C. §154-156 and as appropriate, applicable foreign patent Laws (the “</w:t>
      </w:r>
      <w:r>
        <w:rPr>
          <w:rFonts w:ascii="Arial" w:cs="Arial" w:eastAsia="Arial" w:hAnsi="Arial"/>
          <w:sz w:val="19"/>
          <w:szCs w:val="19"/>
          <w:b w:val="1"/>
          <w:bCs w:val="1"/>
          <w:color w:val="auto"/>
        </w:rPr>
        <w:t>Patent Term Extension</w:t>
      </w:r>
      <w:r>
        <w:rPr>
          <w:rFonts w:ascii="Arial" w:cs="Arial" w:eastAsia="Arial" w:hAnsi="Arial"/>
          <w:sz w:val="19"/>
          <w:szCs w:val="19"/>
          <w:color w:val="auto"/>
        </w:rPr>
        <w:t>”), and (ii) obtaining any such Patent Term Extension with respect to any Arrowhead Patent in the GSK Territory; provided that Arrowhead shall (and shall cause its Affiliates, as applicable, to) reasonably cooperate with GSK with respect thereto.</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Enforcement</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44" w:lineRule="auto"/>
        <w:tabs>
          <w:tab w:leader="none" w:pos="1780" w:val="left"/>
        </w:tabs>
        <w:numPr>
          <w:ilvl w:val="0"/>
          <w:numId w:val="122"/>
        </w:numPr>
        <w:rPr>
          <w:rFonts w:ascii="Arial" w:cs="Arial" w:eastAsia="Arial" w:hAnsi="Arial"/>
          <w:sz w:val="21"/>
          <w:szCs w:val="21"/>
          <w:b w:val="1"/>
          <w:bCs w:val="1"/>
          <w:color w:val="auto"/>
        </w:rPr>
      </w:pPr>
      <w:r>
        <w:rPr>
          <w:rFonts w:ascii="Arial" w:cs="Arial" w:eastAsia="Arial" w:hAnsi="Arial"/>
          <w:sz w:val="21"/>
          <w:szCs w:val="21"/>
          <w:color w:val="auto"/>
        </w:rPr>
        <w:t>If either Party (i) believes an infringement, unauthorized use or misappropriation of any Arrowhead Technology or GSK Licensed Technology is occurring or is likely, by a Third Party in each case, solely in respect of the making, using, offering to sell, selling, or importing of a product in the Territory that would be competitive with the Development, Manufacture or Commercialization of a Product anywhere in the world, including the filing of an Abbreviated New Drug Application with any applicable Regulatory Authority with respect to a Product as the reference product for such product (any such activity by a Third Party, a “</w:t>
      </w:r>
      <w:r>
        <w:rPr>
          <w:rFonts w:ascii="Arial" w:cs="Arial" w:eastAsia="Arial" w:hAnsi="Arial"/>
          <w:sz w:val="21"/>
          <w:szCs w:val="21"/>
          <w:b w:val="1"/>
          <w:bCs w:val="1"/>
          <w:color w:val="auto"/>
        </w:rPr>
        <w:t>Third Party Competing Infringement</w:t>
      </w:r>
      <w:r>
        <w:rPr>
          <w:rFonts w:ascii="Arial" w:cs="Arial" w:eastAsia="Arial" w:hAnsi="Arial"/>
          <w:sz w:val="21"/>
          <w:szCs w:val="21"/>
          <w:color w:val="auto"/>
        </w:rPr>
        <w:t>”), or (ii) becomes aware of any Third Party having filed a declaratory judgement action or other action that is not a Post-Grant Proceeding claiming that any Arrowhead Patent or any GSK Licensed Patent is invalid or unenforceable, as applicable (any such claims by a Third Party, a “</w:t>
      </w:r>
      <w:r>
        <w:rPr>
          <w:rFonts w:ascii="Arial" w:cs="Arial" w:eastAsia="Arial" w:hAnsi="Arial"/>
          <w:sz w:val="21"/>
          <w:szCs w:val="21"/>
          <w:b w:val="1"/>
          <w:bCs w:val="1"/>
          <w:color w:val="auto"/>
        </w:rPr>
        <w:t>Third Party Patent Action</w:t>
      </w:r>
      <w:r>
        <w:rPr>
          <w:rFonts w:ascii="Arial" w:cs="Arial" w:eastAsia="Arial" w:hAnsi="Arial"/>
          <w:sz w:val="21"/>
          <w:szCs w:val="21"/>
          <w:color w:val="auto"/>
        </w:rPr>
        <w:t>”), through the Patent Working Group, such Party shall promptly notify the other Party and provide such other Party with details of such infringement or claim that are known to such Party.</w:t>
      </w:r>
    </w:p>
    <w:p>
      <w:pPr>
        <w:spacing w:after="0" w:line="188" w:lineRule="exact"/>
        <w:rPr>
          <w:rFonts w:ascii="Arial" w:cs="Arial" w:eastAsia="Arial" w:hAnsi="Arial"/>
          <w:sz w:val="21"/>
          <w:szCs w:val="21"/>
          <w:b w:val="1"/>
          <w:bCs w:val="1"/>
          <w:color w:val="auto"/>
        </w:rPr>
      </w:pPr>
    </w:p>
    <w:p>
      <w:pPr>
        <w:jc w:val="both"/>
        <w:ind w:left="880" w:hanging="8"/>
        <w:spacing w:after="0" w:line="287" w:lineRule="auto"/>
        <w:tabs>
          <w:tab w:leader="none" w:pos="1792" w:val="left"/>
        </w:tabs>
        <w:numPr>
          <w:ilvl w:val="0"/>
          <w:numId w:val="122"/>
        </w:numPr>
        <w:rPr>
          <w:rFonts w:ascii="Arial" w:cs="Arial" w:eastAsia="Arial" w:hAnsi="Arial"/>
          <w:sz w:val="19"/>
          <w:szCs w:val="19"/>
          <w:b w:val="1"/>
          <w:bCs w:val="1"/>
          <w:color w:val="auto"/>
        </w:rPr>
      </w:pPr>
      <w:r>
        <w:rPr>
          <w:rFonts w:ascii="Arial" w:cs="Arial" w:eastAsia="Arial" w:hAnsi="Arial"/>
          <w:sz w:val="19"/>
          <w:szCs w:val="19"/>
          <w:color w:val="auto"/>
        </w:rPr>
        <w:t>As between the Parties, GSK shall have the first right and authority (but not the obligation), in its sole discretion and at its own cost and expense, to bring and control an Enforcement Action involving any (i) Arrowhead HSD17B13-Specific Patents (including those that are Arrowhead Agreement Patents and Joint Agreement Patents) in the GSK Territory, (ii) Joint Agreement Patents, that are not Arrowhead Platform Patents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right="260" w:firstLine="8"/>
        <w:spacing w:after="0" w:line="266" w:lineRule="auto"/>
        <w:tabs>
          <w:tab w:leader="none" w:pos="435"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Arrowhead HSD17B13-Specific Patents, in the GSK Territory, and (iii) all GSK Licensed Patents in the GSK Territory.</w:t>
      </w:r>
    </w:p>
    <w:p>
      <w:pPr>
        <w:spacing w:after="0" w:line="241" w:lineRule="exact"/>
        <w:rPr>
          <w:sz w:val="20"/>
          <w:szCs w:val="20"/>
          <w:color w:val="auto"/>
        </w:rPr>
      </w:pPr>
    </w:p>
    <w:p>
      <w:pPr>
        <w:jc w:val="both"/>
        <w:ind w:left="880" w:hanging="8"/>
        <w:spacing w:after="0" w:line="233" w:lineRule="auto"/>
        <w:tabs>
          <w:tab w:leader="none" w:pos="1768" w:val="left"/>
        </w:tabs>
        <w:numPr>
          <w:ilvl w:val="0"/>
          <w:numId w:val="124"/>
        </w:numPr>
        <w:rPr>
          <w:rFonts w:ascii="Arial" w:cs="Arial" w:eastAsia="Arial" w:hAnsi="Arial"/>
          <w:sz w:val="22"/>
          <w:szCs w:val="22"/>
          <w:b w:val="1"/>
          <w:bCs w:val="1"/>
          <w:color w:val="auto"/>
        </w:rPr>
      </w:pPr>
      <w:r>
        <w:rPr>
          <w:rFonts w:ascii="Arial" w:cs="Arial" w:eastAsia="Arial" w:hAnsi="Arial"/>
          <w:sz w:val="22"/>
          <w:szCs w:val="22"/>
          <w:color w:val="auto"/>
        </w:rPr>
        <w:t>As between the Parties, Arrowhead shall have the first right and authority (but not the obligation), in its sole discretion and at its own cost and expense, to bring and control any Enforcement Action involving (i) Arrowhead Platform Patents (including those that are Arrowhead Agreement Patents and Joint Agreement Patents) in the Arrowhead Territory and the GSK Territory, (ii) Arrowhead HSD17B13-Specific Patents (including those that are Arrowhead Agreement Patents and including any Joint Agreement Patents) in the Arrowhead Territory, (iii) Joint Agreement Patents, that are not Arrowhead Platform Patents or Arrowhead HSD17B13-Specific Patents, in the Arrowhead Territory, (iv) GSK Licensed Patents in the Arrowhead Territory, and (v) Arrowhead Agreement Patents, that are not Arrowhead Platform Patents or Arrowhead HSD17B13-Specific Patents, in the GSK Territory or the Arrowhead Territory.</w:t>
      </w:r>
    </w:p>
    <w:p>
      <w:pPr>
        <w:spacing w:after="0" w:line="192" w:lineRule="exact"/>
        <w:rPr>
          <w:rFonts w:ascii="Arial" w:cs="Arial" w:eastAsia="Arial" w:hAnsi="Arial"/>
          <w:sz w:val="22"/>
          <w:szCs w:val="22"/>
          <w:b w:val="1"/>
          <w:bCs w:val="1"/>
          <w:color w:val="auto"/>
        </w:rPr>
      </w:pPr>
    </w:p>
    <w:p>
      <w:pPr>
        <w:jc w:val="both"/>
        <w:ind w:left="880" w:hanging="8"/>
        <w:spacing w:after="0" w:line="244" w:lineRule="auto"/>
        <w:tabs>
          <w:tab w:leader="none" w:pos="1792" w:val="left"/>
        </w:tabs>
        <w:numPr>
          <w:ilvl w:val="0"/>
          <w:numId w:val="124"/>
        </w:numPr>
        <w:rPr>
          <w:rFonts w:ascii="Arial" w:cs="Arial" w:eastAsia="Arial" w:hAnsi="Arial"/>
          <w:sz w:val="21"/>
          <w:szCs w:val="21"/>
          <w:b w:val="1"/>
          <w:bCs w:val="1"/>
          <w:color w:val="auto"/>
        </w:rPr>
      </w:pPr>
      <w:r>
        <w:rPr>
          <w:rFonts w:ascii="Arial" w:cs="Arial" w:eastAsia="Arial" w:hAnsi="Arial"/>
          <w:sz w:val="21"/>
          <w:szCs w:val="21"/>
          <w:color w:val="auto"/>
        </w:rPr>
        <w:t xml:space="preserve">If the Party with the first right to bring and control an Enforcement Action pursuant to </w:t>
      </w:r>
      <w:r>
        <w:rPr>
          <w:rFonts w:ascii="Arial" w:cs="Arial" w:eastAsia="Arial" w:hAnsi="Arial"/>
          <w:sz w:val="21"/>
          <w:szCs w:val="21"/>
          <w:u w:val="single" w:color="auto"/>
          <w:color w:val="auto"/>
        </w:rPr>
        <w:t>Section 6.4(b)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6.4(c)</w:t>
      </w:r>
      <w:r>
        <w:rPr>
          <w:rFonts w:ascii="Arial" w:cs="Arial" w:eastAsia="Arial" w:hAnsi="Arial"/>
          <w:sz w:val="21"/>
          <w:szCs w:val="21"/>
          <w:color w:val="auto"/>
        </w:rPr>
        <w:t xml:space="preserve">, as applicable, notifies the other Party of its intent not to bring such Enforcement Action against the applicable Third Party with respect to any Patent or otherwise fails to take commercially reasonable steps to prosecute or settle any such Third Party Competing Infringement or defend or settle any Third Party Action with respect to any Patent within [***] of receiving a notice with respect to such infringement pursuant to </w:t>
      </w:r>
      <w:r>
        <w:rPr>
          <w:rFonts w:ascii="Arial" w:cs="Arial" w:eastAsia="Arial" w:hAnsi="Arial"/>
          <w:sz w:val="21"/>
          <w:szCs w:val="21"/>
          <w:u w:val="single" w:color="auto"/>
          <w:color w:val="auto"/>
        </w:rPr>
        <w:t>Section 6.4(a)</w:t>
      </w:r>
      <w:r>
        <w:rPr>
          <w:rFonts w:ascii="Arial" w:cs="Arial" w:eastAsia="Arial" w:hAnsi="Arial"/>
          <w:sz w:val="21"/>
          <w:szCs w:val="21"/>
          <w:color w:val="auto"/>
        </w:rPr>
        <w:t xml:space="preserve"> (or, if earlier, within [***] before the time limit, if any, under Law for taking any action with respect to the timeframe of any other relevant regulatory or statutory framework that may govern), then such other Party shall have the right (but not the obligation), subject to discussion with such enforcing Party and consideration in good faith of any rationale provided by such enforcing Party as to why such enforcing Party elected not to take such action and such enforcing Party’s written consent (not to be unreasonably withheld) to assume responsibility for, in its sole discretion and at its own cost and expense, enforcing any such rights under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with respect to such Patent in the Territory by delivery of notice to such enforcing Party.</w:t>
      </w:r>
    </w:p>
    <w:p>
      <w:pPr>
        <w:spacing w:after="0" w:line="185" w:lineRule="exact"/>
        <w:rPr>
          <w:rFonts w:ascii="Arial" w:cs="Arial" w:eastAsia="Arial" w:hAnsi="Arial"/>
          <w:sz w:val="21"/>
          <w:szCs w:val="21"/>
          <w:b w:val="1"/>
          <w:bCs w:val="1"/>
          <w:color w:val="auto"/>
        </w:rPr>
      </w:pPr>
    </w:p>
    <w:p>
      <w:pPr>
        <w:jc w:val="both"/>
        <w:ind w:left="880" w:hanging="8"/>
        <w:spacing w:after="0" w:line="244" w:lineRule="auto"/>
        <w:tabs>
          <w:tab w:leader="none" w:pos="1768" w:val="left"/>
        </w:tabs>
        <w:numPr>
          <w:ilvl w:val="0"/>
          <w:numId w:val="124"/>
        </w:numPr>
        <w:rPr>
          <w:rFonts w:ascii="Arial" w:cs="Arial" w:eastAsia="Arial" w:hAnsi="Arial"/>
          <w:sz w:val="21"/>
          <w:szCs w:val="21"/>
          <w:b w:val="1"/>
          <w:bCs w:val="1"/>
          <w:color w:val="auto"/>
        </w:rPr>
      </w:pPr>
      <w:r>
        <w:rPr>
          <w:rFonts w:ascii="Arial" w:cs="Arial" w:eastAsia="Arial" w:hAnsi="Arial"/>
          <w:sz w:val="21"/>
          <w:szCs w:val="21"/>
          <w:color w:val="auto"/>
        </w:rPr>
        <w:t xml:space="preserve">Each Party will provide to the Party exercising its rights under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reasonable assistance in such efforts, at such enforcing Party’s request and expense, including joining such action as a party plaintiff if required by Law to pursue an Enforcement Action or providing the enforcing Party any reasonably requested documentation or other materials. Without limiting the foregoing, at a Party’s request, the other Party shall (and shall cause its Affiliates to) promptly provide such Party and its Affiliates with all relevant documentation (as may be reasonably requested by such Party) evidencing that such Party and its Affiliates are validly empowered by such other Party and its Affiliates to take such Enforcement Action with respect to the applicable Patent, including in such other Party’s name in accordance with the rights granted to such Party under this </w:t>
      </w:r>
      <w:r>
        <w:rPr>
          <w:rFonts w:ascii="Arial" w:cs="Arial" w:eastAsia="Arial" w:hAnsi="Arial"/>
          <w:sz w:val="21"/>
          <w:szCs w:val="21"/>
          <w:u w:val="single" w:color="auto"/>
          <w:color w:val="auto"/>
        </w:rPr>
        <w:t>Section 6.4</w:t>
      </w:r>
      <w:r>
        <w:rPr>
          <w:rFonts w:ascii="Arial" w:cs="Arial" w:eastAsia="Arial" w:hAnsi="Arial"/>
          <w:sz w:val="21"/>
          <w:szCs w:val="21"/>
          <w:color w:val="auto"/>
        </w:rPr>
        <w:t>, as necessary. A Party or its applicable Affiliate shall join any such Enforcement Action with respect to the applicable Patent if the enforcing Party or any of its Affiliates determines that it is necessary to demonstrate “standing to sue.” The enforcing Party will keep the other Party regularly informed of the status and progress of such enforcement efforts, including providing the other Party a reasonable opportunity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right="260" w:firstLine="8"/>
        <w:spacing w:after="0" w:line="266" w:lineRule="auto"/>
        <w:tabs>
          <w:tab w:leader="none" w:pos="435"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comment on the enforcing Party’s determination of litigation strategy and the filing of important papers to the competent court and the enforcing Party will consider such comments in good faith. The non-enforcing Party shall have the right, at its own expense, to retain its own counsel with respect to its participation in any such Enforcement Action solely to the extent relating to any Arrowhead Patent.</w:t>
      </w:r>
    </w:p>
    <w:p>
      <w:pPr>
        <w:spacing w:after="0" w:line="185" w:lineRule="exact"/>
        <w:rPr>
          <w:sz w:val="20"/>
          <w:szCs w:val="20"/>
          <w:color w:val="auto"/>
        </w:rPr>
      </w:pPr>
    </w:p>
    <w:p>
      <w:pPr>
        <w:jc w:val="both"/>
        <w:ind w:left="880" w:hanging="8"/>
        <w:spacing w:after="0" w:line="279" w:lineRule="auto"/>
        <w:tabs>
          <w:tab w:leader="none" w:pos="1744"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to the contrary set forth herein, the Party controlling an Enforcement Action under this </w:t>
      </w:r>
      <w:r>
        <w:rPr>
          <w:rFonts w:ascii="Arial" w:cs="Arial" w:eastAsia="Arial" w:hAnsi="Arial"/>
          <w:sz w:val="19"/>
          <w:szCs w:val="19"/>
          <w:u w:val="single" w:color="auto"/>
          <w:color w:val="auto"/>
        </w:rPr>
        <w:t>Section 6.4</w:t>
      </w:r>
      <w:r>
        <w:rPr>
          <w:rFonts w:ascii="Arial" w:cs="Arial" w:eastAsia="Arial" w:hAnsi="Arial"/>
          <w:sz w:val="19"/>
          <w:szCs w:val="19"/>
          <w:color w:val="auto"/>
        </w:rPr>
        <w:t>, shall not settle or otherwise compromise any such Enforcement Action (i) by admitting that any Patent is invalid or enforceable, whether in whole or in part, (ii) in a way that adversely affects or would be reasonably expected to materially adversely affect the validity or enforceability of the Patents or the rights or benefits of the non-enforcing Party hereunder, or (iii) in a way that imposes any costs or liability on, or involves any admission by the non-enforcing Party, in each case ((i), (ii) or (iii)), without such non-enforcing Party’s prior written consent.</w:t>
      </w:r>
    </w:p>
    <w:p>
      <w:pPr>
        <w:spacing w:after="0" w:line="150" w:lineRule="exact"/>
        <w:rPr>
          <w:rFonts w:ascii="Arial" w:cs="Arial" w:eastAsia="Arial" w:hAnsi="Arial"/>
          <w:sz w:val="19"/>
          <w:szCs w:val="19"/>
          <w:b w:val="1"/>
          <w:bCs w:val="1"/>
          <w:color w:val="auto"/>
        </w:rPr>
      </w:pPr>
    </w:p>
    <w:p>
      <w:pPr>
        <w:jc w:val="both"/>
        <w:ind w:left="880" w:hanging="8"/>
        <w:spacing w:after="0" w:line="282" w:lineRule="auto"/>
        <w:tabs>
          <w:tab w:leader="none" w:pos="1780"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respective indemnity obligations of the Parties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the Party controlling an Enforcement Action under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pay all costs associated with such Enforcement Action, other than the expenses of the non-enforcing Party if such non-enforcing Party voluntarily elects to join such Enforcement Action as provided in </w:t>
      </w:r>
      <w:r>
        <w:rPr>
          <w:rFonts w:ascii="Arial" w:cs="Arial" w:eastAsia="Arial" w:hAnsi="Arial"/>
          <w:sz w:val="19"/>
          <w:szCs w:val="19"/>
          <w:u w:val="single" w:color="auto"/>
          <w:color w:val="auto"/>
        </w:rPr>
        <w:t>Section 6.4(e)</w:t>
      </w:r>
      <w:r>
        <w:rPr>
          <w:rFonts w:ascii="Arial" w:cs="Arial" w:eastAsia="Arial" w:hAnsi="Arial"/>
          <w:sz w:val="19"/>
          <w:szCs w:val="19"/>
          <w:color w:val="auto"/>
        </w:rPr>
        <w:t xml:space="preserve">. Any amounts recovered by the Party bringing an Enforcement Action pursuant to this </w:t>
      </w:r>
      <w:r>
        <w:rPr>
          <w:rFonts w:ascii="Arial" w:cs="Arial" w:eastAsia="Arial" w:hAnsi="Arial"/>
          <w:sz w:val="19"/>
          <w:szCs w:val="19"/>
          <w:u w:val="single" w:color="auto"/>
          <w:color w:val="auto"/>
        </w:rPr>
        <w:t>Section 6.4</w:t>
      </w:r>
      <w:r>
        <w:rPr>
          <w:rFonts w:ascii="Arial" w:cs="Arial" w:eastAsia="Arial" w:hAnsi="Arial"/>
          <w:sz w:val="19"/>
          <w:szCs w:val="19"/>
          <w:color w:val="auto"/>
        </w:rPr>
        <w:t>, whether by settlement or judgment, shall be allocated in the following order: [***]</w:t>
      </w:r>
    </w:p>
    <w:p>
      <w:pPr>
        <w:spacing w:after="0" w:line="14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Defense of Third Party Enforcement Actions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97" w:lineRule="auto"/>
        <w:tabs>
          <w:tab w:leader="none" w:pos="1780"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If either Party or any of its Affiliates becomes aware of any Third Party Enforcement Action with respect to any Product, such Party or such Affiliate, through the Patent Working Group, shall promptly notify the other Party of all details regarding such claim or action that is reasonably available to such Party or such Affiliate.</w:t>
      </w:r>
    </w:p>
    <w:p>
      <w:pPr>
        <w:spacing w:after="0" w:line="133" w:lineRule="exact"/>
        <w:rPr>
          <w:rFonts w:ascii="Arial" w:cs="Arial" w:eastAsia="Arial" w:hAnsi="Arial"/>
          <w:sz w:val="19"/>
          <w:szCs w:val="19"/>
          <w:b w:val="1"/>
          <w:bCs w:val="1"/>
          <w:color w:val="auto"/>
        </w:rPr>
      </w:pPr>
    </w:p>
    <w:p>
      <w:pPr>
        <w:jc w:val="both"/>
        <w:ind w:left="880" w:hanging="8"/>
        <w:spacing w:after="0" w:line="272" w:lineRule="auto"/>
        <w:tabs>
          <w:tab w:leader="none" w:pos="1792" w:val="left"/>
        </w:tabs>
        <w:numPr>
          <w:ilvl w:val="0"/>
          <w:numId w:val="127"/>
        </w:numPr>
        <w:rPr>
          <w:rFonts w:ascii="Arial" w:cs="Arial" w:eastAsia="Arial" w:hAnsi="Arial"/>
          <w:sz w:val="19"/>
          <w:szCs w:val="19"/>
          <w:b w:val="1"/>
          <w:bCs w:val="1"/>
          <w:color w:val="auto"/>
        </w:rPr>
      </w:pPr>
      <w:r>
        <w:rPr>
          <w:rFonts w:ascii="Arial" w:cs="Arial" w:eastAsia="Arial" w:hAnsi="Arial"/>
          <w:sz w:val="19"/>
          <w:szCs w:val="19"/>
          <w:color w:val="auto"/>
        </w:rPr>
        <w:t xml:space="preserve">As between the Parties, subject to the respective indemnity obligations of the Parties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(i) GSK shall have the sole and exclusive right and authority (but not the obligation), in its sole discretion and at its own cost and expense, to defend against, and select counsel for, any Third Party Enforcement Action with respect to any Product in the GSK Territory and to compromise or settle such Third Party Enforcement Action, provided that GSK shall not settle or otherwise compromise any Third Party Enforcement Action in a way that imposes any costs or liability on, or involves any admission by, Arrowhead or any of its Affiliates, in each case, without Arrowhead’s prior written consent, and (ii) Arrowhead shall have the sole and exclusive right and authority (but not the obligation), in its sole discretion and at its own cost and expense, to defend against, and select counsel for, any Third Party Enforcement Action with respect to any Product in the Arrowhead Territory and to compromise or settle such Third Party Enforcement Action, provided that Arrowhead shall not settle or otherwise compromise any Third Party Enforcement Action in a way that imposes any costs or liability on, or involves any admission by, GSK or any of its Affiliates, in each case, without GSK’s prior written consent (in each case ((i) and (ii)) GSK and Arrowhead shall be the “</w:t>
      </w:r>
      <w:r>
        <w:rPr>
          <w:rFonts w:ascii="Arial" w:cs="Arial" w:eastAsia="Arial" w:hAnsi="Arial"/>
          <w:sz w:val="19"/>
          <w:szCs w:val="19"/>
          <w:b w:val="1"/>
          <w:bCs w:val="1"/>
          <w:color w:val="auto"/>
        </w:rPr>
        <w:t>Defending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right="260" w:firstLine="8"/>
        <w:spacing w:after="0" w:line="266" w:lineRule="auto"/>
        <w:tabs>
          <w:tab w:leader="none" w:pos="435"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4" w:lineRule="exact"/>
        <w:rPr>
          <w:sz w:val="20"/>
          <w:szCs w:val="20"/>
          <w:color w:val="auto"/>
        </w:rPr>
      </w:pPr>
    </w:p>
    <w:p>
      <w:pPr>
        <w:jc w:val="both"/>
        <w:ind w:left="880"/>
        <w:spacing w:after="0" w:line="276" w:lineRule="auto"/>
        <w:rPr>
          <w:sz w:val="20"/>
          <w:szCs w:val="20"/>
          <w:color w:val="auto"/>
        </w:rPr>
      </w:pPr>
      <w:r>
        <w:rPr>
          <w:rFonts w:ascii="Arial" w:cs="Arial" w:eastAsia="Arial" w:hAnsi="Arial"/>
          <w:sz w:val="19"/>
          <w:szCs w:val="19"/>
          <w:b w:val="1"/>
          <w:bCs w:val="1"/>
          <w:color w:val="auto"/>
        </w:rPr>
        <w:t>Party</w:t>
      </w:r>
      <w:r>
        <w:rPr>
          <w:rFonts w:ascii="Arial" w:cs="Arial" w:eastAsia="Arial" w:hAnsi="Arial"/>
          <w:sz w:val="19"/>
          <w:szCs w:val="19"/>
          <w:color w:val="auto"/>
        </w:rPr>
        <w:t>” and the other shall be the “</w:t>
      </w:r>
      <w:r>
        <w:rPr>
          <w:rFonts w:ascii="Arial" w:cs="Arial" w:eastAsia="Arial" w:hAnsi="Arial"/>
          <w:sz w:val="19"/>
          <w:szCs w:val="19"/>
          <w:b w:val="1"/>
          <w:bCs w:val="1"/>
          <w:color w:val="auto"/>
        </w:rPr>
        <w:t>Non-Defending Party</w:t>
      </w:r>
      <w:r>
        <w:rPr>
          <w:rFonts w:ascii="Arial" w:cs="Arial" w:eastAsia="Arial" w:hAnsi="Arial"/>
          <w:sz w:val="19"/>
          <w:szCs w:val="19"/>
          <w:color w:val="auto"/>
        </w:rPr>
        <w:t>”). The Non-Defending Party and its Affiliates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cooperate, at Defending Party’s expense, in connection with the defense of any such Third Party Enforcement Action. For the avoidance of doubt, in the event that a judgment in a Third Party Enforcement Action is entered against the Defending Party or any of its Affiliates and an appeal is available, as between the Parties, the Defending Party shall have the sole and exclusive right (but not the obligation), in its sole discretion and at its own cost and expense, to file such appeal, and if Law requires the Non-Defending Party’s or any of its Affiliates’ involvement in an appeal, the Non-Defending Party or such Affiliate shall be a nominal party of the appeal and shall provide reasonable cooperation to the Defending Party and its Affiliates, at the Defending Party’s expense.</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Common Interest Agreement</w:t>
      </w:r>
    </w:p>
    <w:p>
      <w:pPr>
        <w:spacing w:after="0" w:line="212" w:lineRule="exact"/>
        <w:rPr>
          <w:sz w:val="20"/>
          <w:szCs w:val="20"/>
          <w:color w:val="auto"/>
        </w:rPr>
      </w:pPr>
    </w:p>
    <w:p>
      <w:pPr>
        <w:ind w:left="880" w:hanging="806"/>
        <w:spacing w:after="0" w:line="273" w:lineRule="auto"/>
        <w:tabs>
          <w:tab w:leader="none" w:pos="28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All non-public information exchanged between the Parties or between a Party’s outside patent counsel and the other Party regarding the preparation, filing, prosecution, maintenance, defense and enforcement of the Arrowhead Patents, Joint Agreement Patents, GSK Licensed Patents or otherwise related to any the Compound or any Product, and all shared information regarding analyses or opinions of Third Party Patents or Know-How, shall be deemed Confidential Information. The Parties agree and acknowledge that they have not waived, and nothing in this Agreement constitutes a waiver of, any legal privilege concerning any such Patents, Know-How or Confidential Information, including privilege under the common interest doctrine and similar or related doctrines. In furtherance of the foregoing, if the Parties agree that a separate agreement memorializing this understanding would be advantageous, the Parties shall negotiate and enter into a common interest agreement reflecting this understanding or any other common interest agreement as the Parties may mutually agree, including with respect to any product liability for a Product.</w:t>
      </w:r>
    </w:p>
    <w:p>
      <w:pPr>
        <w:spacing w:after="0" w:line="15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Maintenance of Freedom to Operate</w:t>
      </w:r>
    </w:p>
    <w:p>
      <w:pPr>
        <w:spacing w:after="0" w:line="212" w:lineRule="exact"/>
        <w:rPr>
          <w:sz w:val="20"/>
          <w:szCs w:val="20"/>
          <w:color w:val="auto"/>
        </w:rPr>
      </w:pPr>
    </w:p>
    <w:p>
      <w:pPr>
        <w:ind w:left="880" w:hanging="806"/>
        <w:spacing w:after="0" w:line="257" w:lineRule="auto"/>
        <w:tabs>
          <w:tab w:leader="none" w:pos="32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Parties shall use Commercially Reasonable Efforts to avoid infringing any Third Party’s Patents in conducing any activities under this Agreement, and, through the Patent Working Group, shall promptly notify the other Party if it becomes aware of any Third Party Patents that pertain to the activities of the Parties under this Agreement.</w:t>
      </w:r>
    </w:p>
    <w:p>
      <w:pPr>
        <w:spacing w:after="0" w:line="16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Confidentiality Obligations</w:t>
      </w:r>
    </w:p>
    <w:p>
      <w:pPr>
        <w:spacing w:after="0" w:line="212" w:lineRule="exact"/>
        <w:rPr>
          <w:sz w:val="20"/>
          <w:szCs w:val="20"/>
          <w:color w:val="auto"/>
        </w:rPr>
      </w:pPr>
    </w:p>
    <w:p>
      <w:pPr>
        <w:ind w:left="880" w:hanging="806"/>
        <w:spacing w:after="0" w:line="252" w:lineRule="auto"/>
        <w:tabs>
          <w:tab w:leader="none" w:pos="20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Except as expressly permitted by this Agreement, each Party agrees that during the Term and for [***] thereafter, such Party shall, and shall ensure that its Affiliates and its and their respective Personnel (“</w:t>
      </w:r>
      <w:r>
        <w:rPr>
          <w:rFonts w:ascii="Arial" w:cs="Arial" w:eastAsia="Arial" w:hAnsi="Arial"/>
          <w:sz w:val="21"/>
          <w:szCs w:val="21"/>
          <w:b w:val="1"/>
          <w:bCs w:val="1"/>
          <w:color w:val="auto"/>
        </w:rPr>
        <w:t>Representatives</w:t>
      </w:r>
      <w:r>
        <w:rPr>
          <w:rFonts w:ascii="Arial" w:cs="Arial" w:eastAsia="Arial" w:hAnsi="Arial"/>
          <w:sz w:val="21"/>
          <w:szCs w:val="21"/>
          <w:color w:val="auto"/>
        </w:rPr>
        <w:t>”), hold in confidence all Confidential Information disclosed to it by the other Party pursuant to this Agreement (or the Existing Confidentiality Agreement, as applicable), unless such information:</w:t>
      </w:r>
    </w:p>
    <w:p>
      <w:pPr>
        <w:spacing w:after="0" w:line="173" w:lineRule="exact"/>
        <w:rPr>
          <w:rFonts w:ascii="Arial" w:cs="Arial" w:eastAsia="Arial" w:hAnsi="Arial"/>
          <w:sz w:val="21"/>
          <w:szCs w:val="21"/>
          <w:color w:val="auto"/>
        </w:rPr>
      </w:pPr>
    </w:p>
    <w:p>
      <w:pPr>
        <w:ind w:left="1780" w:hanging="908"/>
        <w:spacing w:after="0"/>
        <w:tabs>
          <w:tab w:leader="none" w:pos="1780" w:val="left"/>
        </w:tabs>
        <w:numPr>
          <w:ilvl w:val="1"/>
          <w:numId w:val="131"/>
        </w:numPr>
        <w:rPr>
          <w:rFonts w:ascii="Arial" w:cs="Arial" w:eastAsia="Arial" w:hAnsi="Arial"/>
          <w:sz w:val="19"/>
          <w:szCs w:val="19"/>
          <w:b w:val="1"/>
          <w:bCs w:val="1"/>
          <w:color w:val="auto"/>
        </w:rPr>
      </w:pPr>
      <w:r>
        <w:rPr>
          <w:rFonts w:ascii="Arial" w:cs="Arial" w:eastAsia="Arial" w:hAnsi="Arial"/>
          <w:sz w:val="19"/>
          <w:szCs w:val="19"/>
          <w:color w:val="auto"/>
        </w:rPr>
        <w:t>is or becomes generally available to the public other than as a result of improper disclosure by the Receiving</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right="260" w:firstLine="8"/>
        <w:spacing w:after="0" w:line="266" w:lineRule="auto"/>
        <w:tabs>
          <w:tab w:leader="none" w:pos="435"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1780" w:hanging="908"/>
        <w:spacing w:after="0"/>
        <w:tabs>
          <w:tab w:leader="none" w:pos="1780" w:val="left"/>
        </w:tabs>
        <w:numPr>
          <w:ilvl w:val="1"/>
          <w:numId w:val="132"/>
        </w:numPr>
        <w:rPr>
          <w:rFonts w:ascii="Arial" w:cs="Arial" w:eastAsia="Arial" w:hAnsi="Arial"/>
          <w:sz w:val="19"/>
          <w:szCs w:val="19"/>
          <w:b w:val="1"/>
          <w:bCs w:val="1"/>
          <w:color w:val="auto"/>
        </w:rPr>
      </w:pPr>
      <w:r>
        <w:rPr>
          <w:rFonts w:ascii="Arial" w:cs="Arial" w:eastAsia="Arial" w:hAnsi="Arial"/>
          <w:sz w:val="19"/>
          <w:szCs w:val="19"/>
          <w:color w:val="auto"/>
        </w:rPr>
        <w:t>is already known by or in the possession of the Receiving Party at the time of disclosure by the Disclosing</w:t>
      </w:r>
    </w:p>
    <w:p>
      <w:pPr>
        <w:spacing w:after="0" w:line="4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Party;</w:t>
      </w:r>
    </w:p>
    <w:p>
      <w:pPr>
        <w:spacing w:after="0" w:line="188" w:lineRule="exact"/>
        <w:rPr>
          <w:rFonts w:ascii="Arial" w:cs="Arial" w:eastAsia="Arial" w:hAnsi="Arial"/>
          <w:sz w:val="19"/>
          <w:szCs w:val="19"/>
          <w:b w:val="1"/>
          <w:bCs w:val="1"/>
          <w:color w:val="auto"/>
        </w:rPr>
      </w:pPr>
    </w:p>
    <w:p>
      <w:pPr>
        <w:ind w:left="880" w:right="20" w:hanging="8"/>
        <w:spacing w:after="0" w:line="250" w:lineRule="auto"/>
        <w:tabs>
          <w:tab w:leader="none" w:pos="1768" w:val="left"/>
        </w:tabs>
        <w:numPr>
          <w:ilvl w:val="1"/>
          <w:numId w:val="132"/>
        </w:numPr>
        <w:rPr>
          <w:rFonts w:ascii="Arial" w:cs="Arial" w:eastAsia="Arial" w:hAnsi="Arial"/>
          <w:sz w:val="22"/>
          <w:szCs w:val="22"/>
          <w:b w:val="1"/>
          <w:bCs w:val="1"/>
          <w:color w:val="auto"/>
        </w:rPr>
      </w:pPr>
      <w:r>
        <w:rPr>
          <w:rFonts w:ascii="Arial" w:cs="Arial" w:eastAsia="Arial" w:hAnsi="Arial"/>
          <w:sz w:val="22"/>
          <w:szCs w:val="22"/>
          <w:color w:val="auto"/>
        </w:rPr>
        <w:t>is independently developed by the Receiving Party without use of or reference to the Disclosing Party’s Confidential Information, as documented by the Receiving Party’s business records; or</w:t>
      </w:r>
    </w:p>
    <w:p>
      <w:pPr>
        <w:spacing w:after="0" w:line="174" w:lineRule="exact"/>
        <w:rPr>
          <w:rFonts w:ascii="Arial" w:cs="Arial" w:eastAsia="Arial" w:hAnsi="Arial"/>
          <w:sz w:val="22"/>
          <w:szCs w:val="22"/>
          <w:b w:val="1"/>
          <w:bCs w:val="1"/>
          <w:color w:val="auto"/>
        </w:rPr>
      </w:pPr>
    </w:p>
    <w:p>
      <w:pPr>
        <w:ind w:left="880" w:hanging="8"/>
        <w:spacing w:after="0" w:line="250" w:lineRule="auto"/>
        <w:tabs>
          <w:tab w:leader="none" w:pos="1792" w:val="left"/>
        </w:tabs>
        <w:numPr>
          <w:ilvl w:val="1"/>
          <w:numId w:val="132"/>
        </w:numPr>
        <w:rPr>
          <w:rFonts w:ascii="Arial" w:cs="Arial" w:eastAsia="Arial" w:hAnsi="Arial"/>
          <w:sz w:val="22"/>
          <w:szCs w:val="22"/>
          <w:b w:val="1"/>
          <w:bCs w:val="1"/>
          <w:color w:val="auto"/>
        </w:rPr>
      </w:pPr>
      <w:r>
        <w:rPr>
          <w:rFonts w:ascii="Arial" w:cs="Arial" w:eastAsia="Arial" w:hAnsi="Arial"/>
          <w:sz w:val="22"/>
          <w:szCs w:val="22"/>
          <w:color w:val="auto"/>
        </w:rPr>
        <w:t>is obtained by the Receiving Party from a Third Party that the Receiving Party believes, acting reasonably and in good faith, after due inquiry, has not breached any obligations of confidentiality.</w:t>
      </w:r>
    </w:p>
    <w:p>
      <w:pPr>
        <w:spacing w:after="0" w:line="175" w:lineRule="exact"/>
        <w:rPr>
          <w:sz w:val="20"/>
          <w:szCs w:val="20"/>
          <w:color w:val="auto"/>
        </w:rPr>
      </w:pPr>
    </w:p>
    <w:p>
      <w:pPr>
        <w:jc w:val="both"/>
        <w:ind w:left="880"/>
        <w:spacing w:after="0" w:line="273" w:lineRule="auto"/>
        <w:rPr>
          <w:sz w:val="20"/>
          <w:szCs w:val="20"/>
          <w:color w:val="auto"/>
        </w:rPr>
      </w:pPr>
      <w:r>
        <w:rPr>
          <w:rFonts w:ascii="Arial" w:cs="Arial" w:eastAsia="Arial" w:hAnsi="Arial"/>
          <w:sz w:val="19"/>
          <w:szCs w:val="19"/>
          <w:color w:val="auto"/>
        </w:rPr>
        <w:t>The Receiving Party shall not disclose any of the Confidential Information, except to its Representatives who need to know the Confidential Information for the purpose of performing the Receiving Party’s obligations, or exercising its rights, under this Agreement and who are bound by obligations of non-use and non-disclosure substantially similar to those set forth herein. The Receiving Party shall be responsible for any disclosure or use of the Confidential Information in breach of its obligations hereunder by such Representatives. The Receiving Party shall protect Confidential Information using not less than the same care with which it treats its own confidential information, but at all times shall use at least reasonable care. Each Party shall: (i) implement and maintain appropriate security measures to prevent unauthorized access, disclosure or use of the other Party’s Confidential Information; (ii) promptly notify the other Party of any unauthorized access or disclosure of such other Party’s Confidential Information; and (iii) cooperate with such other Party in the investigation and remediation of any such unauthorized access or disclosure.</w:t>
      </w:r>
    </w:p>
    <w:p>
      <w:pPr>
        <w:spacing w:after="0" w:line="15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Use Restrictions</w:t>
      </w:r>
    </w:p>
    <w:p>
      <w:pPr>
        <w:spacing w:after="0" w:line="212" w:lineRule="exact"/>
        <w:rPr>
          <w:sz w:val="20"/>
          <w:szCs w:val="20"/>
          <w:color w:val="auto"/>
        </w:rPr>
      </w:pPr>
    </w:p>
    <w:p>
      <w:pPr>
        <w:ind w:left="880" w:hanging="806"/>
        <w:spacing w:after="0"/>
        <w:tabs>
          <w:tab w:leader="none" w:pos="27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7.3</w:t>
      </w:r>
      <w:r>
        <w:rPr>
          <w:rFonts w:ascii="Arial" w:cs="Arial" w:eastAsia="Arial" w:hAnsi="Arial"/>
          <w:sz w:val="22"/>
          <w:szCs w:val="22"/>
          <w:color w:val="auto"/>
        </w:rPr>
        <w:t>, a Receiving Party may, in connection with performing its obligations or exercising its rights and performing its obligations under this Agreement, disclose the Confidential Information of the Disclosing Party, including for purposes of:</w:t>
      </w:r>
    </w:p>
    <w:p>
      <w:pPr>
        <w:spacing w:after="0" w:line="186" w:lineRule="exact"/>
        <w:rPr>
          <w:rFonts w:ascii="Arial" w:cs="Arial" w:eastAsia="Arial" w:hAnsi="Arial"/>
          <w:sz w:val="22"/>
          <w:szCs w:val="22"/>
          <w:color w:val="auto"/>
        </w:rPr>
      </w:pPr>
    </w:p>
    <w:p>
      <w:pPr>
        <w:ind w:left="1780" w:hanging="908"/>
        <w:spacing w:after="0"/>
        <w:tabs>
          <w:tab w:leader="none" w:pos="1780"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 xml:space="preserve">filing or prosecuting patent applications, pursuant to the terms of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780" w:hanging="908"/>
        <w:spacing w:after="0"/>
        <w:tabs>
          <w:tab w:leader="none" w:pos="1780"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prosecuting or defending litigation;</w:t>
      </w:r>
    </w:p>
    <w:p>
      <w:pPr>
        <w:spacing w:after="0" w:line="206" w:lineRule="exact"/>
        <w:rPr>
          <w:rFonts w:ascii="Arial" w:cs="Arial" w:eastAsia="Arial" w:hAnsi="Arial"/>
          <w:sz w:val="22"/>
          <w:szCs w:val="22"/>
          <w:b w:val="1"/>
          <w:bCs w:val="1"/>
          <w:color w:val="auto"/>
        </w:rPr>
      </w:pPr>
    </w:p>
    <w:p>
      <w:pPr>
        <w:ind w:left="1760" w:hanging="888"/>
        <w:spacing w:after="0"/>
        <w:tabs>
          <w:tab w:leader="none" w:pos="1760"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conducting pre-clinical studies or Clinical Trials of any Product for the Receiving Party’s Territory;</w:t>
      </w:r>
    </w:p>
    <w:p>
      <w:pPr>
        <w:spacing w:after="0" w:line="206" w:lineRule="exact"/>
        <w:rPr>
          <w:rFonts w:ascii="Arial" w:cs="Arial" w:eastAsia="Arial" w:hAnsi="Arial"/>
          <w:sz w:val="22"/>
          <w:szCs w:val="22"/>
          <w:b w:val="1"/>
          <w:bCs w:val="1"/>
          <w:color w:val="auto"/>
        </w:rPr>
      </w:pPr>
    </w:p>
    <w:p>
      <w:pPr>
        <w:ind w:left="1780" w:hanging="908"/>
        <w:spacing w:after="0"/>
        <w:tabs>
          <w:tab w:leader="none" w:pos="1780"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seeking or maintaining Regulatory Approval of any Product in the Receiving Party’s Territory;</w:t>
      </w:r>
    </w:p>
    <w:p>
      <w:pPr>
        <w:spacing w:after="0" w:line="206" w:lineRule="exact"/>
        <w:rPr>
          <w:rFonts w:ascii="Arial" w:cs="Arial" w:eastAsia="Arial" w:hAnsi="Arial"/>
          <w:sz w:val="22"/>
          <w:szCs w:val="22"/>
          <w:b w:val="1"/>
          <w:bCs w:val="1"/>
          <w:color w:val="auto"/>
        </w:rPr>
      </w:pPr>
    </w:p>
    <w:p>
      <w:pPr>
        <w:ind w:left="880" w:right="20" w:hanging="8"/>
        <w:spacing w:after="0" w:line="250" w:lineRule="auto"/>
        <w:tabs>
          <w:tab w:leader="none" w:pos="1768"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complying with Law, including securities Law and the rules of any securities exchange or market on which a Party’s securities are or are planned to be listed or traded; or</w:t>
      </w:r>
    </w:p>
    <w:p>
      <w:pPr>
        <w:spacing w:after="0" w:line="174" w:lineRule="exact"/>
        <w:rPr>
          <w:rFonts w:ascii="Arial" w:cs="Arial" w:eastAsia="Arial" w:hAnsi="Arial"/>
          <w:sz w:val="22"/>
          <w:szCs w:val="22"/>
          <w:b w:val="1"/>
          <w:bCs w:val="1"/>
          <w:color w:val="auto"/>
        </w:rPr>
      </w:pPr>
    </w:p>
    <w:p>
      <w:pPr>
        <w:ind w:left="880" w:hanging="8"/>
        <w:spacing w:after="0" w:line="250" w:lineRule="auto"/>
        <w:tabs>
          <w:tab w:leader="none" w:pos="1744"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to such Receiving Party’s actual or potential partners, acquirers, financing sources, licensors, (sub)licensees and their respective Personnel, each of whom prior to disclosure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right="260" w:firstLine="8"/>
        <w:spacing w:after="0" w:line="266" w:lineRule="auto"/>
        <w:tabs>
          <w:tab w:leader="none" w:pos="435"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right="20"/>
        <w:spacing w:after="0" w:line="250" w:lineRule="auto"/>
        <w:rPr>
          <w:sz w:val="20"/>
          <w:szCs w:val="20"/>
          <w:color w:val="auto"/>
        </w:rPr>
      </w:pPr>
      <w:r>
        <w:rPr>
          <w:rFonts w:ascii="Arial" w:cs="Arial" w:eastAsia="Arial" w:hAnsi="Arial"/>
          <w:sz w:val="22"/>
          <w:szCs w:val="22"/>
          <w:color w:val="auto"/>
        </w:rPr>
        <w:t xml:space="preserve">must be bound by similar obligations of confidentiality and non-use at least equivalent in scope to those set forth in this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75" w:lineRule="exact"/>
        <w:rPr>
          <w:sz w:val="20"/>
          <w:szCs w:val="20"/>
          <w:color w:val="auto"/>
        </w:rPr>
      </w:pPr>
    </w:p>
    <w:p>
      <w:pPr>
        <w:jc w:val="both"/>
        <w:ind w:left="880"/>
        <w:spacing w:after="0" w:line="272" w:lineRule="auto"/>
        <w:rPr>
          <w:sz w:val="20"/>
          <w:szCs w:val="20"/>
          <w:color w:val="auto"/>
        </w:rPr>
      </w:pPr>
      <w:r>
        <w:rPr>
          <w:rFonts w:ascii="Arial" w:cs="Arial" w:eastAsia="Arial" w:hAnsi="Arial"/>
          <w:sz w:val="19"/>
          <w:szCs w:val="19"/>
          <w:color w:val="auto"/>
        </w:rPr>
        <w:t>In making any disclosures set forth in clauses (a) through (e) above, the Receiving Party shall, where reasonably practicable, give such advance notice to the Disclosing Party of such disclosure requirement as is reasonable under the circumstances and will use its reasonable efforts to cooperate with the Disclosing Party in order to secure confidential treatment of such Confidential Information required to be disclosed. In addition, in connection with any permitted filing by either Party of this Agreement with any Governmental Body the Receiving Party shall (i) endeavor to obtain confidential treatment of economic, trade secret information and such other information as may be requested by the Disclosing Party, (ii) provide the Disclosing Party with the proposed confidential treatment request within a reasonable time for the Disclosing Party to provide comments, and the Receiving Party shall consider and incorporate such comments in good faith in connection with its submission of its confidential treatment request, and (iii) submit the proposed disclosure in writing to the Disclosing Party as far in advance as reasonably practicable (and in no event less than three (3) Business Days prior to the anticipated date of disclosure) so as to provide a reasonable opportunity to comment thereon and the Receiving Party shall incorporate such comments in good faith.</w:t>
      </w:r>
    </w:p>
    <w:p>
      <w:pPr>
        <w:spacing w:after="0" w:line="15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Required Disclosure</w:t>
      </w:r>
    </w:p>
    <w:p>
      <w:pPr>
        <w:spacing w:after="0" w:line="212" w:lineRule="exact"/>
        <w:rPr>
          <w:sz w:val="20"/>
          <w:szCs w:val="20"/>
          <w:color w:val="auto"/>
        </w:rPr>
      </w:pPr>
    </w:p>
    <w:p>
      <w:pPr>
        <w:ind w:left="880" w:hanging="806"/>
        <w:spacing w:after="0" w:line="271" w:lineRule="auto"/>
        <w:tabs>
          <w:tab w:leader="none" w:pos="23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Notwithstanding Section 7.1 and Section 7.4, (a) the Receiving Party may disclose the Confidential Information of the Disclosing Party to the extent required by Law or court order; provided, however, that the Receiving Party shall first provide the Disclosing Party prior notice of such disclosure and give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Governmental Body or, if disclosed, be used only for the purposes for which the order was issued or such disclosure was required by Law; provided, further, that the Confidential Information disclosed in response to such order or as required by Law shall be limited to the information that is legally required to be disclosed in response to such order or by such Law; and (b) the Receiving Party may disclose Confidential Information of the Disclosing Party to the extent any such disclosure is, in the opinion of the Receiving Party’s counsel, required by Law or the rules of a stock exchange on which the securities of the Receiving Party are listed (or to which an application for listing has been submitted); provided that, in the event the Receiving Party is, in the opinion of its counsel, required by Law or the rules of a stock exchange on which its securities are listed (or to which an application for listing has been submitted) to make such a public disclosure, such Receiving Party shall submit the proposed disclosure to the Disclosing Party as far in advance as reasonably practicable so as to provide a reasonable opportunity to comment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-2207260</wp:posOffset>
            </wp:positionV>
            <wp:extent cx="16122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Publications</w:t>
      </w:r>
    </w:p>
    <w:p>
      <w:pPr>
        <w:spacing w:after="0" w:line="212" w:lineRule="exact"/>
        <w:rPr>
          <w:sz w:val="20"/>
          <w:szCs w:val="20"/>
          <w:color w:val="auto"/>
        </w:rPr>
      </w:pPr>
    </w:p>
    <w:p>
      <w:pPr>
        <w:ind w:left="880" w:hanging="806"/>
        <w:spacing w:after="0" w:line="238" w:lineRule="auto"/>
        <w:tabs>
          <w:tab w:leader="none" w:pos="26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Arrowhead shall have the right to make publications regarding any Development or Commercialization of the Compound or Products conducted by or on behalf of Arrowhead (or its Affiliates, licensees or sublicensees, as applicable) in the Arrowhead Territory, subject to the prior approval of GSK; provided that (a) Arrowhead shall submit such publication to GSK at least [***] in advance of the intended submission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260" w:firstLine="8"/>
        <w:spacing w:after="0" w:line="266" w:lineRule="auto"/>
        <w:tabs>
          <w:tab w:leader="none" w:pos="435"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43" w:lineRule="auto"/>
        <w:rPr>
          <w:sz w:val="20"/>
          <w:szCs w:val="20"/>
          <w:color w:val="auto"/>
        </w:rPr>
      </w:pPr>
      <w:r>
        <w:rPr>
          <w:rFonts w:ascii="Arial" w:cs="Arial" w:eastAsia="Arial" w:hAnsi="Arial"/>
          <w:sz w:val="21"/>
          <w:szCs w:val="21"/>
          <w:color w:val="auto"/>
        </w:rPr>
        <w:t xml:space="preserve">for publication or presentation of such publication for GSK’s review; (b) to the extent GSK notifies Arrowhead of any specific, reasonable objections to such publication, based on concern regarding the specific disclosure of any Know-How or other Confidential Information of GSK (or any of its Affiliates or Sublicensees), as applicable, Arrowhead will delete any such Know-How or other Confidential Information and, acting reasonably and in good faith, consider any other such objections, including whether it is necessary or advisable to delete any other information from such proposed publication; and (c) upon GSK’s request, Arrowhead shall delay any such publication or presentation as needed to preserve the patentability of any Know-How or other Confidential Information of GSK (or any of its Affiliates or Sublicensees); provided that GSK may elect to extend such publication review period for up to an additional [***] if GSK reasonably requests such extension, including for the preparation and filing of any such patent applications. Once any such publication is accepted for publication, Arrowhead shall provide GSK with a copy of the final version of such publication. Subject to </w:t>
      </w:r>
      <w:r>
        <w:rPr>
          <w:rFonts w:ascii="Arial" w:cs="Arial" w:eastAsia="Arial" w:hAnsi="Arial"/>
          <w:sz w:val="21"/>
          <w:szCs w:val="21"/>
          <w:u w:val="single" w:color="auto"/>
          <w:color w:val="auto"/>
        </w:rPr>
        <w:t>Section 13.7</w:t>
      </w:r>
      <w:r>
        <w:rPr>
          <w:rFonts w:ascii="Arial" w:cs="Arial" w:eastAsia="Arial" w:hAnsi="Arial"/>
          <w:sz w:val="21"/>
          <w:szCs w:val="21"/>
          <w:color w:val="auto"/>
        </w:rPr>
        <w:t xml:space="preserve">, notwithstanding anything to the contrary in this Agreement, for the avoidance of doubt, GSK shall have the right to make any publications regarding the Development or Commercialization of the Compound or any Product in the GSK Territory as it chooses, in its sole discretion, without the approval of Arrowhead; provided that the rights of GSK and the obligations of Arrowhead, in each case, in clauses (a), (b) and (c)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respectively, to Arrowhead for such rights and to GSK for such obligations.</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8"/>
          <w:szCs w:val="18"/>
          <w:b w:val="1"/>
          <w:bCs w:val="1"/>
          <w:color w:val="auto"/>
        </w:rPr>
        <w:t>Public Disclosures</w:t>
      </w:r>
    </w:p>
    <w:p>
      <w:pPr>
        <w:spacing w:after="0" w:line="212" w:lineRule="exact"/>
        <w:rPr>
          <w:sz w:val="20"/>
          <w:szCs w:val="20"/>
          <w:color w:val="auto"/>
        </w:rPr>
      </w:pPr>
    </w:p>
    <w:p>
      <w:pPr>
        <w:ind w:left="880" w:hanging="806"/>
        <w:spacing w:after="0" w:line="271" w:lineRule="auto"/>
        <w:tabs>
          <w:tab w:leader="none" w:pos="23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Except as required by Law or as permitted pursuant to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neither Party shall issue any press release or public statement disclosing information relating to (a) this Agreement or the transactions contemplated hereby or the terms hereof; (b) the Development, Manufacture or Commercialization of the Compound or any Product in such Party’s respective Territory; or (c) any Confidential Information of the other Party, in each case ((a), (b) or (c)), without the prior written consent of such other Party; provided, however, notwithstanding the foregoing, on the Execution Date (or at such later date as mutually agreed by the Parties), Arrowhead will issue a press release substantially in the form attached as </w:t>
      </w:r>
      <w:r>
        <w:rPr>
          <w:rFonts w:ascii="Arial" w:cs="Arial" w:eastAsia="Arial" w:hAnsi="Arial"/>
          <w:sz w:val="19"/>
          <w:szCs w:val="19"/>
          <w:b w:val="1"/>
          <w:bCs w:val="1"/>
          <w:color w:val="auto"/>
        </w:rPr>
        <w:t>Schedule 7.5</w:t>
      </w:r>
      <w:r>
        <w:rPr>
          <w:rFonts w:ascii="Arial" w:cs="Arial" w:eastAsia="Arial" w:hAnsi="Arial"/>
          <w:sz w:val="19"/>
          <w:szCs w:val="19"/>
          <w:color w:val="auto"/>
        </w:rPr>
        <w:t xml:space="preserve">; provided, further, that notwithstanding the foregoing, in the event that GSK obtains exclusive rights under the Arrowhead Technology to Develop, Manufacture and Commercialize the Compound and Products in Greater China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during the remainder of the Term, GSK shall have the right to issue any press release or public statement disclosing information with respect to the Development, Manufacture or Commercialization of the Compound or any Product without requiring the prior written consent of Arrowhead. For the avoidance of doubt, neither Party shall have the right to issue any press release or public statement disclosing information relating to the Development, Manufacture or Commercialization of the Compound or any Product in the other Party’s respective Territory.</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Return or Destruction of Confidential Information</w:t>
      </w:r>
    </w:p>
    <w:p>
      <w:pPr>
        <w:spacing w:after="0" w:line="212" w:lineRule="exact"/>
        <w:rPr>
          <w:sz w:val="20"/>
          <w:szCs w:val="20"/>
          <w:color w:val="auto"/>
        </w:rPr>
      </w:pPr>
    </w:p>
    <w:p>
      <w:pPr>
        <w:jc w:val="both"/>
        <w:ind w:left="880" w:hanging="8"/>
        <w:spacing w:after="0" w:line="236" w:lineRule="auto"/>
        <w:tabs>
          <w:tab w:leader="none" w:pos="105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Upon expiration or termination of this Agreement, each Party shall return, or at the other Party’s option, destroy all relevant records and materials in its possession or control containing any Confidential Information of such other Party in a manner reasonably agreed upon by the Parties; provided that the Receiving Party may retain a copy of computer records or files containing such Confidential Information that have been created pursuant to automatic archiving or back-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right="260" w:firstLine="8"/>
        <w:spacing w:after="0" w:line="266" w:lineRule="auto"/>
        <w:tabs>
          <w:tab w:leader="none" w:pos="435"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color w:val="auto"/>
        </w:rPr>
        <w:t xml:space="preserve">up procedures that cannot reasonably be deleted or to the extent required for the exercise of any of its rights that survive such expiration or termination pursuant to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10.7</w:t>
      </w:r>
      <w:r>
        <w:rPr>
          <w:rFonts w:ascii="Arial" w:cs="Arial" w:eastAsia="Arial" w:hAnsi="Arial"/>
          <w:sz w:val="22"/>
          <w:szCs w:val="22"/>
          <w:color w:val="auto"/>
        </w:rPr>
        <w:t>; provided, however, that such copy will be kept confidential by the Receiving Party in accordance with the terms and provisions of this Agreement for as long as the Receiving Party is in possession of such copy.</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19"/>
          <w:szCs w:val="19"/>
          <w:b w:val="1"/>
          <w:bCs w:val="1"/>
          <w:color w:val="auto"/>
        </w:rPr>
        <w:t>Equitable Relief</w:t>
      </w:r>
    </w:p>
    <w:p>
      <w:pPr>
        <w:spacing w:after="0" w:line="212" w:lineRule="exact"/>
        <w:rPr>
          <w:sz w:val="20"/>
          <w:szCs w:val="20"/>
          <w:color w:val="auto"/>
        </w:rPr>
      </w:pPr>
    </w:p>
    <w:p>
      <w:pPr>
        <w:jc w:val="both"/>
        <w:ind w:left="880" w:hanging="8"/>
        <w:spacing w:after="0" w:line="235" w:lineRule="auto"/>
        <w:tabs>
          <w:tab w:leader="none" w:pos="98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Due to the unique nature of the Confidential Information, the Parties agree that any breach or threatened breach by a Party of this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with respect to the other Party’s Confidential Information will cause not only financial harm to the other Party, but also irreparable harm for which money damages will not be an adequate remedy. Therefore, the other Party shall be entitled, in addition to any other legal or equitable remedies, to seek an injunction or similar equitable relief against any such breach or threatened breach by such Party without the necessity of proving actual damages or posting any bond.</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REPRESENTATIONS AND WARRANTIES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Mutual Representations and Warranties</w:t>
      </w:r>
    </w:p>
    <w:p>
      <w:pPr>
        <w:spacing w:after="0" w:line="212" w:lineRule="exact"/>
        <w:rPr>
          <w:sz w:val="20"/>
          <w:szCs w:val="20"/>
          <w:color w:val="auto"/>
        </w:rPr>
      </w:pPr>
    </w:p>
    <w:p>
      <w:pPr>
        <w:ind w:left="880" w:right="20" w:hanging="806"/>
        <w:spacing w:after="0" w:line="250" w:lineRule="auto"/>
        <w:tabs>
          <w:tab w:leader="none" w:pos="20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Each Party represents and warrants to the other Party, as of the Execution Date, and as of the Effective Date (as though then made), that:</w:t>
      </w:r>
    </w:p>
    <w:p>
      <w:pPr>
        <w:spacing w:after="0" w:line="174" w:lineRule="exact"/>
        <w:rPr>
          <w:rFonts w:ascii="Arial" w:cs="Arial" w:eastAsia="Arial" w:hAnsi="Arial"/>
          <w:sz w:val="22"/>
          <w:szCs w:val="22"/>
          <w:color w:val="auto"/>
        </w:rPr>
      </w:pPr>
    </w:p>
    <w:p>
      <w:pPr>
        <w:ind w:left="880" w:hanging="8"/>
        <w:spacing w:after="0" w:line="250" w:lineRule="auto"/>
        <w:tabs>
          <w:tab w:leader="none" w:pos="1780"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such Party is duly organized, validly existing and in good standing under the Laws of the jurisdiction of its incorporation or organization;</w:t>
      </w:r>
    </w:p>
    <w:p>
      <w:pPr>
        <w:spacing w:after="0" w:line="174" w:lineRule="exact"/>
        <w:rPr>
          <w:rFonts w:ascii="Arial" w:cs="Arial" w:eastAsia="Arial" w:hAnsi="Arial"/>
          <w:sz w:val="22"/>
          <w:szCs w:val="22"/>
          <w:b w:val="1"/>
          <w:bCs w:val="1"/>
          <w:color w:val="auto"/>
        </w:rPr>
      </w:pPr>
    </w:p>
    <w:p>
      <w:pPr>
        <w:ind w:left="880" w:hanging="8"/>
        <w:spacing w:after="0" w:line="250" w:lineRule="auto"/>
        <w:tabs>
          <w:tab w:leader="none" w:pos="1792"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such Party has taken all action necessary to authorize the execution and delivery of this Agreement and the performance of its obligations under this Agreement;</w:t>
      </w:r>
    </w:p>
    <w:p>
      <w:pPr>
        <w:spacing w:after="0" w:line="174" w:lineRule="exact"/>
        <w:rPr>
          <w:rFonts w:ascii="Arial" w:cs="Arial" w:eastAsia="Arial" w:hAnsi="Arial"/>
          <w:sz w:val="22"/>
          <w:szCs w:val="22"/>
          <w:b w:val="1"/>
          <w:bCs w:val="1"/>
          <w:color w:val="auto"/>
        </w:rPr>
      </w:pPr>
    </w:p>
    <w:p>
      <w:pPr>
        <w:jc w:val="both"/>
        <w:ind w:left="880" w:hanging="8"/>
        <w:spacing w:after="0" w:line="238" w:lineRule="auto"/>
        <w:tabs>
          <w:tab w:leader="none" w:pos="1768"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w:t>
      </w:r>
    </w:p>
    <w:p>
      <w:pPr>
        <w:spacing w:after="0" w:line="184" w:lineRule="exact"/>
        <w:rPr>
          <w:rFonts w:ascii="Arial" w:cs="Arial" w:eastAsia="Arial" w:hAnsi="Arial"/>
          <w:sz w:val="22"/>
          <w:szCs w:val="22"/>
          <w:b w:val="1"/>
          <w:bCs w:val="1"/>
          <w:color w:val="auto"/>
        </w:rPr>
      </w:pPr>
    </w:p>
    <w:p>
      <w:pPr>
        <w:jc w:val="both"/>
        <w:ind w:left="880" w:hanging="8"/>
        <w:spacing w:after="0" w:line="287" w:lineRule="auto"/>
        <w:tabs>
          <w:tab w:leader="none" w:pos="1792"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Law of any Governmental Body having authority over such Party or such Party’s charter documents, bylaws or other organizational documents;</w:t>
      </w:r>
    </w:p>
    <w:p>
      <w:pPr>
        <w:spacing w:after="0" w:line="142" w:lineRule="exact"/>
        <w:rPr>
          <w:rFonts w:ascii="Arial" w:cs="Arial" w:eastAsia="Arial" w:hAnsi="Arial"/>
          <w:sz w:val="19"/>
          <w:szCs w:val="19"/>
          <w:b w:val="1"/>
          <w:bCs w:val="1"/>
          <w:color w:val="auto"/>
        </w:rPr>
      </w:pPr>
    </w:p>
    <w:p>
      <w:pPr>
        <w:ind w:left="880" w:right="20" w:hanging="8"/>
        <w:spacing w:after="0" w:line="250" w:lineRule="auto"/>
        <w:tabs>
          <w:tab w:leader="none" w:pos="1768"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such Party is not under any obligation, contractual or otherwise, to any Person that would adversely affect the diligent and complete fulfillment of its obligations hereunder;</w:t>
      </w:r>
    </w:p>
    <w:p>
      <w:pPr>
        <w:spacing w:after="0" w:line="174" w:lineRule="exact"/>
        <w:rPr>
          <w:rFonts w:ascii="Arial" w:cs="Arial" w:eastAsia="Arial" w:hAnsi="Arial"/>
          <w:sz w:val="22"/>
          <w:szCs w:val="22"/>
          <w:b w:val="1"/>
          <w:bCs w:val="1"/>
          <w:color w:val="auto"/>
        </w:rPr>
      </w:pPr>
    </w:p>
    <w:p>
      <w:pPr>
        <w:jc w:val="both"/>
        <w:ind w:left="880" w:hanging="8"/>
        <w:spacing w:after="0"/>
        <w:tabs>
          <w:tab w:leader="none" w:pos="1744" w:val="left"/>
        </w:tabs>
        <w:numPr>
          <w:ilvl w:val="1"/>
          <w:numId w:val="142"/>
        </w:numPr>
        <w:rPr>
          <w:rFonts w:ascii="Arial" w:cs="Arial" w:eastAsia="Arial" w:hAnsi="Arial"/>
          <w:sz w:val="22"/>
          <w:szCs w:val="22"/>
          <w:b w:val="1"/>
          <w:bCs w:val="1"/>
          <w:color w:val="auto"/>
        </w:rPr>
      </w:pPr>
      <w:r>
        <w:rPr>
          <w:rFonts w:ascii="Arial" w:cs="Arial" w:eastAsia="Arial" w:hAnsi="Arial"/>
          <w:sz w:val="22"/>
          <w:szCs w:val="22"/>
          <w:color w:val="auto"/>
        </w:rPr>
        <w:t>such Party has all right, power and authority to enter into this Agreement and to perform its obligations under this Agreement, and it has the right to grant to the other the licenses and sublicenses granted pursuant to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right="260" w:firstLine="8"/>
        <w:spacing w:after="0" w:line="266" w:lineRule="auto"/>
        <w:tabs>
          <w:tab w:leader="none" w:pos="435"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jc w:val="both"/>
        <w:ind w:left="880" w:hanging="8"/>
        <w:spacing w:after="0"/>
        <w:tabs>
          <w:tab w:leader="none" w:pos="1780" w:val="left"/>
        </w:tabs>
        <w:numPr>
          <w:ilvl w:val="1"/>
          <w:numId w:val="143"/>
        </w:numPr>
        <w:rPr>
          <w:rFonts w:ascii="Arial" w:cs="Arial" w:eastAsia="Arial" w:hAnsi="Arial"/>
          <w:sz w:val="22"/>
          <w:szCs w:val="22"/>
          <w:b w:val="1"/>
          <w:bCs w:val="1"/>
          <w:color w:val="auto"/>
        </w:rPr>
      </w:pPr>
      <w:r>
        <w:rPr>
          <w:rFonts w:ascii="Arial" w:cs="Arial" w:eastAsia="Arial" w:hAnsi="Arial"/>
          <w:sz w:val="22"/>
          <w:szCs w:val="22"/>
          <w:color w:val="auto"/>
        </w:rPr>
        <w:t>there is no pending proceeding that has been commenced against such Party that challenges, or would reasonably be expected to have the effect of preventing, delaying, making illegal, or otherwise interfering with, any of the transactions contemplated hereby; and</w:t>
      </w:r>
    </w:p>
    <w:p>
      <w:pPr>
        <w:spacing w:after="0" w:line="186" w:lineRule="exact"/>
        <w:rPr>
          <w:rFonts w:ascii="Arial" w:cs="Arial" w:eastAsia="Arial" w:hAnsi="Arial"/>
          <w:sz w:val="22"/>
          <w:szCs w:val="22"/>
          <w:b w:val="1"/>
          <w:bCs w:val="1"/>
          <w:color w:val="auto"/>
        </w:rPr>
      </w:pPr>
    </w:p>
    <w:p>
      <w:pPr>
        <w:jc w:val="both"/>
        <w:ind w:left="880" w:hanging="8"/>
        <w:spacing w:after="0"/>
        <w:tabs>
          <w:tab w:leader="none" w:pos="1792" w:val="left"/>
        </w:tabs>
        <w:numPr>
          <w:ilvl w:val="1"/>
          <w:numId w:val="143"/>
        </w:numPr>
        <w:rPr>
          <w:rFonts w:ascii="Arial" w:cs="Arial" w:eastAsia="Arial" w:hAnsi="Arial"/>
          <w:sz w:val="22"/>
          <w:szCs w:val="22"/>
          <w:b w:val="1"/>
          <w:bCs w:val="1"/>
          <w:color w:val="auto"/>
        </w:rPr>
      </w:pPr>
      <w:r>
        <w:rPr>
          <w:rFonts w:ascii="Arial" w:cs="Arial" w:eastAsia="Arial" w:hAnsi="Arial"/>
          <w:sz w:val="22"/>
          <w:szCs w:val="22"/>
          <w:color w:val="auto"/>
        </w:rPr>
        <w:t>except as set forth in Article 11, no consent by any Third Party or Governmental Body is required with respect to the execution and delivery of this Agreement by it or the consummation by it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-339090</wp:posOffset>
            </wp:positionV>
            <wp:extent cx="564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Arrowhead’s Additional Representations and Warranties</w:t>
      </w:r>
    </w:p>
    <w:p>
      <w:pPr>
        <w:spacing w:after="0" w:line="206" w:lineRule="exact"/>
        <w:rPr>
          <w:sz w:val="20"/>
          <w:szCs w:val="20"/>
          <w:color w:val="auto"/>
        </w:rPr>
      </w:pPr>
    </w:p>
    <w:p>
      <w:pPr>
        <w:ind w:left="880" w:right="20" w:hanging="806"/>
        <w:spacing w:after="0" w:line="334" w:lineRule="auto"/>
        <w:tabs>
          <w:tab w:leader="none" w:pos="19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color w:val="auto"/>
        </w:rPr>
        <w:t>Schedule 8.2</w:t>
      </w:r>
      <w:r>
        <w:rPr>
          <w:rFonts w:ascii="Arial" w:cs="Arial" w:eastAsia="Arial" w:hAnsi="Arial"/>
          <w:sz w:val="19"/>
          <w:szCs w:val="19"/>
          <w:color w:val="auto"/>
        </w:rPr>
        <w:t xml:space="preserve"> (as such </w:t>
      </w:r>
      <w:r>
        <w:rPr>
          <w:rFonts w:ascii="Arial" w:cs="Arial" w:eastAsia="Arial" w:hAnsi="Arial"/>
          <w:sz w:val="19"/>
          <w:szCs w:val="19"/>
          <w:b w:val="1"/>
          <w:bCs w:val="1"/>
          <w:color w:val="auto"/>
        </w:rPr>
        <w:t>Schedule 8.2</w:t>
      </w:r>
      <w:r>
        <w:rPr>
          <w:rFonts w:ascii="Arial" w:cs="Arial" w:eastAsia="Arial" w:hAnsi="Arial"/>
          <w:sz w:val="19"/>
          <w:szCs w:val="19"/>
          <w:color w:val="auto"/>
        </w:rPr>
        <w:t xml:space="preserve"> may be updated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Arrowhead represents and warrants to GSK that, as of the Execution Date and as of the Effective Date (as though then made):</w:t>
      </w:r>
    </w:p>
    <w:p>
      <w:pPr>
        <w:spacing w:after="0" w:line="93" w:lineRule="exact"/>
        <w:rPr>
          <w:rFonts w:ascii="Arial" w:cs="Arial" w:eastAsia="Arial" w:hAnsi="Arial"/>
          <w:sz w:val="19"/>
          <w:szCs w:val="19"/>
          <w:color w:val="auto"/>
        </w:rPr>
      </w:pPr>
    </w:p>
    <w:p>
      <w:pPr>
        <w:jc w:val="both"/>
        <w:ind w:left="880" w:hanging="8"/>
        <w:spacing w:after="0" w:line="247" w:lineRule="auto"/>
        <w:tabs>
          <w:tab w:leader="none" w:pos="1780" w:val="left"/>
        </w:tabs>
        <w:numPr>
          <w:ilvl w:val="1"/>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Schedule 1.20 </w:t>
      </w:r>
      <w:r>
        <w:rPr>
          <w:rFonts w:ascii="Arial" w:cs="Arial" w:eastAsia="Arial" w:hAnsi="Arial"/>
          <w:sz w:val="21"/>
          <w:szCs w:val="21"/>
          <w:color w:val="auto"/>
        </w:rPr>
        <w:t>set forth an accurate and complete list of all Arrowhead HSD17B13-Specific Patents,</w:t>
      </w:r>
      <w:r>
        <w:rPr>
          <w:rFonts w:ascii="Arial" w:cs="Arial" w:eastAsia="Arial" w:hAnsi="Arial"/>
          <w:sz w:val="21"/>
          <w:szCs w:val="21"/>
          <w:b w:val="1"/>
          <w:bCs w:val="1"/>
          <w:color w:val="auto"/>
        </w:rPr>
        <w:t xml:space="preserve"> Schedule 1.27 </w:t>
      </w:r>
      <w:r>
        <w:rPr>
          <w:rFonts w:ascii="Arial" w:cs="Arial" w:eastAsia="Arial" w:hAnsi="Arial"/>
          <w:sz w:val="21"/>
          <w:szCs w:val="21"/>
          <w:color w:val="auto"/>
        </w:rPr>
        <w:t>set forth an accurate and complete list of all Arrowhead Platform Patents, and together</w:t>
      </w:r>
      <w:r>
        <w:rPr>
          <w:rFonts w:ascii="Arial" w:cs="Arial" w:eastAsia="Arial" w:hAnsi="Arial"/>
          <w:sz w:val="21"/>
          <w:szCs w:val="21"/>
          <w:b w:val="1"/>
          <w:bCs w:val="1"/>
          <w:color w:val="auto"/>
        </w:rPr>
        <w:t xml:space="preserve"> Schedule 1.20 </w:t>
      </w:r>
      <w:r>
        <w:rPr>
          <w:rFonts w:ascii="Arial" w:cs="Arial" w:eastAsia="Arial" w:hAnsi="Arial"/>
          <w:sz w:val="21"/>
          <w:szCs w:val="21"/>
          <w:color w:val="auto"/>
        </w:rPr>
        <w:t xml:space="preserve">and </w:t>
      </w:r>
      <w:r>
        <w:rPr>
          <w:rFonts w:ascii="Arial" w:cs="Arial" w:eastAsia="Arial" w:hAnsi="Arial"/>
          <w:sz w:val="21"/>
          <w:szCs w:val="21"/>
          <w:b w:val="1"/>
          <w:bCs w:val="1"/>
          <w:color w:val="auto"/>
        </w:rPr>
        <w:t>Schedule 1.27</w:t>
      </w:r>
      <w:r>
        <w:rPr>
          <w:rFonts w:ascii="Arial" w:cs="Arial" w:eastAsia="Arial" w:hAnsi="Arial"/>
          <w:sz w:val="21"/>
          <w:szCs w:val="21"/>
          <w:color w:val="auto"/>
        </w:rPr>
        <w:t xml:space="preserve"> set forth an accurate and complete list of all Arrowhead Patents, in the case of each Schedule, existing as of the Execution Date and all such Arrowhead Patents (i) are subsisting and in good standing, (ii) are being diligently prosecuted in the respective patent offices in the Territory in accordance with Law, (iii) all applicable filing and maintenance fees therefor have been paid on or before the due date for payment, and (iv) to Arrowhead’s knowledge, are not invalid or unenforceable, in whole or in part;</w:t>
      </w:r>
    </w:p>
    <w:p>
      <w:pPr>
        <w:spacing w:after="0" w:line="183" w:lineRule="exact"/>
        <w:rPr>
          <w:rFonts w:ascii="Arial" w:cs="Arial" w:eastAsia="Arial" w:hAnsi="Arial"/>
          <w:sz w:val="21"/>
          <w:szCs w:val="21"/>
          <w:b w:val="1"/>
          <w:bCs w:val="1"/>
          <w:color w:val="auto"/>
        </w:rPr>
      </w:pPr>
    </w:p>
    <w:p>
      <w:pPr>
        <w:jc w:val="both"/>
        <w:ind w:left="880" w:hanging="8"/>
        <w:spacing w:after="0" w:line="236" w:lineRule="auto"/>
        <w:tabs>
          <w:tab w:leader="none" w:pos="1792" w:val="left"/>
        </w:tabs>
        <w:numPr>
          <w:ilvl w:val="1"/>
          <w:numId w:val="144"/>
        </w:numPr>
        <w:rPr>
          <w:rFonts w:ascii="Arial" w:cs="Arial" w:eastAsia="Arial" w:hAnsi="Arial"/>
          <w:sz w:val="22"/>
          <w:szCs w:val="22"/>
          <w:b w:val="1"/>
          <w:bCs w:val="1"/>
          <w:color w:val="auto"/>
        </w:rPr>
      </w:pPr>
      <w:r>
        <w:rPr>
          <w:rFonts w:ascii="Arial" w:cs="Arial" w:eastAsia="Arial" w:hAnsi="Arial"/>
          <w:sz w:val="22"/>
          <w:szCs w:val="22"/>
          <w:color w:val="auto"/>
        </w:rPr>
        <w:t>no claims have been asserted in writing against Arrowhead or any of its Affiliates or, to Arrowhead’s knowledge, threatened by any Person (i) challenging the validity, enforceability or ownership of any Arrowhead Technology, or (ii) to the effect that the Development, Manufacturing or Commercialization of the Compound, in its form as of the Execution Date, infringes any Patents of any Third Party or misappropriates any Know-How of any Third Party;</w:t>
      </w:r>
    </w:p>
    <w:p>
      <w:pPr>
        <w:spacing w:after="0" w:line="187" w:lineRule="exact"/>
        <w:rPr>
          <w:rFonts w:ascii="Arial" w:cs="Arial" w:eastAsia="Arial" w:hAnsi="Arial"/>
          <w:sz w:val="22"/>
          <w:szCs w:val="22"/>
          <w:b w:val="1"/>
          <w:bCs w:val="1"/>
          <w:color w:val="auto"/>
        </w:rPr>
      </w:pPr>
    </w:p>
    <w:p>
      <w:pPr>
        <w:jc w:val="both"/>
        <w:ind w:left="880" w:hanging="8"/>
        <w:spacing w:after="0" w:line="282" w:lineRule="auto"/>
        <w:tabs>
          <w:tab w:leader="none" w:pos="1768" w:val="left"/>
        </w:tabs>
        <w:numPr>
          <w:ilvl w:val="1"/>
          <w:numId w:val="144"/>
        </w:numPr>
        <w:rPr>
          <w:rFonts w:ascii="Arial" w:cs="Arial" w:eastAsia="Arial" w:hAnsi="Arial"/>
          <w:sz w:val="19"/>
          <w:szCs w:val="19"/>
          <w:b w:val="1"/>
          <w:bCs w:val="1"/>
          <w:color w:val="auto"/>
        </w:rPr>
      </w:pPr>
      <w:r>
        <w:rPr>
          <w:rFonts w:ascii="Arial" w:cs="Arial" w:eastAsia="Arial" w:hAnsi="Arial"/>
          <w:sz w:val="19"/>
          <w:szCs w:val="19"/>
          <w:color w:val="auto"/>
        </w:rPr>
        <w:t>to Arrowhead’s knowledge, the conduct of any Development, Manufacture or Commercialization with respect to the Compound or any Product by or on behalf of Arrowhead or any of its Affiliates, (i) as conducted on or prior to the Execution Date or (ii) as contemplated (as of the Execution Date or the Effective Date, as applicable) to be conducted during the Term, in each case, does not infringe, misappropriate or otherwise violate any valid and enforceable claim of any Patents or any other intellectual property rights of any Third Party;</w:t>
      </w:r>
    </w:p>
    <w:p>
      <w:pPr>
        <w:spacing w:after="0" w:line="147" w:lineRule="exact"/>
        <w:rPr>
          <w:rFonts w:ascii="Arial" w:cs="Arial" w:eastAsia="Arial" w:hAnsi="Arial"/>
          <w:sz w:val="19"/>
          <w:szCs w:val="19"/>
          <w:b w:val="1"/>
          <w:bCs w:val="1"/>
          <w:color w:val="auto"/>
        </w:rPr>
      </w:pPr>
    </w:p>
    <w:p>
      <w:pPr>
        <w:jc w:val="both"/>
        <w:ind w:left="880" w:hanging="8"/>
        <w:spacing w:after="0" w:line="236" w:lineRule="auto"/>
        <w:tabs>
          <w:tab w:leader="none" w:pos="1792" w:val="left"/>
        </w:tabs>
        <w:numPr>
          <w:ilvl w:val="1"/>
          <w:numId w:val="144"/>
        </w:numPr>
        <w:rPr>
          <w:rFonts w:ascii="Arial" w:cs="Arial" w:eastAsia="Arial" w:hAnsi="Arial"/>
          <w:sz w:val="22"/>
          <w:szCs w:val="22"/>
          <w:b w:val="1"/>
          <w:bCs w:val="1"/>
          <w:color w:val="auto"/>
        </w:rPr>
      </w:pPr>
      <w:r>
        <w:rPr>
          <w:rFonts w:ascii="Arial" w:cs="Arial" w:eastAsia="Arial" w:hAnsi="Arial"/>
          <w:sz w:val="22"/>
          <w:szCs w:val="22"/>
          <w:color w:val="auto"/>
        </w:rPr>
        <w:t xml:space="preserve">none of the Arrowhead Patents existing as of the Execution Date is the subject of any pending or extant litigation procedure, discovery process, interference, reissue, reexamination, opposition, appeal Proceedings, post-grant review, </w:t>
      </w:r>
      <w:r>
        <w:rPr>
          <w:rFonts w:ascii="Arial" w:cs="Arial" w:eastAsia="Arial" w:hAnsi="Arial"/>
          <w:sz w:val="22"/>
          <w:szCs w:val="22"/>
          <w:i w:val="1"/>
          <w:iCs w:val="1"/>
          <w:color w:val="auto"/>
        </w:rPr>
        <w:t>inter partes</w:t>
      </w:r>
      <w:r>
        <w:rPr>
          <w:rFonts w:ascii="Arial" w:cs="Arial" w:eastAsia="Arial" w:hAnsi="Arial"/>
          <w:sz w:val="22"/>
          <w:szCs w:val="22"/>
          <w:color w:val="auto"/>
        </w:rPr>
        <w:t xml:space="preserve"> review or any other legal dispute, provided that the following excludes office actions or similar communications issued by any patent office or comparable registration authority in the ordinary course of prosecution of any patent application within such Arrowhead Patents;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right="260" w:firstLine="8"/>
        <w:spacing w:after="0" w:line="266" w:lineRule="auto"/>
        <w:tabs>
          <w:tab w:leader="none" w:pos="435"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jc w:val="both"/>
        <w:ind w:left="880" w:hanging="8"/>
        <w:spacing w:after="0" w:line="249" w:lineRule="auto"/>
        <w:tabs>
          <w:tab w:leader="none" w:pos="1768"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 xml:space="preserve">other than the Arrowhead Technology in existence as of the Execution Date or the Effective Date, as applicable, neither Arrowhead nor any of its Affiliates owns or otherwise controls (including via license) rights under any Patents or Know-How that are, as of the Execution Date or the Effective Date, as applicable, necessary for, or actually used in, the Development, Manufacture or Commercialization of the Compound in the form set forth on </w:t>
      </w:r>
      <w:r>
        <w:rPr>
          <w:rFonts w:ascii="Arial" w:cs="Arial" w:eastAsia="Arial" w:hAnsi="Arial"/>
          <w:sz w:val="21"/>
          <w:szCs w:val="21"/>
          <w:b w:val="1"/>
          <w:bCs w:val="1"/>
          <w:color w:val="auto"/>
        </w:rPr>
        <w:t xml:space="preserve">Schedule 1.53 </w:t>
      </w:r>
      <w:r>
        <w:rPr>
          <w:rFonts w:ascii="Arial" w:cs="Arial" w:eastAsia="Arial" w:hAnsi="Arial"/>
          <w:sz w:val="21"/>
          <w:szCs w:val="21"/>
          <w:color w:val="auto"/>
        </w:rPr>
        <w:t>(or any Product that contains such form of the Compound);</w:t>
      </w:r>
    </w:p>
    <w:p>
      <w:pPr>
        <w:spacing w:after="0" w:line="178" w:lineRule="exact"/>
        <w:rPr>
          <w:rFonts w:ascii="Arial" w:cs="Arial" w:eastAsia="Arial" w:hAnsi="Arial"/>
          <w:sz w:val="21"/>
          <w:szCs w:val="21"/>
          <w:b w:val="1"/>
          <w:bCs w:val="1"/>
          <w:color w:val="auto"/>
        </w:rPr>
      </w:pPr>
    </w:p>
    <w:p>
      <w:pPr>
        <w:jc w:val="both"/>
        <w:ind w:left="880" w:hanging="8"/>
        <w:spacing w:after="0" w:line="246" w:lineRule="auto"/>
        <w:tabs>
          <w:tab w:leader="none" w:pos="1744" w:val="left"/>
        </w:tabs>
        <w:numPr>
          <w:ilvl w:val="1"/>
          <w:numId w:val="145"/>
        </w:numPr>
        <w:rPr>
          <w:rFonts w:ascii="Arial" w:cs="Arial" w:eastAsia="Arial" w:hAnsi="Arial"/>
          <w:sz w:val="21"/>
          <w:szCs w:val="21"/>
          <w:b w:val="1"/>
          <w:bCs w:val="1"/>
          <w:color w:val="auto"/>
        </w:rPr>
      </w:pPr>
      <w:r>
        <w:rPr>
          <w:rFonts w:ascii="Arial" w:cs="Arial" w:eastAsia="Arial" w:hAnsi="Arial"/>
          <w:sz w:val="21"/>
          <w:szCs w:val="21"/>
          <w:color w:val="auto"/>
        </w:rPr>
        <w:t>Arrowhead and its Affiliates have taken commercially reasonable measures to protect the secrecy, confidentiality, and value of all Arrowhead Know-How that constitutes trade secrets under Law (including requiring all employees, consultants, and independent contractors to execute agreements requiring all such employees, consultants, and independent contractors to maintain the confidentiality of such Arrowhead Know-How), and, to Arrowhead’s knowledge, such Arrowhead Know-How has not been used or disclosed to any Third Party except pursuant to confidentiality agreements or agreements containing confidentiality obligations and, to Arrowhead’s knowledge, such Third Party has not breached any such confidentiality agreement;</w:t>
      </w:r>
    </w:p>
    <w:p>
      <w:pPr>
        <w:spacing w:after="0" w:line="184" w:lineRule="exact"/>
        <w:rPr>
          <w:rFonts w:ascii="Arial" w:cs="Arial" w:eastAsia="Arial" w:hAnsi="Arial"/>
          <w:sz w:val="21"/>
          <w:szCs w:val="21"/>
          <w:b w:val="1"/>
          <w:bCs w:val="1"/>
          <w:color w:val="auto"/>
        </w:rPr>
      </w:pPr>
    </w:p>
    <w:p>
      <w:pPr>
        <w:ind w:left="880" w:hanging="8"/>
        <w:spacing w:after="0" w:line="328" w:lineRule="auto"/>
        <w:tabs>
          <w:tab w:leader="none" w:pos="1780" w:val="left"/>
        </w:tabs>
        <w:numPr>
          <w:ilvl w:val="1"/>
          <w:numId w:val="145"/>
        </w:numPr>
        <w:rPr>
          <w:rFonts w:ascii="Arial" w:cs="Arial" w:eastAsia="Arial" w:hAnsi="Arial"/>
          <w:sz w:val="19"/>
          <w:szCs w:val="19"/>
          <w:b w:val="1"/>
          <w:bCs w:val="1"/>
          <w:color w:val="auto"/>
        </w:rPr>
      </w:pPr>
      <w:r>
        <w:rPr>
          <w:rFonts w:ascii="Arial" w:cs="Arial" w:eastAsia="Arial" w:hAnsi="Arial"/>
          <w:sz w:val="19"/>
          <w:szCs w:val="19"/>
          <w:color w:val="auto"/>
        </w:rPr>
        <w:t>as of immediately prior to the Execution Date, Arrowhead and its Affiliates own and otherwise Control all right, title and interest in and to Arrowhead Technology free and clear of any liens, charges and encumbrances;</w:t>
      </w:r>
    </w:p>
    <w:p>
      <w:pPr>
        <w:spacing w:after="0" w:line="104" w:lineRule="exact"/>
        <w:rPr>
          <w:rFonts w:ascii="Arial" w:cs="Arial" w:eastAsia="Arial" w:hAnsi="Arial"/>
          <w:sz w:val="19"/>
          <w:szCs w:val="19"/>
          <w:b w:val="1"/>
          <w:bCs w:val="1"/>
          <w:color w:val="auto"/>
        </w:rPr>
      </w:pPr>
    </w:p>
    <w:p>
      <w:pPr>
        <w:jc w:val="both"/>
        <w:ind w:left="880" w:hanging="8"/>
        <w:spacing w:after="0" w:line="275" w:lineRule="auto"/>
        <w:tabs>
          <w:tab w:leader="none" w:pos="1792" w:val="left"/>
        </w:tabs>
        <w:numPr>
          <w:ilvl w:val="1"/>
          <w:numId w:val="145"/>
        </w:numPr>
        <w:rPr>
          <w:rFonts w:ascii="Arial" w:cs="Arial" w:eastAsia="Arial" w:hAnsi="Arial"/>
          <w:sz w:val="19"/>
          <w:szCs w:val="19"/>
          <w:b w:val="1"/>
          <w:bCs w:val="1"/>
          <w:color w:val="auto"/>
        </w:rPr>
      </w:pPr>
      <w:r>
        <w:rPr>
          <w:rFonts w:ascii="Arial" w:cs="Arial" w:eastAsia="Arial" w:hAnsi="Arial"/>
          <w:sz w:val="19"/>
          <w:szCs w:val="19"/>
          <w:color w:val="auto"/>
        </w:rPr>
        <w:t>with respect to all Arrowhead Technology, (i) Arrowhead and its Affiliates have obtained from all employees and independent contractors who participated in the invention or authorship thereof, assignments of all ownership rights of such employees and independent contractors in such Arrowhead Technology, either pursuant to written agreement or by operation of Law; (ii) all of its employees, officers, contractors, and consultants have executed agreements or have existing obligations under Law requiring assignment to Arrowhead or its Affiliate, as applicable, of all rights, title, and interests in and to their inventions made during the course of and as the result of this Agreement; and (iii) no officer or employee of Arrowhead or its Affiliate is subject to any agreement with any other Third Party that requires such officer or employee to assign any interest in any Arrowhead Technology to any Third Party;</w:t>
      </w:r>
    </w:p>
    <w:p>
      <w:pPr>
        <w:spacing w:after="0" w:line="157" w:lineRule="exact"/>
        <w:rPr>
          <w:rFonts w:ascii="Arial" w:cs="Arial" w:eastAsia="Arial" w:hAnsi="Arial"/>
          <w:sz w:val="19"/>
          <w:szCs w:val="19"/>
          <w:b w:val="1"/>
          <w:bCs w:val="1"/>
          <w:color w:val="auto"/>
        </w:rPr>
      </w:pPr>
    </w:p>
    <w:p>
      <w:pPr>
        <w:ind w:left="1720" w:hanging="848"/>
        <w:spacing w:after="0"/>
        <w:tabs>
          <w:tab w:leader="none" w:pos="1720" w:val="left"/>
        </w:tabs>
        <w:numPr>
          <w:ilvl w:val="1"/>
          <w:numId w:val="145"/>
        </w:numPr>
        <w:rPr>
          <w:rFonts w:ascii="Arial" w:cs="Arial" w:eastAsia="Arial" w:hAnsi="Arial"/>
          <w:sz w:val="19"/>
          <w:szCs w:val="19"/>
          <w:b w:val="1"/>
          <w:bCs w:val="1"/>
          <w:color w:val="auto"/>
        </w:rPr>
      </w:pPr>
      <w:r>
        <w:rPr>
          <w:rFonts w:ascii="Arial" w:cs="Arial" w:eastAsia="Arial" w:hAnsi="Arial"/>
          <w:sz w:val="19"/>
          <w:szCs w:val="19"/>
          <w:color w:val="auto"/>
        </w:rPr>
        <w:t>none of the Arrowhead Technology is in-licensed by Arrowhead or any of its Affiliates from any Third Party;</w:t>
      </w:r>
    </w:p>
    <w:p>
      <w:pPr>
        <w:spacing w:after="0" w:line="240" w:lineRule="exact"/>
        <w:rPr>
          <w:rFonts w:ascii="Arial" w:cs="Arial" w:eastAsia="Arial" w:hAnsi="Arial"/>
          <w:sz w:val="19"/>
          <w:szCs w:val="19"/>
          <w:b w:val="1"/>
          <w:bCs w:val="1"/>
          <w:color w:val="auto"/>
        </w:rPr>
      </w:pPr>
    </w:p>
    <w:p>
      <w:pPr>
        <w:jc w:val="both"/>
        <w:ind w:left="880" w:hanging="8"/>
        <w:spacing w:after="0" w:line="236" w:lineRule="auto"/>
        <w:tabs>
          <w:tab w:leader="none" w:pos="1744"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(i) Arrowhead (or its Affiliates) have the right to grant to GSK and its Affiliates the rights and licenses under the Arrowhead Technology as set forth under this Agreement, and (ii) neither Arrowhead nor any of its Affiliates has previously licensed, assigned, transferred or otherwise conveyed any right, title, option or interest in or to any Arrowhead Technology to any Third Party that would conflict with any of the rights or licenses granted to GSK under this Agreement;</w:t>
      </w:r>
    </w:p>
    <w:p>
      <w:pPr>
        <w:spacing w:after="0" w:line="187" w:lineRule="exact"/>
        <w:rPr>
          <w:rFonts w:ascii="Arial" w:cs="Arial" w:eastAsia="Arial" w:hAnsi="Arial"/>
          <w:sz w:val="22"/>
          <w:szCs w:val="22"/>
          <w:b w:val="1"/>
          <w:bCs w:val="1"/>
          <w:color w:val="auto"/>
        </w:rPr>
      </w:pPr>
    </w:p>
    <w:p>
      <w:pPr>
        <w:ind w:left="880" w:hanging="8"/>
        <w:spacing w:after="0" w:line="250" w:lineRule="auto"/>
        <w:tabs>
          <w:tab w:leader="none" w:pos="1792" w:val="left"/>
        </w:tabs>
        <w:numPr>
          <w:ilvl w:val="1"/>
          <w:numId w:val="145"/>
        </w:numPr>
        <w:rPr>
          <w:rFonts w:ascii="Arial" w:cs="Arial" w:eastAsia="Arial" w:hAnsi="Arial"/>
          <w:sz w:val="22"/>
          <w:szCs w:val="22"/>
          <w:b w:val="1"/>
          <w:bCs w:val="1"/>
          <w:color w:val="auto"/>
        </w:rPr>
      </w:pPr>
      <w:r>
        <w:rPr>
          <w:rFonts w:ascii="Arial" w:cs="Arial" w:eastAsia="Arial" w:hAnsi="Arial"/>
          <w:sz w:val="22"/>
          <w:szCs w:val="22"/>
          <w:color w:val="auto"/>
        </w:rPr>
        <w:t>all Development, including any Clinical Trials, of the Compound conducted prior to the Execution Date have been conducted in compliance with all Laws;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right="260" w:firstLine="8"/>
        <w:spacing w:after="0" w:line="266" w:lineRule="auto"/>
        <w:tabs>
          <w:tab w:leader="none" w:pos="435"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3" w:lineRule="exact"/>
        <w:rPr>
          <w:rFonts w:ascii="Arial" w:cs="Arial" w:eastAsia="Arial" w:hAnsi="Arial"/>
          <w:sz w:val="18"/>
          <w:szCs w:val="18"/>
          <w:b w:val="1"/>
          <w:bCs w:val="1"/>
          <w:color w:val="auto"/>
        </w:rPr>
      </w:pPr>
    </w:p>
    <w:p>
      <w:pPr>
        <w:jc w:val="both"/>
        <w:ind w:left="880" w:hanging="8"/>
        <w:spacing w:after="0" w:line="254" w:lineRule="auto"/>
        <w:tabs>
          <w:tab w:leader="none" w:pos="1732" w:val="left"/>
        </w:tabs>
        <w:numPr>
          <w:ilvl w:val="1"/>
          <w:numId w:val="146"/>
        </w:numPr>
        <w:rPr>
          <w:rFonts w:ascii="Arial" w:cs="Arial" w:eastAsia="Arial" w:hAnsi="Arial"/>
          <w:sz w:val="21"/>
          <w:szCs w:val="21"/>
          <w:b w:val="1"/>
          <w:bCs w:val="1"/>
          <w:color w:val="auto"/>
        </w:rPr>
      </w:pPr>
      <w:r>
        <w:rPr>
          <w:rFonts w:ascii="Arial" w:cs="Arial" w:eastAsia="Arial" w:hAnsi="Arial"/>
          <w:sz w:val="21"/>
          <w:szCs w:val="21"/>
          <w:color w:val="auto"/>
        </w:rPr>
        <w:t xml:space="preserve">the Arrowhead Materials as set forth </w:t>
      </w:r>
      <w:r>
        <w:rPr>
          <w:rFonts w:ascii="Arial" w:cs="Arial" w:eastAsia="Arial" w:hAnsi="Arial"/>
          <w:sz w:val="21"/>
          <w:szCs w:val="21"/>
          <w:b w:val="1"/>
          <w:bCs w:val="1"/>
          <w:color w:val="auto"/>
        </w:rPr>
        <w:t>Schedule 1.25</w:t>
      </w:r>
      <w:r>
        <w:rPr>
          <w:rFonts w:ascii="Arial" w:cs="Arial" w:eastAsia="Arial" w:hAnsi="Arial"/>
          <w:sz w:val="21"/>
          <w:szCs w:val="21"/>
          <w:color w:val="auto"/>
        </w:rPr>
        <w:t>, (i) were Manufactured (including packaging, labeling, testing, storage and handling) in accordance in all material respects with all Laws and specifications (including, to the extent applicable, any release specifications as provided by Arrowhead to GSK in writing prior to the Effective Date), and (ii) have not been adulterated or misbranded within the meaning of any Law;</w:t>
      </w:r>
    </w:p>
    <w:p>
      <w:pPr>
        <w:spacing w:after="0" w:line="165" w:lineRule="exact"/>
        <w:rPr>
          <w:rFonts w:ascii="Arial" w:cs="Arial" w:eastAsia="Arial" w:hAnsi="Arial"/>
          <w:sz w:val="21"/>
          <w:szCs w:val="21"/>
          <w:b w:val="1"/>
          <w:bCs w:val="1"/>
          <w:color w:val="auto"/>
        </w:rPr>
      </w:pPr>
    </w:p>
    <w:p>
      <w:pPr>
        <w:jc w:val="both"/>
        <w:ind w:left="880" w:hanging="8"/>
        <w:spacing w:after="0" w:line="243" w:lineRule="auto"/>
        <w:tabs>
          <w:tab w:leader="none" w:pos="1852" w:val="left"/>
        </w:tabs>
        <w:numPr>
          <w:ilvl w:val="1"/>
          <w:numId w:val="146"/>
        </w:numPr>
        <w:rPr>
          <w:rFonts w:ascii="Arial" w:cs="Arial" w:eastAsia="Arial" w:hAnsi="Arial"/>
          <w:sz w:val="22"/>
          <w:szCs w:val="22"/>
          <w:b w:val="1"/>
          <w:bCs w:val="1"/>
          <w:color w:val="auto"/>
        </w:rPr>
      </w:pPr>
      <w:r>
        <w:rPr>
          <w:rFonts w:ascii="Arial" w:cs="Arial" w:eastAsia="Arial" w:hAnsi="Arial"/>
          <w:sz w:val="22"/>
          <w:szCs w:val="22"/>
          <w:color w:val="auto"/>
        </w:rPr>
        <w:t xml:space="preserve">Arrowhead owns all rights, title and interests in and to the Arrowhead Materials set forth </w:t>
      </w:r>
      <w:r>
        <w:rPr>
          <w:rFonts w:ascii="Arial" w:cs="Arial" w:eastAsia="Arial" w:hAnsi="Arial"/>
          <w:sz w:val="22"/>
          <w:szCs w:val="22"/>
          <w:b w:val="1"/>
          <w:bCs w:val="1"/>
          <w:color w:val="auto"/>
        </w:rPr>
        <w:t>Schedule 1.25</w:t>
      </w:r>
      <w:r>
        <w:rPr>
          <w:rFonts w:ascii="Arial" w:cs="Arial" w:eastAsia="Arial" w:hAnsi="Arial"/>
          <w:sz w:val="22"/>
          <w:szCs w:val="22"/>
          <w:color w:val="auto"/>
        </w:rPr>
        <w:t>, all of which shall be delivered free and clear of all encumbrances (including through lien, charge, security interest, mortgage or otherwise);</w:t>
      </w:r>
    </w:p>
    <w:p>
      <w:pPr>
        <w:spacing w:after="0" w:line="182" w:lineRule="exact"/>
        <w:rPr>
          <w:rFonts w:ascii="Arial" w:cs="Arial" w:eastAsia="Arial" w:hAnsi="Arial"/>
          <w:sz w:val="22"/>
          <w:szCs w:val="22"/>
          <w:b w:val="1"/>
          <w:bCs w:val="1"/>
          <w:color w:val="auto"/>
        </w:rPr>
      </w:pPr>
    </w:p>
    <w:p>
      <w:pPr>
        <w:jc w:val="both"/>
        <w:ind w:left="880" w:hanging="8"/>
        <w:spacing w:after="0" w:line="248" w:lineRule="auto"/>
        <w:tabs>
          <w:tab w:leader="none" w:pos="1792" w:val="left"/>
        </w:tabs>
        <w:numPr>
          <w:ilvl w:val="1"/>
          <w:numId w:val="146"/>
        </w:numPr>
        <w:rPr>
          <w:rFonts w:ascii="Arial" w:cs="Arial" w:eastAsia="Arial" w:hAnsi="Arial"/>
          <w:sz w:val="21"/>
          <w:szCs w:val="21"/>
          <w:b w:val="1"/>
          <w:bCs w:val="1"/>
          <w:color w:val="auto"/>
        </w:rPr>
      </w:pPr>
      <w:r>
        <w:rPr>
          <w:rFonts w:ascii="Arial" w:cs="Arial" w:eastAsia="Arial" w:hAnsi="Arial"/>
          <w:sz w:val="21"/>
          <w:szCs w:val="21"/>
          <w:color w:val="auto"/>
        </w:rPr>
        <w:t xml:space="preserve">as of the Execution Date, Arrowhead has provided GSK with a true, correct and complete copy of any agreements to which Arrowhead or any of its Affiliates is a party that relates to the Compound (including the Development, Manufacture or Commercialization thereof) and there is no agreement with any Third Party pursuant to which Arrowhead or any of its Affiliates has licensed any Patents or Know-How of such Third Party that would be necessary in the Development, Manufacture or Commercialization of the Compound in the form set forth on </w:t>
      </w:r>
      <w:r>
        <w:rPr>
          <w:rFonts w:ascii="Arial" w:cs="Arial" w:eastAsia="Arial" w:hAnsi="Arial"/>
          <w:sz w:val="21"/>
          <w:szCs w:val="21"/>
          <w:b w:val="1"/>
          <w:bCs w:val="1"/>
          <w:color w:val="auto"/>
        </w:rPr>
        <w:t>Schedule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1.53 </w:t>
      </w:r>
      <w:r>
        <w:rPr>
          <w:rFonts w:ascii="Arial" w:cs="Arial" w:eastAsia="Arial" w:hAnsi="Arial"/>
          <w:sz w:val="21"/>
          <w:szCs w:val="21"/>
          <w:color w:val="auto"/>
        </w:rPr>
        <w:t>(or any Product that contains such form of the Compound) in the GSK Territory;</w:t>
      </w:r>
    </w:p>
    <w:p>
      <w:pPr>
        <w:spacing w:after="0" w:line="176" w:lineRule="exact"/>
        <w:rPr>
          <w:rFonts w:ascii="Arial" w:cs="Arial" w:eastAsia="Arial" w:hAnsi="Arial"/>
          <w:sz w:val="21"/>
          <w:szCs w:val="21"/>
          <w:b w:val="1"/>
          <w:bCs w:val="1"/>
          <w:color w:val="auto"/>
        </w:rPr>
      </w:pPr>
    </w:p>
    <w:p>
      <w:pPr>
        <w:jc w:val="both"/>
        <w:ind w:left="880" w:hanging="8"/>
        <w:spacing w:after="0" w:line="246" w:lineRule="auto"/>
        <w:tabs>
          <w:tab w:leader="none" w:pos="1780" w:val="left"/>
        </w:tabs>
        <w:numPr>
          <w:ilvl w:val="1"/>
          <w:numId w:val="146"/>
        </w:numPr>
        <w:rPr>
          <w:rFonts w:ascii="Arial" w:cs="Arial" w:eastAsia="Arial" w:hAnsi="Arial"/>
          <w:sz w:val="21"/>
          <w:szCs w:val="21"/>
          <w:b w:val="1"/>
          <w:bCs w:val="1"/>
          <w:color w:val="auto"/>
        </w:rPr>
      </w:pPr>
      <w:r>
        <w:rPr>
          <w:rFonts w:ascii="Arial" w:cs="Arial" w:eastAsia="Arial" w:hAnsi="Arial"/>
          <w:sz w:val="21"/>
          <w:szCs w:val="21"/>
          <w:color w:val="auto"/>
        </w:rPr>
        <w:t>neither Arrowhead nor its Affiliates, nor, to Arrowhead’s knowledge, any of its or their respective directors, officers, employees or agents has committed an act, made a statement or failed to act or make statement, in any case, that (i) would be or create an untrue statement of material fact or fraudulent statement to the FDA or any other Regulatory Authority with respect to the Development and Manufacture of any Compound or Product or (ii) could reasonably be expected to provide a basis for the FDA or any other Regulatory Authority to invoke its policy respecting “Fraud, Untrue Statements of Material Facts, Bribery and Illegal Gratuities”, set forth in 56 Fed. Reg. 46191 (September 10, 1991) and any amendments thereto or any analogous laws or policies, with respect to the Development and Manufacture of any Compound or Product;</w:t>
      </w:r>
    </w:p>
    <w:p>
      <w:pPr>
        <w:spacing w:after="0" w:line="179" w:lineRule="exact"/>
        <w:rPr>
          <w:rFonts w:ascii="Arial" w:cs="Arial" w:eastAsia="Arial" w:hAnsi="Arial"/>
          <w:sz w:val="21"/>
          <w:szCs w:val="21"/>
          <w:b w:val="1"/>
          <w:bCs w:val="1"/>
          <w:color w:val="auto"/>
        </w:rPr>
      </w:pPr>
    </w:p>
    <w:p>
      <w:pPr>
        <w:jc w:val="both"/>
        <w:ind w:left="880" w:hanging="8"/>
        <w:spacing w:after="0" w:line="272" w:lineRule="auto"/>
        <w:tabs>
          <w:tab w:leader="none" w:pos="1792" w:val="left"/>
        </w:tabs>
        <w:numPr>
          <w:ilvl w:val="1"/>
          <w:numId w:val="146"/>
        </w:numPr>
        <w:rPr>
          <w:rFonts w:ascii="Arial" w:cs="Arial" w:eastAsia="Arial" w:hAnsi="Arial"/>
          <w:sz w:val="19"/>
          <w:szCs w:val="19"/>
          <w:b w:val="1"/>
          <w:bCs w:val="1"/>
          <w:color w:val="auto"/>
        </w:rPr>
      </w:pPr>
      <w:r>
        <w:rPr>
          <w:rFonts w:ascii="Arial" w:cs="Arial" w:eastAsia="Arial" w:hAnsi="Arial"/>
          <w:sz w:val="19"/>
          <w:szCs w:val="19"/>
          <w:color w:val="auto"/>
        </w:rPr>
        <w:t>(i) the Arrowhead Human Biological Samples used in the Development, Manufacture or Commercialization of the Compound or any Product conducted by or on behalf of Arrowhead and its Affiliates as of the Execution Date have been obtained, stored, transferred, used and disposed of in accordance in all material respects with Laws and any generally accepted ethical guidelines regarding the collection, use, transport and disposal of human tissue, (ii) all ethics committee approvals have been obtained to enable the use of the Arrowhead Human Biological Samples obtained from patients or human subject volunteers or other donors in connection with the Development, Manufacture or Commercialization of the Compound or any Product conducted by or on behalf of Arrowhead and its Affiliates as of the Execution Date, (iii) all uses of Arrowhead Human Biological Samples in the Development, Manufacture or Commercialization of the Compound or any Product conducted by or on behalf of Arrowhead and its Affiliates as of the Execution Date fall within the terms of the informed consent given by the donors of such Arrowhead Human Biological Samples, and (iv) no human embryonic or fetal derived material (including cell lines) have been used in the Development, Manufacture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right="260" w:firstLine="8"/>
        <w:spacing w:after="0" w:line="266" w:lineRule="auto"/>
        <w:tabs>
          <w:tab w:leader="none" w:pos="435"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right="20"/>
        <w:spacing w:after="0" w:line="250" w:lineRule="auto"/>
        <w:rPr>
          <w:sz w:val="20"/>
          <w:szCs w:val="20"/>
          <w:color w:val="auto"/>
        </w:rPr>
      </w:pPr>
      <w:r>
        <w:rPr>
          <w:rFonts w:ascii="Arial" w:cs="Arial" w:eastAsia="Arial" w:hAnsi="Arial"/>
          <w:sz w:val="22"/>
          <w:szCs w:val="22"/>
          <w:color w:val="auto"/>
        </w:rPr>
        <w:t>Commercialization of the Compound or any Product conducted by or on behalf of Arrowhead and its Affiliates as of the Execution Date; and</w:t>
      </w:r>
    </w:p>
    <w:p>
      <w:pPr>
        <w:spacing w:after="0" w:line="175" w:lineRule="exact"/>
        <w:rPr>
          <w:sz w:val="20"/>
          <w:szCs w:val="20"/>
          <w:color w:val="auto"/>
        </w:rPr>
      </w:pPr>
    </w:p>
    <w:p>
      <w:pPr>
        <w:jc w:val="both"/>
        <w:ind w:left="880" w:hanging="8"/>
        <w:spacing w:after="0"/>
        <w:tabs>
          <w:tab w:leader="none" w:pos="1792"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as of the Execution Date, Arrowhead has not intentionally concealed nor intentionally withheld from GSK any material information related to the Arrowhead Technology, Compounds or Products, in each case, that was requested by GSK in writing.</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8"/>
          <w:szCs w:val="18"/>
          <w:b w:val="1"/>
          <w:bCs w:val="1"/>
          <w:color w:val="auto"/>
        </w:rPr>
        <w:t>Disclosure Schedule References</w:t>
      </w:r>
    </w:p>
    <w:p>
      <w:pPr>
        <w:spacing w:after="0" w:line="206" w:lineRule="exact"/>
        <w:rPr>
          <w:sz w:val="20"/>
          <w:szCs w:val="20"/>
          <w:color w:val="auto"/>
        </w:rPr>
      </w:pPr>
    </w:p>
    <w:p>
      <w:pPr>
        <w:ind w:left="880" w:hanging="806"/>
        <w:spacing w:after="0" w:line="334" w:lineRule="auto"/>
        <w:tabs>
          <w:tab w:leader="none" w:pos="33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The Parties agree that any disclosure in any section of </w:t>
      </w:r>
      <w:r>
        <w:rPr>
          <w:rFonts w:ascii="Arial" w:cs="Arial" w:eastAsia="Arial" w:hAnsi="Arial"/>
          <w:sz w:val="19"/>
          <w:szCs w:val="19"/>
          <w:b w:val="1"/>
          <w:bCs w:val="1"/>
          <w:color w:val="auto"/>
        </w:rPr>
        <w:t>Schedule 8.2</w:t>
      </w:r>
      <w:r>
        <w:rPr>
          <w:rFonts w:ascii="Arial" w:cs="Arial" w:eastAsia="Arial" w:hAnsi="Arial"/>
          <w:sz w:val="19"/>
          <w:szCs w:val="19"/>
          <w:color w:val="auto"/>
        </w:rPr>
        <w:t xml:space="preserve"> shall only be deemed to be an exception to the representations and warranties of Arrowhead that are contained in the corresponding Section of this Agreement.</w:t>
      </w:r>
    </w:p>
    <w:p>
      <w:pPr>
        <w:spacing w:after="0" w:line="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Additional Covenants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38" w:lineRule="auto"/>
        <w:tabs>
          <w:tab w:leader="none" w:pos="1780" w:val="left"/>
        </w:tabs>
        <w:numPr>
          <w:ilvl w:val="0"/>
          <w:numId w:val="150"/>
        </w:numPr>
        <w:rPr>
          <w:rFonts w:ascii="Arial" w:cs="Arial" w:eastAsia="Arial" w:hAnsi="Arial"/>
          <w:sz w:val="22"/>
          <w:szCs w:val="22"/>
          <w:b w:val="1"/>
          <w:bCs w:val="1"/>
          <w:color w:val="auto"/>
        </w:rPr>
      </w:pPr>
      <w:r>
        <w:rPr>
          <w:rFonts w:ascii="Arial" w:cs="Arial" w:eastAsia="Arial" w:hAnsi="Arial"/>
          <w:sz w:val="22"/>
          <w:szCs w:val="22"/>
          <w:color w:val="auto"/>
        </w:rPr>
        <w:t>Neither Party nor any of its Affiliates has employed or otherwise used in any capacity, and neither Party nor any of its Affiliates will employ or otherwise use in any capacity, the services of any Person debarred under United States Law, including under 21 U.S.C. § 335a or any foreign equivalent thereof, including with respect to the Compound or any Product.</w:t>
      </w:r>
    </w:p>
    <w:p>
      <w:pPr>
        <w:spacing w:after="0" w:line="184" w:lineRule="exact"/>
        <w:rPr>
          <w:rFonts w:ascii="Arial" w:cs="Arial" w:eastAsia="Arial" w:hAnsi="Arial"/>
          <w:sz w:val="22"/>
          <w:szCs w:val="22"/>
          <w:b w:val="1"/>
          <w:bCs w:val="1"/>
          <w:color w:val="auto"/>
        </w:rPr>
      </w:pPr>
    </w:p>
    <w:p>
      <w:pPr>
        <w:jc w:val="both"/>
        <w:ind w:left="880" w:hanging="8"/>
        <w:spacing w:after="0" w:line="271" w:lineRule="auto"/>
        <w:tabs>
          <w:tab w:leader="none" w:pos="1792" w:val="left"/>
        </w:tabs>
        <w:numPr>
          <w:ilvl w:val="0"/>
          <w:numId w:val="150"/>
        </w:numPr>
        <w:rPr>
          <w:rFonts w:ascii="Arial" w:cs="Arial" w:eastAsia="Arial" w:hAnsi="Arial"/>
          <w:sz w:val="19"/>
          <w:szCs w:val="19"/>
          <w:b w:val="1"/>
          <w:bCs w:val="1"/>
          <w:color w:val="auto"/>
        </w:rPr>
      </w:pPr>
      <w:r>
        <w:rPr>
          <w:rFonts w:ascii="Arial" w:cs="Arial" w:eastAsia="Arial" w:hAnsi="Arial"/>
          <w:sz w:val="19"/>
          <w:szCs w:val="19"/>
          <w:color w:val="auto"/>
        </w:rPr>
        <w:t xml:space="preserve">During the Term, Arrowhead shall not (and shall cause its Affiliates to not) (i) assign, transfer, convey, encumber (through any liens, charges, security interests, mortgages or similar actions) or dispose of, or enter into any agreement with any Third Party to assign, transfer, convey, encumber (through lien, charge, security interest, mortgage or similar action) or dispose of, any Arrowhead Technology to any Third Party without the prior consent of GSK or (ii) fail to maintain the Arrowhead Technology in the ordinary course of business, and in compliance with Law, in each case ((i) – (ii)), in any manner that would conflict with, limit the scope of or adversely affect in any material respect any of the rights or licenses granted to GSK under this Agreement, including as contemplated to be granted to GSK under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During the Term, Arrowhead covenants (on behalf of itself and its Affiliates) to ensure that any Arrowhead Technology is and remains Controlled by Arrowhead (or its Affiliates), such that Arrowhead maintains the full rights to grant the rights and licenses to the Arrowhead Technology to GSK as contemplated hereunder, including as contemplated to be granted to GSK under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During the Term, GSK covenants (on behalf of itself and its Affiliates) to ensure that any GSK Licensed Technology and GSK’s interest in the Joint Agreement Technology is and remains Controlled by GSK (or its Affiliates), such that GSK maintains the full rights to grant the rights and licenses to the GSK Licensed Technology and GSK’s interest in the Joint Agreement Technology to Arrowhead as contemplated hereunder, including as contemplated to be granted to Arrowhead under </w:t>
      </w:r>
      <w:r>
        <w:rPr>
          <w:rFonts w:ascii="Arial" w:cs="Arial" w:eastAsia="Arial" w:hAnsi="Arial"/>
          <w:sz w:val="19"/>
          <w:szCs w:val="19"/>
          <w:u w:val="single" w:color="auto"/>
          <w:color w:val="auto"/>
        </w:rPr>
        <w:t>Section 10.7(c)(iv)(A)</w:t>
      </w:r>
      <w:r>
        <w:rPr>
          <w:rFonts w:ascii="Arial" w:cs="Arial" w:eastAsia="Arial" w:hAnsi="Arial"/>
          <w:sz w:val="19"/>
          <w:szCs w:val="19"/>
          <w:color w:val="auto"/>
        </w:rPr>
        <w:t>.</w:t>
      </w:r>
    </w:p>
    <w:p>
      <w:pPr>
        <w:spacing w:after="0" w:line="160" w:lineRule="exact"/>
        <w:rPr>
          <w:rFonts w:ascii="Arial" w:cs="Arial" w:eastAsia="Arial" w:hAnsi="Arial"/>
          <w:sz w:val="19"/>
          <w:szCs w:val="19"/>
          <w:b w:val="1"/>
          <w:bCs w:val="1"/>
          <w:color w:val="auto"/>
        </w:rPr>
      </w:pPr>
    </w:p>
    <w:p>
      <w:pPr>
        <w:jc w:val="both"/>
        <w:ind w:left="880" w:hanging="8"/>
        <w:spacing w:after="0" w:line="287" w:lineRule="auto"/>
        <w:tabs>
          <w:tab w:leader="none" w:pos="1768" w:val="left"/>
        </w:tabs>
        <w:numPr>
          <w:ilvl w:val="0"/>
          <w:numId w:val="150"/>
        </w:numPr>
        <w:rPr>
          <w:rFonts w:ascii="Arial" w:cs="Arial" w:eastAsia="Arial" w:hAnsi="Arial"/>
          <w:sz w:val="19"/>
          <w:szCs w:val="19"/>
          <w:b w:val="1"/>
          <w:bCs w:val="1"/>
          <w:color w:val="auto"/>
        </w:rPr>
      </w:pPr>
      <w:r>
        <w:rPr>
          <w:rFonts w:ascii="Arial" w:cs="Arial" w:eastAsia="Arial" w:hAnsi="Arial"/>
          <w:sz w:val="19"/>
          <w:szCs w:val="19"/>
          <w:color w:val="auto"/>
        </w:rPr>
        <w:t>During the Term, neither Arrowhead (nor any of its Affiliates) shall amend, modify or terminate any agreement of to which Arrowhead (or such Affiliate) is a party with a Third Party pursuant to which, as applicable, any Arrowhead Technology (other than any Agreement Know-How or Agreement Patents) is in-licensed, whether such agreement exists as of the Execution Date or is entered into by Arrowhead (or such Affiliate) after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right="260" w:firstLine="8"/>
        <w:spacing w:after="0" w:line="266" w:lineRule="auto"/>
        <w:tabs>
          <w:tab w:leader="none" w:pos="435"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spacing w:after="0" w:line="250" w:lineRule="auto"/>
        <w:rPr>
          <w:sz w:val="20"/>
          <w:szCs w:val="20"/>
          <w:color w:val="auto"/>
        </w:rPr>
      </w:pPr>
      <w:r>
        <w:rPr>
          <w:rFonts w:ascii="Arial" w:cs="Arial" w:eastAsia="Arial" w:hAnsi="Arial"/>
          <w:sz w:val="22"/>
          <w:szCs w:val="22"/>
          <w:color w:val="auto"/>
        </w:rPr>
        <w:t>Execution Date, in a manner that would materially and adversely affect GSK’s rights or licenses under this Agreement without first obtaining GSK’s written consent.</w:t>
      </w:r>
    </w:p>
    <w:p>
      <w:pPr>
        <w:spacing w:after="0" w:line="175" w:lineRule="exact"/>
        <w:rPr>
          <w:sz w:val="20"/>
          <w:szCs w:val="20"/>
          <w:color w:val="auto"/>
        </w:rPr>
      </w:pPr>
    </w:p>
    <w:p>
      <w:pPr>
        <w:jc w:val="both"/>
        <w:ind w:left="880" w:hanging="8"/>
        <w:spacing w:after="0" w:line="244" w:lineRule="auto"/>
        <w:tabs>
          <w:tab w:leader="none" w:pos="1792" w:val="left"/>
        </w:tabs>
        <w:numPr>
          <w:ilvl w:val="0"/>
          <w:numId w:val="152"/>
        </w:numPr>
        <w:rPr>
          <w:rFonts w:ascii="Arial" w:cs="Arial" w:eastAsia="Arial" w:hAnsi="Arial"/>
          <w:sz w:val="21"/>
          <w:szCs w:val="21"/>
          <w:b w:val="1"/>
          <w:bCs w:val="1"/>
          <w:color w:val="auto"/>
        </w:rPr>
      </w:pPr>
      <w:r>
        <w:rPr>
          <w:rFonts w:ascii="Arial" w:cs="Arial" w:eastAsia="Arial" w:hAnsi="Arial"/>
          <w:sz w:val="21"/>
          <w:szCs w:val="21"/>
          <w:color w:val="auto"/>
        </w:rPr>
        <w:t>During the Term, each Party will, and will ensure that its Affiliates, licensees, sublicensees and subcontractors obtain written agreements from any and all Persons involved in or performing any Development activities by or on behalf of such Party under this Agreement that (i) presently assign such Persons’ rights, title, and interests in and to any Agreement Know-How or Agreement Patents to the Party that is the counterparty to such agreements, in each case, prior to any such Persons performing such Development activities, (ii) require such Persons to promptly report any invention, discovery, or other Intellectual Property to the Party that is the counterparty to such agreements, (iii) require such Persons to cooperate in the preparation, filing, prosecution, maintenance and enforcement of any patents and patent applications by the Party that is the counterparty to such agreements, and (iv) require such Persons to perform all acts and signing, executing, acknowledging, and delivering any and all documents required for effecting the obligations and purposes of this Agreement. It is understood and agreed that such invention assignment agreement need not reference this Agreement.</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Disclaimer</w:t>
      </w:r>
    </w:p>
    <w:p>
      <w:pPr>
        <w:spacing w:after="0" w:line="212" w:lineRule="exact"/>
        <w:rPr>
          <w:sz w:val="20"/>
          <w:szCs w:val="20"/>
          <w:color w:val="auto"/>
        </w:rPr>
      </w:pPr>
    </w:p>
    <w:p>
      <w:pPr>
        <w:ind w:left="880" w:hanging="806"/>
        <w:spacing w:after="0" w:line="244" w:lineRule="auto"/>
        <w:tabs>
          <w:tab w:leader="none" w:pos="214" w:val="left"/>
        </w:tabs>
        <w:numPr>
          <w:ilvl w:val="0"/>
          <w:numId w:val="153"/>
        </w:numPr>
        <w:rPr>
          <w:rFonts w:ascii="Arial" w:cs="Arial" w:eastAsia="Arial" w:hAnsi="Arial"/>
          <w:sz w:val="21"/>
          <w:szCs w:val="21"/>
          <w:color w:val="auto"/>
        </w:rPr>
      </w:pPr>
      <w:r>
        <w:rPr>
          <w:rFonts w:ascii="Arial" w:cs="Arial" w:eastAsia="Arial" w:hAnsi="Arial"/>
          <w:sz w:val="21"/>
          <w:szCs w:val="21"/>
          <w:color w:val="auto"/>
        </w:rPr>
        <w:t>EXCEPT AS OTHERWISE EXPRESSLY SET FORTH IN THIS AGREEMENT, INCLUDING AS SET FORTH IN THIS ARTICLE 8, NEITHER PARTY NOR ANY OF ITS AFFILIATES MAKES ANY REPRESENTATION OR EXTENDS ANY WARRANTIES OF ANY KIND, EITHER EXPRESS OR IMPLIED, TO THE OTHER PARTY OR ANY OF ITS AFFILIATES, AND EACH PARTY HEREBY DISCLAIMS ALL IMPLIED WARRANTIES OF QUALITY, MERCHANTABILITY, FITNESS FOR A PARTICULAR PURPOSE, AND NON-INFRINGEMENT OF ANY INTELLECTUAL PROPERTY RIGHTS OF THIRD PARTIES. EACH PARTY UNDERSTANDS THAT THE COMPOUND AND PRODUCTS ARE THE SUBJECT OF ONGOING RESEARCH AND DEVELOPMENT, AND THAT NEITHER PARTY CAN ASSURE, AND EACH PARTY HEREBY DISCLAIMS ANY REPRESENTATION OR WARRANTY, THAT THE DEVELOPMENT, MANUFACTURE AND COMMERCIALIZATION OF THE COMPOUND OR PRODUCTS PURSUANT TO THIS AGREEMENT WILL RECEIVE REGULATORY APPROVAL OR WILL BE SAFE, EFFECTIVE, USEFUL OR SUCCESSFUL OR THAT ANY PARTICULAR SALES LEVEL WITH RESPECT TO THE COMPOUND OR PRODUCTS WILL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-1573530</wp:posOffset>
            </wp:positionV>
            <wp:extent cx="7251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5170" cy="8890"/>
                    </a:xfrm>
                    <a:prstGeom prst="rect">
                      <a:avLst/>
                    </a:prstGeom>
                    <a:noFill/>
                  </pic:spPr>
                </pic:pic>
              </a:graphicData>
            </a:graphic>
          </wp:anchor>
        </w:drawing>
      </w:r>
    </w:p>
    <w:p>
      <w:pPr>
        <w:spacing w:after="0" w:line="16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Indemnification by GSK</w:t>
      </w:r>
    </w:p>
    <w:p>
      <w:pPr>
        <w:spacing w:after="0" w:line="212" w:lineRule="exact"/>
        <w:rPr>
          <w:sz w:val="20"/>
          <w:szCs w:val="20"/>
          <w:color w:val="auto"/>
        </w:rPr>
      </w:pPr>
    </w:p>
    <w:p>
      <w:pPr>
        <w:ind w:left="880" w:hanging="806"/>
        <w:spacing w:after="0" w:line="282" w:lineRule="auto"/>
        <w:tabs>
          <w:tab w:leader="none" w:pos="201"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9</w:t>
      </w:r>
      <w:r>
        <w:rPr>
          <w:rFonts w:ascii="Arial" w:cs="Arial" w:eastAsia="Arial" w:hAnsi="Arial"/>
          <w:sz w:val="19"/>
          <w:szCs w:val="19"/>
          <w:color w:val="auto"/>
        </w:rPr>
        <w:t>, GSK shall indemnify, defend and hold harmless Arrowhead and its Affiliates and each of their respective Personnel (collectively, the “</w:t>
      </w:r>
      <w:r>
        <w:rPr>
          <w:rFonts w:ascii="Arial" w:cs="Arial" w:eastAsia="Arial" w:hAnsi="Arial"/>
          <w:sz w:val="19"/>
          <w:szCs w:val="19"/>
          <w:b w:val="1"/>
          <w:bCs w:val="1"/>
          <w:color w:val="auto"/>
        </w:rPr>
        <w:t>Arrowhead Indemnitees</w:t>
      </w:r>
      <w:r>
        <w:rPr>
          <w:rFonts w:ascii="Arial" w:cs="Arial" w:eastAsia="Arial" w:hAnsi="Arial"/>
          <w:sz w:val="19"/>
          <w:szCs w:val="19"/>
          <w:color w:val="auto"/>
        </w:rPr>
        <w:t>”) from and against any and all liability, damage, loss, fines, penalties, cost or expense (including reasonable attorneys’ fees) (“</w:t>
      </w:r>
      <w:r>
        <w:rPr>
          <w:rFonts w:ascii="Arial" w:cs="Arial" w:eastAsia="Arial" w:hAnsi="Arial"/>
          <w:sz w:val="19"/>
          <w:szCs w:val="19"/>
          <w:b w:val="1"/>
          <w:bCs w:val="1"/>
          <w:color w:val="auto"/>
        </w:rPr>
        <w:t>Losses</w:t>
      </w:r>
      <w:r>
        <w:rPr>
          <w:rFonts w:ascii="Arial" w:cs="Arial" w:eastAsia="Arial" w:hAnsi="Arial"/>
          <w:sz w:val="19"/>
          <w:szCs w:val="19"/>
          <w:color w:val="auto"/>
        </w:rPr>
        <w:t>”) incurred by or rendered against such Arrowhead Indemnitee in connection with Third Party claims, investigations, demands or suits (“</w:t>
      </w:r>
      <w:r>
        <w:rPr>
          <w:rFonts w:ascii="Arial" w:cs="Arial" w:eastAsia="Arial" w:hAnsi="Arial"/>
          <w:sz w:val="19"/>
          <w:szCs w:val="19"/>
          <w:b w:val="1"/>
          <w:bCs w:val="1"/>
          <w:color w:val="auto"/>
        </w:rPr>
        <w:t>Third Party Claims</w:t>
      </w:r>
      <w:r>
        <w:rPr>
          <w:rFonts w:ascii="Arial" w:cs="Arial" w:eastAsia="Arial" w:hAnsi="Arial"/>
          <w:sz w:val="19"/>
          <w:szCs w:val="19"/>
          <w:color w:val="auto"/>
        </w:rPr>
        <w:t>”) to the extent arising out of or resulting from: (a) GSK’s or any of its GSK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right="260" w:firstLine="8"/>
        <w:spacing w:after="0" w:line="266" w:lineRule="auto"/>
        <w:tabs>
          <w:tab w:leader="none" w:pos="435"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5" w:lineRule="auto"/>
        <w:rPr>
          <w:sz w:val="20"/>
          <w:szCs w:val="20"/>
          <w:color w:val="auto"/>
        </w:rPr>
      </w:pPr>
      <w:r>
        <w:rPr>
          <w:rFonts w:ascii="Arial" w:cs="Arial" w:eastAsia="Arial" w:hAnsi="Arial"/>
          <w:sz w:val="22"/>
          <w:szCs w:val="22"/>
          <w:color w:val="auto"/>
        </w:rPr>
        <w:t xml:space="preserve">Indemnitees’ gross negligence, reckless conduct or willful misconduct; (b) any breach by GSK of this Agreement of its representations and warranties, covenants or obligations set forth in this Agreement; or (c) the Development, Manufacture or Commercialization of the Compound or any Products by or on behalf of GSK or its Affiliates or Sublicensees in the GSK Territory on or after the Effective Date; provided, however, that GSK’s obligations pursuant to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shall not apply to the extent such claims or suits are covered by Arrowhead’s obligations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9.2</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Indemnification by Arrowhead</w:t>
      </w:r>
    </w:p>
    <w:p>
      <w:pPr>
        <w:spacing w:after="0" w:line="212" w:lineRule="exact"/>
        <w:rPr>
          <w:sz w:val="20"/>
          <w:szCs w:val="20"/>
          <w:color w:val="auto"/>
        </w:rPr>
      </w:pPr>
    </w:p>
    <w:p>
      <w:pPr>
        <w:ind w:left="880" w:hanging="806"/>
        <w:spacing w:after="0" w:line="272" w:lineRule="auto"/>
        <w:tabs>
          <w:tab w:leader="none" w:pos="19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9</w:t>
      </w:r>
      <w:r>
        <w:rPr>
          <w:rFonts w:ascii="Arial" w:cs="Arial" w:eastAsia="Arial" w:hAnsi="Arial"/>
          <w:sz w:val="19"/>
          <w:szCs w:val="19"/>
          <w:color w:val="auto"/>
        </w:rPr>
        <w:t>, Arrowhead shall indemnify, defend and hold harmless GSK, its Affiliates and each of their respective Personnel (collectively, the “</w:t>
      </w:r>
      <w:r>
        <w:rPr>
          <w:rFonts w:ascii="Arial" w:cs="Arial" w:eastAsia="Arial" w:hAnsi="Arial"/>
          <w:sz w:val="19"/>
          <w:szCs w:val="19"/>
          <w:b w:val="1"/>
          <w:bCs w:val="1"/>
          <w:color w:val="auto"/>
        </w:rPr>
        <w:t>GSK Indemnitees</w:t>
      </w:r>
      <w:r>
        <w:rPr>
          <w:rFonts w:ascii="Arial" w:cs="Arial" w:eastAsia="Arial" w:hAnsi="Arial"/>
          <w:sz w:val="19"/>
          <w:szCs w:val="19"/>
          <w:color w:val="auto"/>
        </w:rPr>
        <w:t xml:space="preserve">”) from and against any and all Losses incurred by or rendered against such Arrowhead Indemnitee in connection with Third Party Claims to the extent arising out of or resulting from: (a) Arrowhead’s or any of Arrowhead Indemnitee’s gross negligence, reckless conduct or willful misconduct; (b) any breach by Arrowhead of this Agreement of its representations and warranties, covenants or obligations set forth in this Agreement; (c) the Development, Manufacture or Commercialization of the Compound or any Product by or on behalf of Arrowhead or any of its Affiliates, licensees or sublicensees in the GSK Territory prior to the Effective Date or following any termination of this Agreement; (d) the performance of the Ongoing Phase I Clinical Trial; or (e) the Development, Manufacture or Commercialization of the Compound or any Product by or on behalf of Arrowhead or any of its Affiliates, licensees or sublicensees in the Arrowhead Territory; provided, however, that Arrowhead’s obligations pursuant to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not apply to the extent that such claims or suits are covered by GSK’s obligations under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200" w:lineRule="exact"/>
        <w:rPr>
          <w:sz w:val="20"/>
          <w:szCs w:val="20"/>
          <w:color w:val="auto"/>
        </w:rPr>
      </w:pP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Notification of Claims; Conditions to Indemnification Obligations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71" w:lineRule="auto"/>
        <w:tabs>
          <w:tab w:leader="none" w:pos="1780" w:val="left"/>
        </w:tabs>
        <w:numPr>
          <w:ilvl w:val="0"/>
          <w:numId w:val="157"/>
        </w:numPr>
        <w:rPr>
          <w:rFonts w:ascii="Arial" w:cs="Arial" w:eastAsia="Arial" w:hAnsi="Arial"/>
          <w:sz w:val="19"/>
          <w:szCs w:val="19"/>
          <w:b w:val="1"/>
          <w:bCs w:val="1"/>
          <w:color w:val="auto"/>
        </w:rPr>
      </w:pPr>
      <w:r>
        <w:rPr>
          <w:rFonts w:ascii="Arial" w:cs="Arial" w:eastAsia="Arial" w:hAnsi="Arial"/>
          <w:sz w:val="19"/>
          <w:szCs w:val="19"/>
          <w:color w:val="auto"/>
        </w:rPr>
        <w:t xml:space="preserve">As a condition to a Party’s right to receive indemnification under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with respect to any Third Party Claim, it shall: (i) promptly notify the other Party as soon as it becomes aware of a Third Party Claim for which indemnification may be sought pursuant hereto, provided that the failure to give such notice will not relieve the indemnifying Party of its indemnity obligation hereunder except to the extent that such failure materially prejudices the indemnifying Party; (ii) cooperate, and cause the individual Indemnitees to cooperate, with the indemnifying Party in the defense, settlement or compromise of such Third Party Claim; and (iii) permit the indemnifying Party to control the defense, settlement or compromise of such Third Party Claim, including the right to select defense counsel. In no event, however, may the indemnifying Party compromise or settle any Third Party Claim in a manner which admits fault or negligence on the part of the indemnified Party or any Indemnitee without the prior consent of the indemnified Party. Each Party shall reasonably cooperate with the other Party and its counsel in the course of the defense of any such Third Party Claim, such cooperation to include using reasonable efforts to provide or make available documents, information and witnesses. In any such proceeding, the indemnified Party will have the right to retain its own counsel, but the fees and expenses of such counsel will be at the expense of the indemnified Party unless (A) the indemnifying Party and the indemnified Party will have agreed to the retention of such counsel or (B) the named parties to any such proceeding (including any impleaded parties) include both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right="260" w:firstLine="8"/>
        <w:spacing w:after="0" w:line="266" w:lineRule="auto"/>
        <w:tabs>
          <w:tab w:leader="none" w:pos="435"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 xml:space="preserve">indemnifying Party and the indemnified Party and representation of both Parties by the same counsel would be inappropriate due to actual or potential differing interests between them. All such fees and expenses of the Indemnified Party by application of the foregoing clause (A) or (B) will be reimbursed by the indemnifying Party as they are incurred. The indemnifying Party shall have no liability under this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with respect to any such Third Party Claims settled or compromised without its prior written consent.</w:t>
      </w:r>
    </w:p>
    <w:p>
      <w:pPr>
        <w:spacing w:after="0" w:line="187" w:lineRule="exact"/>
        <w:rPr>
          <w:sz w:val="20"/>
          <w:szCs w:val="20"/>
          <w:color w:val="auto"/>
        </w:rPr>
      </w:pPr>
    </w:p>
    <w:p>
      <w:pPr>
        <w:jc w:val="both"/>
        <w:ind w:left="880" w:hanging="8"/>
        <w:spacing w:after="0" w:line="238" w:lineRule="auto"/>
        <w:tabs>
          <w:tab w:leader="none" w:pos="1792" w:val="left"/>
        </w:tabs>
        <w:numPr>
          <w:ilvl w:val="0"/>
          <w:numId w:val="159"/>
        </w:numPr>
        <w:rPr>
          <w:rFonts w:ascii="Arial" w:cs="Arial" w:eastAsia="Arial" w:hAnsi="Arial"/>
          <w:sz w:val="22"/>
          <w:szCs w:val="22"/>
          <w:b w:val="1"/>
          <w:bCs w:val="1"/>
          <w:color w:val="auto"/>
        </w:rPr>
      </w:pPr>
      <w:r>
        <w:rPr>
          <w:rFonts w:ascii="Arial" w:cs="Arial" w:eastAsia="Arial" w:hAnsi="Arial"/>
          <w:sz w:val="22"/>
          <w:szCs w:val="22"/>
          <w:color w:val="auto"/>
        </w:rPr>
        <w:t xml:space="preserve">In the event that notice of any Third Party Claim for indemnification under this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has been timely given within the applicable survival period, the representations, warranties, covenants and agreements that are the subject of such indemnification shall survive with respect to such claim or suit until such time as such claim or suit is finally resolved.</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Certain Limitations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79" w:lineRule="auto"/>
        <w:tabs>
          <w:tab w:leader="none" w:pos="1780" w:val="left"/>
        </w:tabs>
        <w:numPr>
          <w:ilvl w:val="0"/>
          <w:numId w:val="160"/>
        </w:numPr>
        <w:rPr>
          <w:rFonts w:ascii="Arial" w:cs="Arial" w:eastAsia="Arial" w:hAnsi="Arial"/>
          <w:sz w:val="19"/>
          <w:szCs w:val="19"/>
          <w:b w:val="1"/>
          <w:bCs w:val="1"/>
          <w:color w:val="auto"/>
        </w:rPr>
      </w:pPr>
      <w:r>
        <w:rPr>
          <w:rFonts w:ascii="Arial" w:cs="Arial" w:eastAsia="Arial" w:hAnsi="Arial"/>
          <w:sz w:val="19"/>
          <w:szCs w:val="19"/>
          <w:color w:val="auto"/>
        </w:rPr>
        <w:t>In any case where an indemnified Party recovers from Third Parties any amount in respect of a matter with respect to which an indemnifying Party has indemnified it pursuant to this Article 9, such indemnified Party shall promptly pay over to the indemnifying Party the amount so recovered (after deducting therefrom the full amount of the expenses incurred by it in procuring such recovery), but not in excess of the sum of (i) any amount previously so paid by the indemnifying Party to or on behalf of the indemnified Party in respect of such matter and (i) any amount expended by the indemnifying Party in pursuing or defending any claim arising out of such matter.</w:t>
      </w:r>
    </w:p>
    <w:p>
      <w:pPr>
        <w:spacing w:after="0" w:line="150" w:lineRule="exact"/>
        <w:rPr>
          <w:rFonts w:ascii="Arial" w:cs="Arial" w:eastAsia="Arial" w:hAnsi="Arial"/>
          <w:sz w:val="19"/>
          <w:szCs w:val="19"/>
          <w:b w:val="1"/>
          <w:bCs w:val="1"/>
          <w:color w:val="auto"/>
        </w:rPr>
      </w:pPr>
    </w:p>
    <w:p>
      <w:pPr>
        <w:jc w:val="both"/>
        <w:ind w:left="880" w:hanging="8"/>
        <w:spacing w:after="0" w:line="238" w:lineRule="auto"/>
        <w:tabs>
          <w:tab w:leader="none" w:pos="1792" w:val="left"/>
        </w:tabs>
        <w:numPr>
          <w:ilvl w:val="0"/>
          <w:numId w:val="160"/>
        </w:numPr>
        <w:rPr>
          <w:rFonts w:ascii="Arial" w:cs="Arial" w:eastAsia="Arial" w:hAnsi="Arial"/>
          <w:sz w:val="22"/>
          <w:szCs w:val="22"/>
          <w:b w:val="1"/>
          <w:bCs w:val="1"/>
          <w:color w:val="auto"/>
        </w:rPr>
      </w:pPr>
      <w:r>
        <w:rPr>
          <w:rFonts w:ascii="Arial" w:cs="Arial" w:eastAsia="Arial" w:hAnsi="Arial"/>
          <w:sz w:val="22"/>
          <w:szCs w:val="22"/>
          <w:color w:val="auto"/>
        </w:rPr>
        <w:t>In calculating any Losses, there shall be deducted any insurance recovery in respect thereof (and no right of subrogation shall accrue hereunder to any insurer), less any current or prospective costs associated with such insurance recovery, and the Party seeking indemnification hereunder may pursue in its sole discretion, and shall not be obligated to pursue, an insurance recovery to the extent available.</w:t>
      </w:r>
    </w:p>
    <w:p>
      <w:pPr>
        <w:spacing w:after="0" w:line="184" w:lineRule="exact"/>
        <w:rPr>
          <w:rFonts w:ascii="Arial" w:cs="Arial" w:eastAsia="Arial" w:hAnsi="Arial"/>
          <w:sz w:val="22"/>
          <w:szCs w:val="22"/>
          <w:b w:val="1"/>
          <w:bCs w:val="1"/>
          <w:color w:val="auto"/>
        </w:rPr>
      </w:pPr>
    </w:p>
    <w:p>
      <w:pPr>
        <w:jc w:val="both"/>
        <w:ind w:left="880" w:hanging="8"/>
        <w:spacing w:after="0"/>
        <w:tabs>
          <w:tab w:leader="none" w:pos="1768" w:val="left"/>
        </w:tabs>
        <w:numPr>
          <w:ilvl w:val="0"/>
          <w:numId w:val="160"/>
        </w:numPr>
        <w:rPr>
          <w:rFonts w:ascii="Arial" w:cs="Arial" w:eastAsia="Arial" w:hAnsi="Arial"/>
          <w:sz w:val="22"/>
          <w:szCs w:val="22"/>
          <w:b w:val="1"/>
          <w:bCs w:val="1"/>
          <w:color w:val="auto"/>
        </w:rPr>
      </w:pPr>
      <w:r>
        <w:rPr>
          <w:rFonts w:ascii="Arial" w:cs="Arial" w:eastAsia="Arial" w:hAnsi="Arial"/>
          <w:sz w:val="22"/>
          <w:szCs w:val="22"/>
          <w:color w:val="auto"/>
        </w:rPr>
        <w:t>Each Party agrees to take all reasonable steps to mitigate their respective Losses upon and after becoming aware of any event or condition which could reasonably be expected to give rise to any liability, damage, loss, cost or expense that is indemnifiable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-2002155</wp:posOffset>
            </wp:positionV>
            <wp:extent cx="501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Limitation of Liability</w:t>
      </w:r>
    </w:p>
    <w:p>
      <w:pPr>
        <w:spacing w:after="0" w:line="212" w:lineRule="exact"/>
        <w:rPr>
          <w:sz w:val="20"/>
          <w:szCs w:val="20"/>
          <w:color w:val="auto"/>
        </w:rPr>
      </w:pPr>
    </w:p>
    <w:p>
      <w:pPr>
        <w:ind w:left="880" w:hanging="806"/>
        <w:spacing w:after="0" w:line="246" w:lineRule="auto"/>
        <w:tabs>
          <w:tab w:leader="none" w:pos="241" w:val="left"/>
        </w:tabs>
        <w:numPr>
          <w:ilvl w:val="0"/>
          <w:numId w:val="161"/>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TO THE MAXIMUM EXTENT PERMITTED BY LAW, EXCEPT WITH RESPECT TO (A) EACH PARTY’S RESPECTIVE INDEMNIFICATION OBLIGATIONS FOR LOSSES CAUSED BY OR ARISING OUT OF THIRD PARTY CLAIMS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9.1 OR SECTION 9.2, AS APPLICABLE; (B) THE GROSS NEGLIGENCE, WILLFUL MISCONDUCT OR FRAUD OF A PARTY; (C) ARROWHEAD’S BREACH OF ITS OBLIGATIONS UNDER SECTION 2.7 OR SECTION 2.10; OR (D) EITHER PARTY’S BREACH OF ITS CONFIDENTIALITY AND NON-USE OBLIGATIONS UNDER </w:t>
      </w:r>
      <w:r>
        <w:rPr>
          <w:rFonts w:ascii="Arial" w:cs="Arial" w:eastAsia="Arial" w:hAnsi="Arial"/>
          <w:sz w:val="21"/>
          <w:szCs w:val="21"/>
          <w:u w:val="single" w:color="auto"/>
          <w:color w:val="auto"/>
        </w:rPr>
        <w:t>ARTICLE 7</w:t>
      </w:r>
      <w:r>
        <w:rPr>
          <w:rFonts w:ascii="Arial" w:cs="Arial" w:eastAsia="Arial" w:hAnsi="Arial"/>
          <w:sz w:val="21"/>
          <w:szCs w:val="21"/>
          <w:color w:val="auto"/>
        </w:rPr>
        <w:t>, IN NO EVENT SHALL EITHER PARTY OR ANY OF ITS AFFILIATES BE LIABLE TO THE OTHER PARTY OR ANY OF ITS AFFILIATES FOR ANY INDIRECT, PUNITIVE,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-651510</wp:posOffset>
            </wp:positionV>
            <wp:extent cx="13265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3265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-497205</wp:posOffset>
            </wp:positionV>
            <wp:extent cx="819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1915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-342900</wp:posOffset>
            </wp:positionV>
            <wp:extent cx="9302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93027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right="260" w:firstLine="8"/>
        <w:spacing w:after="0" w:line="266" w:lineRule="auto"/>
        <w:tabs>
          <w:tab w:leader="none" w:pos="435"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4" w:lineRule="auto"/>
        <w:rPr>
          <w:sz w:val="20"/>
          <w:szCs w:val="20"/>
          <w:color w:val="auto"/>
        </w:rPr>
      </w:pPr>
      <w:r>
        <w:rPr>
          <w:rFonts w:ascii="Arial" w:cs="Arial" w:eastAsia="Arial" w:hAnsi="Arial"/>
          <w:sz w:val="22"/>
          <w:szCs w:val="22"/>
          <w:color w:val="auto"/>
        </w:rPr>
        <w:t>INCIDENTAL, EXEMPLARY OR CONSEQUENTIAL DAMAGES (INCLUDING FOR LOST REVENUES AND LOST PROFITS (WHETHER DIRECT OR INDIRECT)), REGARDLESS OF THE THEORY OF LIABILITY (INCLUDING CONTRACT, TORT, NEGLIGENCE, STRICT LIABILITY OR OTHERWISE), IN EACH CASE, ARISING OUT OF OR RELATING TO THIS AGREEMENT, THE TRANSACTIONS CONTEMPLATED HEREIN OR ANY BREACH HEREOF, IRRESPECTIVE OF WHETHER SUCH PARTY OR ANY REPRESENTATIVE OF SUCH PARTY HAS BEEN ADVISED OF, OR OTHERWISE MIGHT HAVE ANTICIPATED THE POSSIBILITY OF, ANY SUCH LOSS OR DAMAGE OR WHETHER SUCH LOSS OR DAMAGE WAS REASONABLY FORESEEABLE.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Insurance</w:t>
      </w:r>
    </w:p>
    <w:p>
      <w:pPr>
        <w:spacing w:after="0" w:line="212" w:lineRule="exact"/>
        <w:rPr>
          <w:sz w:val="20"/>
          <w:szCs w:val="20"/>
          <w:color w:val="auto"/>
        </w:rPr>
      </w:pPr>
    </w:p>
    <w:p>
      <w:pPr>
        <w:ind w:left="880" w:hanging="806"/>
        <w:spacing w:after="0" w:line="246" w:lineRule="auto"/>
        <w:tabs>
          <w:tab w:leader="none" w:pos="333" w:val="left"/>
        </w:tabs>
        <w:numPr>
          <w:ilvl w:val="0"/>
          <w:numId w:val="163"/>
        </w:numPr>
        <w:rPr>
          <w:rFonts w:ascii="Arial" w:cs="Arial" w:eastAsia="Arial" w:hAnsi="Arial"/>
          <w:sz w:val="21"/>
          <w:szCs w:val="21"/>
          <w:color w:val="auto"/>
        </w:rPr>
      </w:pPr>
      <w:r>
        <w:rPr>
          <w:rFonts w:ascii="Arial" w:cs="Arial" w:eastAsia="Arial" w:hAnsi="Arial"/>
          <w:sz w:val="21"/>
          <w:szCs w:val="21"/>
          <w:color w:val="auto"/>
        </w:rPr>
        <w:t>Each Party will maintain, at its cost, reasonable insurance against liability and other risks associated with its activities contemplated by this Agreement and will furnish to the other Party evidence of such insurance upon request; provided that each Party shall maintain insurance in such amounts and on such terms based on advice from insurance professionals for companies of similar size and with similar resources; provided, further, that if, at any time during the Term, a Party ceases to maintain the same level of insurance coverage with respect to such Party’s obligations under this Agreement, such Party shall promptly notify the other Party thereof. Notwithstanding the foregoing, a Party may self-insure to the extent that it self-insures for its other activities.</w:t>
      </w:r>
    </w:p>
    <w:p>
      <w:pPr>
        <w:spacing w:after="0" w:line="17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Term and Expiration</w:t>
      </w:r>
    </w:p>
    <w:p>
      <w:pPr>
        <w:spacing w:after="0" w:line="206" w:lineRule="exact"/>
        <w:rPr>
          <w:sz w:val="20"/>
          <w:szCs w:val="20"/>
          <w:color w:val="auto"/>
        </w:rPr>
      </w:pPr>
    </w:p>
    <w:p>
      <w:pPr>
        <w:ind w:left="880" w:hanging="806"/>
        <w:spacing w:after="0" w:line="254" w:lineRule="auto"/>
        <w:tabs>
          <w:tab w:leader="none" w:pos="222" w:val="left"/>
        </w:tabs>
        <w:numPr>
          <w:ilvl w:val="0"/>
          <w:numId w:val="164"/>
        </w:numPr>
        <w:rPr>
          <w:rFonts w:ascii="Arial" w:cs="Arial" w:eastAsia="Arial" w:hAnsi="Arial"/>
          <w:sz w:val="21"/>
          <w:szCs w:val="21"/>
          <w:color w:val="auto"/>
        </w:rPr>
      </w:pPr>
      <w:r>
        <w:rPr>
          <w:rFonts w:ascii="Arial" w:cs="Arial" w:eastAsia="Arial" w:hAnsi="Arial"/>
          <w:sz w:val="21"/>
          <w:szCs w:val="21"/>
          <w:color w:val="auto"/>
        </w:rPr>
        <w:t>Subject to Article 11, the term of this Agreement (the “</w:t>
      </w:r>
      <w:r>
        <w:rPr>
          <w:rFonts w:ascii="Arial" w:cs="Arial" w:eastAsia="Arial" w:hAnsi="Arial"/>
          <w:sz w:val="21"/>
          <w:szCs w:val="21"/>
          <w:b w:val="1"/>
          <w:bCs w:val="1"/>
          <w:color w:val="auto"/>
        </w:rPr>
        <w:t>Term</w:t>
      </w:r>
      <w:r>
        <w:rPr>
          <w:rFonts w:ascii="Arial" w:cs="Arial" w:eastAsia="Arial" w:hAnsi="Arial"/>
          <w:sz w:val="21"/>
          <w:szCs w:val="21"/>
          <w:color w:val="auto"/>
        </w:rPr>
        <w:t xml:space="preserve">”) shall commence on the Effective Date and, unless earlier terminated as provided in this </w:t>
      </w:r>
      <w:r>
        <w:rPr>
          <w:rFonts w:ascii="Arial" w:cs="Arial" w:eastAsia="Arial" w:hAnsi="Arial"/>
          <w:sz w:val="21"/>
          <w:szCs w:val="21"/>
          <w:u w:val="single" w:color="auto"/>
          <w:color w:val="auto"/>
        </w:rPr>
        <w:t>Article 10</w:t>
      </w:r>
      <w:r>
        <w:rPr>
          <w:rFonts w:ascii="Arial" w:cs="Arial" w:eastAsia="Arial" w:hAnsi="Arial"/>
          <w:sz w:val="21"/>
          <w:szCs w:val="21"/>
          <w:color w:val="auto"/>
        </w:rPr>
        <w:t>, shall continue in full force and effect, on a country-by-country and Product-by-Product basis, until the expiration of the Royalty Term for the applicable Product in such country; provided that this Agreement shall terminate in its entirety upon the last to expire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-502285</wp:posOffset>
            </wp:positionV>
            <wp:extent cx="5645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64515" cy="8890"/>
                    </a:xfrm>
                    <a:prstGeom prst="rect">
                      <a:avLst/>
                    </a:prstGeom>
                    <a:noFill/>
                  </pic:spPr>
                </pic:pic>
              </a:graphicData>
            </a:graphic>
          </wp:anchor>
        </w:drawing>
      </w:r>
    </w:p>
    <w:p>
      <w:pPr>
        <w:spacing w:after="0" w:line="14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Termination for Convenience by GSK</w:t>
      </w:r>
    </w:p>
    <w:p>
      <w:pPr>
        <w:spacing w:after="0" w:line="212" w:lineRule="exact"/>
        <w:rPr>
          <w:sz w:val="20"/>
          <w:szCs w:val="20"/>
          <w:color w:val="auto"/>
        </w:rPr>
      </w:pPr>
    </w:p>
    <w:p>
      <w:pPr>
        <w:ind w:left="880" w:hanging="806"/>
        <w:spacing w:after="0"/>
        <w:tabs>
          <w:tab w:leader="none" w:pos="21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At any time during the Term, GSK may, at its convenience, terminate this Agreement (a) in its entirety; or (b) as to (i) the United States, (ii) all of the Major European Countries, or (iii) Japan, in each case ((i), (ii) and (iii)), for the Compound and all Products, immediately upon [***] prior written notice to Arrowhead.</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Termination for Material Breach</w:t>
      </w:r>
    </w:p>
    <w:p>
      <w:pPr>
        <w:spacing w:after="0" w:line="206" w:lineRule="exact"/>
        <w:rPr>
          <w:sz w:val="20"/>
          <w:szCs w:val="20"/>
          <w:color w:val="auto"/>
        </w:rPr>
      </w:pPr>
    </w:p>
    <w:p>
      <w:pPr>
        <w:ind w:left="3460" w:hanging="2389"/>
        <w:spacing w:after="0" w:line="274" w:lineRule="auto"/>
        <w:tabs>
          <w:tab w:leader="none" w:pos="121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Upon any material breach of this Agreement by a Party (the “</w:t>
      </w:r>
      <w:r>
        <w:rPr>
          <w:rFonts w:ascii="Arial" w:cs="Arial" w:eastAsia="Arial" w:hAnsi="Arial"/>
          <w:sz w:val="19"/>
          <w:szCs w:val="19"/>
          <w:b w:val="1"/>
          <w:bCs w:val="1"/>
          <w:color w:val="auto"/>
        </w:rPr>
        <w:t>Breaching Party</w:t>
      </w:r>
      <w:r>
        <w:rPr>
          <w:rFonts w:ascii="Arial" w:cs="Arial" w:eastAsia="Arial" w:hAnsi="Arial"/>
          <w:sz w:val="19"/>
          <w:szCs w:val="19"/>
          <w:color w:val="auto"/>
        </w:rPr>
        <w:t>”), the other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will have the right, but not the obligation, to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 its entirety upon written notice of termination to the other Party, provided that such termination will not be effective if such breach has been cured within [***] after written notice has been given by the Non-Breaching Party to the Breaching Party of the applicable breach, and, further provided that, the Non-Breaching Party may, by notice to the Breaching Party, designate a later date for such termination in order to facilitate an orderly transition of activities relating to all Products for the GSK Territory. Any such notice of breach will, in each case, (a) expressly reference this Section 10.3; (b) reasonably describe the alleged breach which is the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-44450</wp:posOffset>
            </wp:positionV>
            <wp:extent cx="7283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right="260" w:firstLine="8"/>
        <w:spacing w:after="0" w:line="266" w:lineRule="auto"/>
        <w:tabs>
          <w:tab w:leader="none" w:pos="43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3460"/>
        <w:spacing w:after="0" w:line="269" w:lineRule="auto"/>
        <w:rPr>
          <w:sz w:val="20"/>
          <w:szCs w:val="20"/>
          <w:color w:val="auto"/>
        </w:rPr>
      </w:pPr>
      <w:r>
        <w:rPr>
          <w:rFonts w:ascii="Arial" w:cs="Arial" w:eastAsia="Arial" w:hAnsi="Arial"/>
          <w:sz w:val="19"/>
          <w:szCs w:val="19"/>
          <w:color w:val="auto"/>
        </w:rPr>
        <w:t xml:space="preserve">of such notice; and (c) clearly state the Non-Breaching Party’s intent to terminate this Agreement if the alleged breach is not cured within the applicable cure period. Notwithstanding the foregoing, (i) if such material breach, by its nature, is curable, but is not reasonably curable within the applicable cure period, then such cure period will be extended if the Breaching Party provides a written plan for curing such breach to the Non-Breaching Party and uses Commercially Reasonable Efforts to cure such breach in accordance with such written plan; provided that no such extension will exceed [***] without the consent of the Non-Breaching Party; and (ii) if the Breaching Party disputes that it has materially breached this Agreement, the dispute will be resolved pursuant to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Notwithstanding the foregoing, if the Breaching Party disputes, acting reasonably and in good faith, the existence, materiality, or failure to cure of any such breach that is not a payment breach, and provides notice to the Non-Breaching Party of such dispute within the relevant cure period, the Non-Breaching Party will not have the right to terminate this Agreement in accordance with this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unless and until the relevant dispute has been resolved. Any such dispute will be resolved pursuant to the dispute resolution procedure set forth in </w:t>
      </w:r>
      <w:r>
        <w:rPr>
          <w:rFonts w:ascii="Arial" w:cs="Arial" w:eastAsia="Arial" w:hAnsi="Arial"/>
          <w:sz w:val="19"/>
          <w:szCs w:val="19"/>
          <w:u w:val="single" w:color="auto"/>
          <w:color w:val="auto"/>
        </w:rPr>
        <w:t>Article 12</w:t>
      </w:r>
      <w:r>
        <w:rPr>
          <w:rFonts w:ascii="Arial" w:cs="Arial" w:eastAsia="Arial" w:hAnsi="Arial"/>
          <w:sz w:val="19"/>
          <w:szCs w:val="19"/>
          <w:color w:val="auto"/>
        </w:rPr>
        <w:t>. It is understood and acknowledged that during the pendency of such dispute, all the terms and conditions of this Agreement will remain in effect and the Parties will continue to perform all of their respective obligations hereunder. Further, notwithstanding any provision to the contrary set forth in this Agreement, to the extent a material breach involves the failure to make a payment when due, such breach must be cured within [***] after written notice thereof is given by Arrowhead to GSK.</w:t>
      </w:r>
    </w:p>
    <w:p>
      <w:pPr>
        <w:spacing w:after="0" w:line="200" w:lineRule="exact"/>
        <w:rPr>
          <w:sz w:val="20"/>
          <w:szCs w:val="20"/>
          <w:color w:val="auto"/>
        </w:rPr>
      </w:pPr>
    </w:p>
    <w:p>
      <w:pPr>
        <w:spacing w:after="0" w:line="21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Termination for Insolvency</w:t>
      </w:r>
    </w:p>
    <w:p>
      <w:pPr>
        <w:spacing w:after="0" w:line="212" w:lineRule="exact"/>
        <w:rPr>
          <w:sz w:val="20"/>
          <w:szCs w:val="20"/>
          <w:color w:val="auto"/>
        </w:rPr>
      </w:pPr>
    </w:p>
    <w:p>
      <w:pPr>
        <w:jc w:val="both"/>
        <w:ind w:left="880" w:hanging="8"/>
        <w:spacing w:after="0" w:line="277" w:lineRule="auto"/>
        <w:tabs>
          <w:tab w:leader="none" w:pos="99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the event that either Party (a) files for protection under bankruptcy or insolvency laws; (b) makes an assignment for the benefit of creditors; (c) appoints or suffers appointment of a receiver or trustee over substantially all of its property that is not discharged within [***] after such filing; (d) proposes a written agreement of composition or extension of its debts; (e) proposes or is a party to any dissolution or liquidation of such Party; (f) files a petition under any bankruptcy or insolvency act or has any such petition filed against that is not discharged or dismissed within [***] of the filing thereof; or (g) admits in writing its inability generally to meet its obligations as they fall due in the general course, then the other Party may terminate this Agreement in its entirety effective immediately upon notice to such Party.</w:t>
      </w:r>
    </w:p>
    <w:p>
      <w:pPr>
        <w:spacing w:after="0" w:line="14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Termination for Safety Reasons</w:t>
      </w:r>
    </w:p>
    <w:p>
      <w:pPr>
        <w:spacing w:after="0" w:line="212" w:lineRule="exact"/>
        <w:rPr>
          <w:sz w:val="20"/>
          <w:szCs w:val="20"/>
          <w:color w:val="auto"/>
        </w:rPr>
      </w:pPr>
    </w:p>
    <w:p>
      <w:pPr>
        <w:ind w:left="880" w:hanging="806"/>
        <w:spacing w:after="0" w:line="274" w:lineRule="auto"/>
        <w:tabs>
          <w:tab w:leader="none" w:pos="20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GSK may terminate this Agreement in its entirety at any time upon prior written notice to Arrowhead (a) if senior executives responsible for GSK’s pharmacovigilance and clinical science functions determine in good faith that the risk or benefit profile of the Product is such that the Product cannot continue to be Developed or administered to patients safely; or (b) upon (i) the receipt of a material adverse regulatory determination by a Regulatory Authority in a Major Market regarding the Product (such as a Clinical Trial hold or suspension of Regulatory Approval), or (ii) the occurrence of serious Adverse Events related to the use of the Product that reasonably impact the patient population in the aggregate and that cause GSK to reasonably conclude in good faith that the continued use of the Product by patients will result in the patient population being exposed to a product for which the risks outweigh the benefits and that such risks cannot be ameliorated using Commercially Reasonable Efforts.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right="260" w:firstLine="8"/>
        <w:spacing w:after="0" w:line="266" w:lineRule="auto"/>
        <w:tabs>
          <w:tab w:leader="none" w:pos="435"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color w:val="auto"/>
        </w:rPr>
        <w:t>Effects of Expiration or Termination; Survival</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line="273" w:lineRule="auto"/>
        <w:tabs>
          <w:tab w:leader="none" w:pos="1780" w:val="left"/>
        </w:tabs>
        <w:numPr>
          <w:ilvl w:val="0"/>
          <w:numId w:val="171"/>
        </w:numPr>
        <w:rPr>
          <w:rFonts w:ascii="Arial" w:cs="Arial" w:eastAsia="Arial" w:hAnsi="Arial"/>
          <w:sz w:val="19"/>
          <w:szCs w:val="19"/>
          <w:b w:val="1"/>
          <w:bCs w:val="1"/>
          <w:color w:val="auto"/>
        </w:rPr>
      </w:pPr>
      <w:r>
        <w:rPr>
          <w:rFonts w:ascii="Arial" w:cs="Arial" w:eastAsia="Arial" w:hAnsi="Arial"/>
          <w:sz w:val="19"/>
          <w:szCs w:val="19"/>
          <w:color w:val="auto"/>
        </w:rPr>
        <w:t xml:space="preserve">In addition to the consequences set forth in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(and any other Sections that expressly survive pursuant to the terms herein or therein, as applicable), the following provisions shall survive expiration or termination of this Agreement in its entirety for any reason: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4.6 (solely with respect to any recall or market withdrawal (i) for which a Party has delivered notice to the other Party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prior to the effective date of such expiration or termination, or (ii) that is ongoing as of the effective date of such expiration or termination),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(inclusive, solely with respect to any payment obligations that accrued prior to the effective date of such expiration or termination),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7, Section 8.5</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provided that, for clarity, the foregoing shall not survive in the event of a termination prior to the Effective Date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except as otherwise provided therein.</w:t>
      </w:r>
    </w:p>
    <w:p>
      <w:pPr>
        <w:spacing w:after="0" w:line="160" w:lineRule="exact"/>
        <w:rPr>
          <w:rFonts w:ascii="Arial" w:cs="Arial" w:eastAsia="Arial" w:hAnsi="Arial"/>
          <w:sz w:val="19"/>
          <w:szCs w:val="19"/>
          <w:b w:val="1"/>
          <w:bCs w:val="1"/>
          <w:color w:val="auto"/>
        </w:rPr>
      </w:pPr>
    </w:p>
    <w:p>
      <w:pPr>
        <w:jc w:val="both"/>
        <w:ind w:left="880" w:hanging="8"/>
        <w:spacing w:after="0" w:line="234" w:lineRule="auto"/>
        <w:tabs>
          <w:tab w:leader="none" w:pos="1792" w:val="left"/>
        </w:tabs>
        <w:numPr>
          <w:ilvl w:val="0"/>
          <w:numId w:val="171"/>
        </w:numPr>
        <w:rPr>
          <w:rFonts w:ascii="Arial" w:cs="Arial" w:eastAsia="Arial" w:hAnsi="Arial"/>
          <w:sz w:val="22"/>
          <w:szCs w:val="22"/>
          <w:b w:val="1"/>
          <w:bCs w:val="1"/>
          <w:color w:val="auto"/>
        </w:rPr>
      </w:pPr>
      <w:r>
        <w:rPr>
          <w:rFonts w:ascii="Arial" w:cs="Arial" w:eastAsia="Arial" w:hAnsi="Arial"/>
          <w:sz w:val="22"/>
          <w:szCs w:val="22"/>
          <w:color w:val="auto"/>
        </w:rPr>
        <w:t xml:space="preserve">Expiration or termination of this Agreement shall not relieve the Parties of any obligation, including any payment obligation under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2.9(b), </w:t>
      </w:r>
      <w:r>
        <w:rPr>
          <w:rFonts w:ascii="Arial" w:cs="Arial" w:eastAsia="Arial" w:hAnsi="Arial"/>
          <w:sz w:val="22"/>
          <w:szCs w:val="22"/>
          <w:u w:val="single" w:color="auto"/>
          <w:color w:val="auto"/>
        </w:rPr>
        <w:t>2.10(d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6.4(g</w:t>
      </w:r>
      <w:r>
        <w:rPr>
          <w:rFonts w:ascii="Arial" w:cs="Arial" w:eastAsia="Arial" w:hAnsi="Arial"/>
          <w:sz w:val="22"/>
          <w:szCs w:val="22"/>
          <w:color w:val="auto"/>
        </w:rPr>
        <w:t>) (in each case, solely with respect to any payment obligations that accrued prior to the effective date of such expiration or termination) or any liability that accrued hereunder prior to the effective date of such expiration or termination. In addition,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190" w:lineRule="exact"/>
        <w:rPr>
          <w:rFonts w:ascii="Arial" w:cs="Arial" w:eastAsia="Arial" w:hAnsi="Arial"/>
          <w:sz w:val="22"/>
          <w:szCs w:val="22"/>
          <w:b w:val="1"/>
          <w:bCs w:val="1"/>
          <w:color w:val="auto"/>
        </w:rPr>
      </w:pPr>
    </w:p>
    <w:p>
      <w:pPr>
        <w:jc w:val="both"/>
        <w:ind w:left="880" w:hanging="8"/>
        <w:spacing w:after="0" w:line="248" w:lineRule="auto"/>
        <w:tabs>
          <w:tab w:leader="none" w:pos="1768" w:val="left"/>
        </w:tabs>
        <w:numPr>
          <w:ilvl w:val="0"/>
          <w:numId w:val="171"/>
        </w:numPr>
        <w:rPr>
          <w:rFonts w:ascii="Arial" w:cs="Arial" w:eastAsia="Arial" w:hAnsi="Arial"/>
          <w:sz w:val="21"/>
          <w:szCs w:val="21"/>
          <w:b w:val="1"/>
          <w:bCs w:val="1"/>
          <w:color w:val="auto"/>
        </w:rPr>
      </w:pPr>
      <w:r>
        <w:rPr>
          <w:rFonts w:ascii="Arial" w:cs="Arial" w:eastAsia="Arial" w:hAnsi="Arial"/>
          <w:sz w:val="21"/>
          <w:szCs w:val="21"/>
          <w:color w:val="auto"/>
        </w:rPr>
        <w:t xml:space="preserve">As of the effective date of expiration of the Royalty Term with respect to a given Product and country in the GSK Territory, (i) the licenses of GSK and its Affiliates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shall automatically convert to a royalty-free, irrevocable, perpetual, non-exclusive and sublicensable license under the Arrowhead Technology to Develop, Manufacture (including to have Manufactured) and Commercialize such Product in such country, and (ii) the license and right of reference under Section 4.5 shall automatically convert to a royalty-free, irrevocable, perpetual, non-exclusive and sublicensable license and right of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-3242310</wp:posOffset>
            </wp:positionV>
            <wp:extent cx="171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-190500</wp:posOffset>
            </wp:positionV>
            <wp:extent cx="642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15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color w:val="auto"/>
        </w:rPr>
        <w:t>Effect of Termination of the Agreement</w:t>
      </w:r>
    </w:p>
    <w:p>
      <w:pPr>
        <w:spacing w:after="0" w:line="212" w:lineRule="exact"/>
        <w:rPr>
          <w:sz w:val="20"/>
          <w:szCs w:val="20"/>
          <w:color w:val="auto"/>
        </w:rPr>
      </w:pPr>
    </w:p>
    <w:p>
      <w:pPr>
        <w:ind w:left="880" w:hanging="806"/>
        <w:spacing w:after="0" w:line="257" w:lineRule="auto"/>
        <w:tabs>
          <w:tab w:leader="none" w:pos="192"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Upon any termination (but not expiration) of this Agreement, the following terms shall apply; provided that, with respect to any termination of this Agreement pursuant to </w:t>
      </w:r>
      <w:r>
        <w:rPr>
          <w:rFonts w:ascii="Arial" w:cs="Arial" w:eastAsia="Arial" w:hAnsi="Arial"/>
          <w:sz w:val="21"/>
          <w:szCs w:val="21"/>
          <w:u w:val="single" w:color="auto"/>
          <w:color w:val="auto"/>
        </w:rPr>
        <w:t>Section 10.2(b)</w:t>
      </w:r>
      <w:r>
        <w:rPr>
          <w:rFonts w:ascii="Arial" w:cs="Arial" w:eastAsia="Arial" w:hAnsi="Arial"/>
          <w:sz w:val="21"/>
          <w:szCs w:val="21"/>
          <w:color w:val="auto"/>
        </w:rPr>
        <w:t>, the following terms and conditions shall apply only with respect to the applicable Terminated Territory that is the subject of such termination:</w:t>
      </w:r>
    </w:p>
    <w:p>
      <w:pPr>
        <w:spacing w:after="0" w:line="169" w:lineRule="exact"/>
        <w:rPr>
          <w:rFonts w:ascii="Arial" w:cs="Arial" w:eastAsia="Arial" w:hAnsi="Arial"/>
          <w:sz w:val="21"/>
          <w:szCs w:val="21"/>
          <w:color w:val="auto"/>
        </w:rPr>
      </w:pPr>
    </w:p>
    <w:p>
      <w:pPr>
        <w:jc w:val="both"/>
        <w:ind w:left="880" w:hanging="8"/>
        <w:spacing w:after="0"/>
        <w:tabs>
          <w:tab w:leader="none" w:pos="1780" w:val="left"/>
        </w:tabs>
        <w:numPr>
          <w:ilvl w:val="1"/>
          <w:numId w:val="172"/>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of Rights and Obligations</w:t>
      </w:r>
      <w:r>
        <w:rPr>
          <w:rFonts w:ascii="Arial" w:cs="Arial" w:eastAsia="Arial" w:hAnsi="Arial"/>
          <w:sz w:val="22"/>
          <w:szCs w:val="22"/>
          <w:color w:val="auto"/>
        </w:rPr>
        <w:t>. Each Party’s rights and obligations under this Agreement (except as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set forth in this </w:t>
      </w:r>
      <w:r>
        <w:rPr>
          <w:rFonts w:ascii="Arial" w:cs="Arial" w:eastAsia="Arial" w:hAnsi="Arial"/>
          <w:sz w:val="22"/>
          <w:szCs w:val="22"/>
          <w:u w:val="single" w:color="auto"/>
          <w:color w:val="auto"/>
        </w:rPr>
        <w:t>Section 10.7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10.6</w:t>
      </w:r>
      <w:r>
        <w:rPr>
          <w:rFonts w:ascii="Arial" w:cs="Arial" w:eastAsia="Arial" w:hAnsi="Arial"/>
          <w:sz w:val="22"/>
          <w:szCs w:val="22"/>
          <w:color w:val="auto"/>
        </w:rPr>
        <w:t>) shall automatically terminate and have no further force and effect as of the applicable effective date of termination.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right="260" w:firstLine="8"/>
        <w:spacing w:after="0" w:line="266" w:lineRule="auto"/>
        <w:tabs>
          <w:tab w:leader="none" w:pos="435"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880" w:hanging="8"/>
        <w:spacing w:after="0" w:line="250" w:lineRule="auto"/>
        <w:tabs>
          <w:tab w:leader="none" w:pos="1792" w:val="left"/>
        </w:tabs>
        <w:numPr>
          <w:ilvl w:val="1"/>
          <w:numId w:val="173"/>
        </w:numPr>
        <w:rPr>
          <w:rFonts w:ascii="Arial" w:cs="Arial" w:eastAsia="Arial" w:hAnsi="Arial"/>
          <w:sz w:val="22"/>
          <w:szCs w:val="22"/>
          <w:b w:val="1"/>
          <w:bCs w:val="1"/>
          <w:color w:val="auto"/>
        </w:rPr>
      </w:pPr>
      <w:r>
        <w:rPr>
          <w:rFonts w:ascii="Arial" w:cs="Arial" w:eastAsia="Arial" w:hAnsi="Arial"/>
          <w:sz w:val="22"/>
          <w:szCs w:val="22"/>
          <w:i w:val="1"/>
          <w:iCs w:val="1"/>
          <w:color w:val="auto"/>
        </w:rPr>
        <w:t>Exclusivity</w:t>
      </w:r>
      <w:r>
        <w:rPr>
          <w:rFonts w:ascii="Arial" w:cs="Arial" w:eastAsia="Arial" w:hAnsi="Arial"/>
          <w:sz w:val="22"/>
          <w:szCs w:val="22"/>
          <w:color w:val="auto"/>
        </w:rPr>
        <w:t>. If the effective date of termination occurs prior to the expiration of the Exclusivity Term,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Arrowhead’s obligations under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will terminate with respect to the Terminated Territory.</w:t>
      </w:r>
    </w:p>
    <w:p>
      <w:pPr>
        <w:spacing w:after="0" w:line="174" w:lineRule="exact"/>
        <w:rPr>
          <w:rFonts w:ascii="Arial" w:cs="Arial" w:eastAsia="Arial" w:hAnsi="Arial"/>
          <w:sz w:val="22"/>
          <w:szCs w:val="22"/>
          <w:b w:val="1"/>
          <w:bCs w:val="1"/>
          <w:color w:val="auto"/>
        </w:rPr>
      </w:pPr>
    </w:p>
    <w:p>
      <w:pPr>
        <w:jc w:val="both"/>
        <w:ind w:left="880" w:hanging="8"/>
        <w:spacing w:after="0" w:line="249" w:lineRule="auto"/>
        <w:tabs>
          <w:tab w:leader="none" w:pos="1768" w:val="left"/>
        </w:tabs>
        <w:numPr>
          <w:ilvl w:val="1"/>
          <w:numId w:val="173"/>
        </w:numPr>
        <w:rPr>
          <w:rFonts w:ascii="Arial" w:cs="Arial" w:eastAsia="Arial" w:hAnsi="Arial"/>
          <w:sz w:val="21"/>
          <w:szCs w:val="21"/>
          <w:b w:val="1"/>
          <w:bCs w:val="1"/>
          <w:color w:val="auto"/>
        </w:rPr>
      </w:pPr>
      <w:r>
        <w:rPr>
          <w:rFonts w:ascii="Arial" w:cs="Arial" w:eastAsia="Arial" w:hAnsi="Arial"/>
          <w:sz w:val="21"/>
          <w:szCs w:val="21"/>
          <w:i w:val="1"/>
          <w:iCs w:val="1"/>
          <w:color w:val="auto"/>
        </w:rPr>
        <w:t>Termination and Wind Down Plan</w:t>
      </w:r>
      <w:r>
        <w:rPr>
          <w:rFonts w:ascii="Arial" w:cs="Arial" w:eastAsia="Arial" w:hAnsi="Arial"/>
          <w:sz w:val="21"/>
          <w:szCs w:val="21"/>
          <w:color w:val="auto"/>
        </w:rPr>
        <w:t>. Promptly following the receipt of any notice of termination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Arrowhead will prepare, with GSK’s reasonable cooperation (as reasonably requested by Arrowhead), a termination and wind-down plan that will include, at a minimum, a plan for accomplishing the activities described in this </w:t>
      </w:r>
      <w:r>
        <w:rPr>
          <w:rFonts w:ascii="Arial" w:cs="Arial" w:eastAsia="Arial" w:hAnsi="Arial"/>
          <w:sz w:val="21"/>
          <w:szCs w:val="21"/>
          <w:u w:val="single" w:color="auto"/>
          <w:color w:val="auto"/>
        </w:rPr>
        <w:t>Section 10.7(c)</w:t>
      </w:r>
      <w:r>
        <w:rPr>
          <w:rFonts w:ascii="Arial" w:cs="Arial" w:eastAsia="Arial" w:hAnsi="Arial"/>
          <w:sz w:val="21"/>
          <w:szCs w:val="21"/>
          <w:color w:val="auto"/>
        </w:rPr>
        <w:t xml:space="preserve"> (“</w:t>
      </w:r>
      <w:r>
        <w:rPr>
          <w:rFonts w:ascii="Arial" w:cs="Arial" w:eastAsia="Arial" w:hAnsi="Arial"/>
          <w:sz w:val="21"/>
          <w:szCs w:val="21"/>
          <w:b w:val="1"/>
          <w:bCs w:val="1"/>
          <w:color w:val="auto"/>
        </w:rPr>
        <w:t>Termination and Wind-Down Plan</w:t>
      </w:r>
      <w:r>
        <w:rPr>
          <w:rFonts w:ascii="Arial" w:cs="Arial" w:eastAsia="Arial" w:hAnsi="Arial"/>
          <w:sz w:val="21"/>
          <w:szCs w:val="21"/>
          <w:color w:val="auto"/>
        </w:rPr>
        <w:t>”), which Termination and Wind-Down Plan (including any amendments thereto) shall be subject to the mutual agreement of both Parties.</w:t>
      </w:r>
    </w:p>
    <w:p>
      <w:pPr>
        <w:spacing w:after="0" w:line="178" w:lineRule="exact"/>
        <w:rPr>
          <w:rFonts w:ascii="Arial" w:cs="Arial" w:eastAsia="Arial" w:hAnsi="Arial"/>
          <w:sz w:val="21"/>
          <w:szCs w:val="21"/>
          <w:b w:val="1"/>
          <w:bCs w:val="1"/>
          <w:color w:val="auto"/>
        </w:rPr>
      </w:pPr>
    </w:p>
    <w:p>
      <w:pPr>
        <w:jc w:val="both"/>
        <w:ind w:left="880" w:firstLine="789"/>
        <w:spacing w:after="0" w:line="246" w:lineRule="auto"/>
        <w:tabs>
          <w:tab w:leader="none" w:pos="2529" w:val="left"/>
        </w:tabs>
        <w:numPr>
          <w:ilvl w:val="2"/>
          <w:numId w:val="173"/>
        </w:numPr>
        <w:rPr>
          <w:rFonts w:ascii="Arial" w:cs="Arial" w:eastAsia="Arial" w:hAnsi="Arial"/>
          <w:sz w:val="21"/>
          <w:szCs w:val="21"/>
          <w:color w:val="auto"/>
        </w:rPr>
      </w:pPr>
      <w:r>
        <w:rPr>
          <w:rFonts w:ascii="Arial" w:cs="Arial" w:eastAsia="Arial" w:hAnsi="Arial"/>
          <w:sz w:val="21"/>
          <w:szCs w:val="21"/>
          <w:i w:val="1"/>
          <w:iCs w:val="1"/>
          <w:color w:val="auto"/>
        </w:rPr>
        <w:t>Termination of Licenses</w:t>
      </w:r>
      <w:r>
        <w:rPr>
          <w:rFonts w:ascii="Arial" w:cs="Arial" w:eastAsia="Arial" w:hAnsi="Arial"/>
          <w:sz w:val="21"/>
          <w:szCs w:val="21"/>
          <w:color w:val="auto"/>
        </w:rPr>
        <w:t>. All rights and licenses granted herein to either Party will terminate with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respect to the Compound and the Products in the Terminated Territory and GSK and its Affiliates shall cease any and all Development, Manufacturing and Commercialization of the Compound and Products for the Terminated Territory, except that such rights and licenses of GSK and its Affiliates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may continue solely to the extent necessary, and solely for the time periods specified therein, for GSK and its Affiliates to promptly and diligently complete the orderly transition or wind-down of ongoing Clinical Trials for the Terminated Territory under </w:t>
      </w:r>
      <w:r>
        <w:rPr>
          <w:rFonts w:ascii="Arial" w:cs="Arial" w:eastAsia="Arial" w:hAnsi="Arial"/>
          <w:sz w:val="21"/>
          <w:szCs w:val="21"/>
          <w:u w:val="single" w:color="auto"/>
          <w:color w:val="auto"/>
        </w:rPr>
        <w:t>Section 10.7(c)(ii)</w:t>
      </w:r>
      <w:r>
        <w:rPr>
          <w:rFonts w:ascii="Arial" w:cs="Arial" w:eastAsia="Arial" w:hAnsi="Arial"/>
          <w:sz w:val="21"/>
          <w:szCs w:val="21"/>
          <w:color w:val="auto"/>
        </w:rPr>
        <w:t xml:space="preserve"> or to sell or otherwise dispose of any inventory of Products in the Terminated Territory as permitted under </w:t>
      </w:r>
      <w:r>
        <w:rPr>
          <w:rFonts w:ascii="Arial" w:cs="Arial" w:eastAsia="Arial" w:hAnsi="Arial"/>
          <w:sz w:val="21"/>
          <w:szCs w:val="21"/>
          <w:u w:val="single" w:color="auto"/>
          <w:color w:val="auto"/>
        </w:rPr>
        <w:t>Section 10.7(c)(iii)</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880" w:firstLine="789"/>
        <w:spacing w:after="0" w:line="287" w:lineRule="auto"/>
        <w:tabs>
          <w:tab w:leader="none" w:pos="2589" w:val="left"/>
        </w:tabs>
        <w:numPr>
          <w:ilvl w:val="2"/>
          <w:numId w:val="173"/>
        </w:numPr>
        <w:rPr>
          <w:rFonts w:ascii="Arial" w:cs="Arial" w:eastAsia="Arial" w:hAnsi="Arial"/>
          <w:sz w:val="19"/>
          <w:szCs w:val="19"/>
          <w:color w:val="auto"/>
        </w:rPr>
      </w:pPr>
      <w:r>
        <w:rPr>
          <w:rFonts w:ascii="Arial" w:cs="Arial" w:eastAsia="Arial" w:hAnsi="Arial"/>
          <w:sz w:val="19"/>
          <w:szCs w:val="19"/>
          <w:i w:val="1"/>
          <w:iCs w:val="1"/>
          <w:color w:val="auto"/>
        </w:rPr>
        <w:t>Clinical Trials Transition and Wind Down</w:t>
      </w:r>
      <w:r>
        <w:rPr>
          <w:rFonts w:ascii="Arial" w:cs="Arial" w:eastAsia="Arial" w:hAnsi="Arial"/>
          <w:sz w:val="19"/>
          <w:szCs w:val="19"/>
          <w:color w:val="auto"/>
        </w:rPr>
        <w:t>. If, at the time of either Party’s delivery of written notice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termination pursuant to this </w:t>
      </w:r>
      <w:r>
        <w:rPr>
          <w:rFonts w:ascii="Arial" w:cs="Arial" w:eastAsia="Arial" w:hAnsi="Arial"/>
          <w:sz w:val="19"/>
          <w:szCs w:val="19"/>
          <w:u w:val="single" w:color="auto"/>
          <w:color w:val="auto"/>
        </w:rPr>
        <w:t>Article 10</w:t>
      </w:r>
      <w:r>
        <w:rPr>
          <w:rFonts w:ascii="Arial" w:cs="Arial" w:eastAsia="Arial" w:hAnsi="Arial"/>
          <w:sz w:val="19"/>
          <w:szCs w:val="19"/>
          <w:color w:val="auto"/>
        </w:rPr>
        <w:t>, GSK (or its Affiliates or Sublicensees) is conducting any Clinical Trial for any Product, then Arrowhead will notify GSK, on a trial-by-trial and site-by-site basis, whether Arrowhead would like to wind-down such Clinical Trial or transition such Clinical Trial to Arrowhead (or its designee) for continuation.</w:t>
      </w:r>
    </w:p>
    <w:p>
      <w:pPr>
        <w:spacing w:after="0" w:line="142" w:lineRule="exact"/>
        <w:rPr>
          <w:rFonts w:ascii="Arial" w:cs="Arial" w:eastAsia="Arial" w:hAnsi="Arial"/>
          <w:sz w:val="19"/>
          <w:szCs w:val="19"/>
          <w:color w:val="auto"/>
        </w:rPr>
      </w:pPr>
    </w:p>
    <w:p>
      <w:pPr>
        <w:jc w:val="both"/>
        <w:ind w:left="2600"/>
        <w:spacing w:after="0" w:line="244" w:lineRule="auto"/>
        <w:tabs>
          <w:tab w:leader="none" w:pos="3548" w:val="left"/>
        </w:tabs>
        <w:numPr>
          <w:ilvl w:val="3"/>
          <w:numId w:val="173"/>
        </w:numPr>
        <w:rPr>
          <w:rFonts w:ascii="Arial" w:cs="Arial" w:eastAsia="Arial" w:hAnsi="Arial"/>
          <w:sz w:val="21"/>
          <w:szCs w:val="21"/>
          <w:color w:val="auto"/>
        </w:rPr>
      </w:pPr>
      <w:r>
        <w:rPr>
          <w:rFonts w:ascii="Arial" w:cs="Arial" w:eastAsia="Arial" w:hAnsi="Arial"/>
          <w:sz w:val="21"/>
          <w:szCs w:val="21"/>
          <w:color w:val="auto"/>
        </w:rPr>
        <w:t>Notwithstanding the foregoing, GSK shall have the right, to the extent not prohibited by Law, in GSK’s sole discretion and at GSK’s cost and expense, to elect to (1) wind-down such Clinical Trial (even if Arrowhead so notifies GSK of its intention to continue such Clinical Trial), if GSK reasonably believes (x) the continuation (or transition) of such Clinical Trial could cause harm to the patients enrolled therein or (y) that such Clinical Trial should not be continued (or transitioned) due to ethical concerns; or (2) continue such Clinical Trial (even if Arrowhead so notifies GSK of its intention to wind-down such Clinical Trial), if GSK reasonably believes that such Clinical Trial should be continued (and not transitioned) due to patient safety or ethical concerns, in which case, GSK shall (or shall cause its Affiliate, Sublicensee or Third Party subcontractor, as applicable, to) continue to conduct such Clinical Trial in accordance with the then-current protocol as of the effective date of such termination (unless the Parties mutually agree otherwise).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right="260" w:firstLine="8"/>
        <w:spacing w:after="0" w:line="266" w:lineRule="auto"/>
        <w:tabs>
          <w:tab w:leader="none" w:pos="435"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jc w:val="both"/>
        <w:ind w:left="2600"/>
        <w:spacing w:after="0" w:line="270" w:lineRule="auto"/>
        <w:tabs>
          <w:tab w:leader="none" w:pos="3536" w:val="left"/>
        </w:tabs>
        <w:numPr>
          <w:ilvl w:val="2"/>
          <w:numId w:val="174"/>
        </w:numPr>
        <w:rPr>
          <w:rFonts w:ascii="Arial" w:cs="Arial" w:eastAsia="Arial" w:hAnsi="Arial"/>
          <w:sz w:val="19"/>
          <w:szCs w:val="19"/>
          <w:color w:val="auto"/>
        </w:rPr>
      </w:pPr>
      <w:r>
        <w:rPr>
          <w:rFonts w:ascii="Arial" w:cs="Arial" w:eastAsia="Arial" w:hAnsi="Arial"/>
          <w:sz w:val="19"/>
          <w:szCs w:val="19"/>
          <w:color w:val="auto"/>
        </w:rPr>
        <w:t xml:space="preserve">For any such Clinical Trial that Arrowhead so notifies GSK of its intention to transition and continue at one or more sites, subject to GSK’s rights to elect to wind-down or continue such Clinical Trial pursuant to </w:t>
      </w:r>
      <w:r>
        <w:rPr>
          <w:rFonts w:ascii="Arial" w:cs="Arial" w:eastAsia="Arial" w:hAnsi="Arial"/>
          <w:sz w:val="19"/>
          <w:szCs w:val="19"/>
          <w:u w:val="single" w:color="auto"/>
          <w:color w:val="auto"/>
        </w:rPr>
        <w:t>Section 10.7(c)(ii)(A)</w:t>
      </w:r>
      <w:r>
        <w:rPr>
          <w:rFonts w:ascii="Arial" w:cs="Arial" w:eastAsia="Arial" w:hAnsi="Arial"/>
          <w:sz w:val="19"/>
          <w:szCs w:val="19"/>
          <w:color w:val="auto"/>
        </w:rPr>
        <w:t>, (1) the Termination and Wind-Down Plan will include the activities that GSK is to perform until the date that is [***] after the effective date of such termination (the “</w:t>
      </w:r>
      <w:r>
        <w:rPr>
          <w:rFonts w:ascii="Arial" w:cs="Arial" w:eastAsia="Arial" w:hAnsi="Arial"/>
          <w:sz w:val="19"/>
          <w:szCs w:val="19"/>
          <w:b w:val="1"/>
          <w:bCs w:val="1"/>
          <w:color w:val="auto"/>
        </w:rPr>
        <w:t>Clinical Trial Transition Date</w:t>
      </w:r>
      <w:r>
        <w:rPr>
          <w:rFonts w:ascii="Arial" w:cs="Arial" w:eastAsia="Arial" w:hAnsi="Arial"/>
          <w:sz w:val="19"/>
          <w:szCs w:val="19"/>
          <w:color w:val="auto"/>
        </w:rPr>
        <w:t>”) in furtherance of transitioning the conduct of such Clinical Trial to Arrowhead or its designee (the “</w:t>
      </w:r>
      <w:r>
        <w:rPr>
          <w:rFonts w:ascii="Arial" w:cs="Arial" w:eastAsia="Arial" w:hAnsi="Arial"/>
          <w:sz w:val="19"/>
          <w:szCs w:val="19"/>
          <w:b w:val="1"/>
          <w:bCs w:val="1"/>
          <w:color w:val="auto"/>
        </w:rPr>
        <w:t>GSK Clinical Trial Transfer</w:t>
      </w:r>
      <w:r>
        <w:rPr>
          <w:rFonts w:ascii="Arial" w:cs="Arial" w:eastAsia="Arial" w:hAnsi="Arial"/>
          <w:sz w:val="19"/>
          <w:szCs w:val="19"/>
          <w:color w:val="auto"/>
        </w:rPr>
        <w:t xml:space="preserve"> </w:t>
      </w:r>
      <w:r>
        <w:rPr>
          <w:rFonts w:ascii="Arial" w:cs="Arial" w:eastAsia="Arial" w:hAnsi="Arial"/>
          <w:sz w:val="19"/>
          <w:szCs w:val="19"/>
          <w:b w:val="1"/>
          <w:bCs w:val="1"/>
          <w:color w:val="auto"/>
        </w:rPr>
        <w:t>Obligations</w:t>
      </w:r>
      <w:r>
        <w:rPr>
          <w:rFonts w:ascii="Arial" w:cs="Arial" w:eastAsia="Arial" w:hAnsi="Arial"/>
          <w:sz w:val="19"/>
          <w:szCs w:val="19"/>
          <w:color w:val="auto"/>
        </w:rPr>
        <w:t>”), and (2) GSK will transfer the conduct of any such Clinical Trial at such site(s) to</w:t>
      </w:r>
      <w:r>
        <w:rPr>
          <w:rFonts w:ascii="Arial" w:cs="Arial" w:eastAsia="Arial" w:hAnsi="Arial"/>
          <w:sz w:val="19"/>
          <w:szCs w:val="19"/>
          <w:b w:val="1"/>
          <w:bCs w:val="1"/>
          <w:color w:val="auto"/>
        </w:rPr>
        <w:t xml:space="preserve"> </w:t>
      </w:r>
      <w:r>
        <w:rPr>
          <w:rFonts w:ascii="Arial" w:cs="Arial" w:eastAsia="Arial" w:hAnsi="Arial"/>
          <w:sz w:val="19"/>
          <w:szCs w:val="19"/>
          <w:color w:val="auto"/>
        </w:rPr>
        <w:t>Arrowhead in accordance with the GSK Clinical Trial Transfer Obligations in the Termination and Wind-Down Plan. Arrowhead will assume any and all liability and costs for any such Clinical Trial at such site(s) from and after the date that is the earlier of (x) the completion of the GSK Clinical Trial Transfer Obligations for such site(s) or (y) the Clinical Trial Transition Date, other than with respect to any GSK Clinical Trial Transfer Obligation not performed by GSK as of such Clinical Trial Transition Date. Arrowhead will reimburse GSK for any internal costs or external costs incurred by GSK in connection with any activities performed by or on behalf of GSK in furtherance of the transition to Arrowhead of any applicable Clinical Trials following the Clinical Trial Transition Date, except for any such costs incurred in connection with GSK’s completion of the GSK Clinical Trial Transfer Obligations that are not complete as of the Clinical Trial Transition Date.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880" w:firstLine="789"/>
        <w:spacing w:after="0" w:line="271" w:lineRule="auto"/>
        <w:tabs>
          <w:tab w:leader="none" w:pos="2649" w:val="left"/>
        </w:tabs>
        <w:numPr>
          <w:ilvl w:val="1"/>
          <w:numId w:val="175"/>
        </w:numPr>
        <w:rPr>
          <w:rFonts w:ascii="Arial" w:cs="Arial" w:eastAsia="Arial" w:hAnsi="Arial"/>
          <w:sz w:val="19"/>
          <w:szCs w:val="19"/>
          <w:color w:val="auto"/>
        </w:rPr>
      </w:pPr>
      <w:r>
        <w:rPr>
          <w:rFonts w:ascii="Arial" w:cs="Arial" w:eastAsia="Arial" w:hAnsi="Arial"/>
          <w:sz w:val="19"/>
          <w:szCs w:val="19"/>
          <w:i w:val="1"/>
          <w:iCs w:val="1"/>
          <w:color w:val="auto"/>
        </w:rPr>
        <w:t>Commercialization Wind Down</w:t>
      </w:r>
      <w:r>
        <w:rPr>
          <w:rFonts w:ascii="Arial" w:cs="Arial" w:eastAsia="Arial" w:hAnsi="Arial"/>
          <w:sz w:val="19"/>
          <w:szCs w:val="19"/>
          <w:color w:val="auto"/>
        </w:rPr>
        <w:t>. If such termination occurs following the First Commercial Sale of</w:t>
      </w:r>
      <w:r>
        <w:rPr>
          <w:rFonts w:ascii="Arial" w:cs="Arial" w:eastAsia="Arial" w:hAnsi="Arial"/>
          <w:sz w:val="19"/>
          <w:szCs w:val="19"/>
          <w:i w:val="1"/>
          <w:iCs w:val="1"/>
          <w:color w:val="auto"/>
        </w:rPr>
        <w:t xml:space="preserve"> </w:t>
      </w:r>
      <w:r>
        <w:rPr>
          <w:rFonts w:ascii="Arial" w:cs="Arial" w:eastAsia="Arial" w:hAnsi="Arial"/>
          <w:sz w:val="19"/>
          <w:szCs w:val="19"/>
          <w:color w:val="auto"/>
        </w:rPr>
        <w:t>a Product in a country of the Terminated Territory, then, to the extent permitted by Law, effective upon such date of such termination, GSK, its Affiliates and its Sublicensees will have the right to sell any inventory of the Products intended for Commercialization in the Terminated Territory existing as of such termination in accordance with the Termination and Wind-Down Plan agreed upon and otherwise in accordance with the terms of this Agreement, for the Terminated Territory by or under the authority of GSK, its Affiliates or its Sublicensees as of the date of the applicable notice of termination, for [***] after the effective date of the applicable termination or such longer time as may be agreed by the Parties in writing (the “</w:t>
      </w:r>
      <w:r>
        <w:rPr>
          <w:rFonts w:ascii="Arial" w:cs="Arial" w:eastAsia="Arial" w:hAnsi="Arial"/>
          <w:sz w:val="19"/>
          <w:szCs w:val="19"/>
          <w:b w:val="1"/>
          <w:bCs w:val="1"/>
          <w:color w:val="auto"/>
        </w:rPr>
        <w:t>Commercialization Wind-Down Period</w:t>
      </w:r>
      <w:r>
        <w:rPr>
          <w:rFonts w:ascii="Arial" w:cs="Arial" w:eastAsia="Arial" w:hAnsi="Arial"/>
          <w:sz w:val="19"/>
          <w:szCs w:val="19"/>
          <w:color w:val="auto"/>
        </w:rPr>
        <w:t xml:space="preserve">”). Any Product sold or disposed of by GSK, its Affiliates or its Sublicensees in the Terminated Territory during the Commercialization Wind-Down Period will be subject to the applicable payment and reporting obligations under </w:t>
      </w:r>
      <w:r>
        <w:rPr>
          <w:rFonts w:ascii="Arial" w:cs="Arial" w:eastAsia="Arial" w:hAnsi="Arial"/>
          <w:sz w:val="19"/>
          <w:szCs w:val="19"/>
          <w:u w:val="single" w:color="auto"/>
          <w:color w:val="auto"/>
        </w:rPr>
        <w:t>Article 5</w:t>
      </w:r>
      <w:r>
        <w:rPr>
          <w:rFonts w:ascii="Arial" w:cs="Arial" w:eastAsia="Arial" w:hAnsi="Arial"/>
          <w:sz w:val="19"/>
          <w:szCs w:val="19"/>
          <w:color w:val="auto"/>
        </w:rPr>
        <w:t>. Within [***] after the end of the Commercialization Wind-Down Period, GSK will notify Arrowhead of any quantity of Products for the Terminated Territory remaining in GSK’s, its Affiliates’ or its Sublicensees’ inventory, and Arrowhead will have the right to purchase, in its discretion, any such quantities of the Products from GSK, its Affiliates or its Sublicensees at a price equal to the Manufacturing Costs plus [***].</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880" w:right="20" w:firstLine="789"/>
        <w:spacing w:after="0" w:line="274" w:lineRule="auto"/>
        <w:tabs>
          <w:tab w:leader="none" w:pos="2637" w:val="left"/>
        </w:tabs>
        <w:numPr>
          <w:ilvl w:val="1"/>
          <w:numId w:val="175"/>
        </w:numPr>
        <w:rPr>
          <w:rFonts w:ascii="Arial" w:cs="Arial" w:eastAsia="Arial" w:hAnsi="Arial"/>
          <w:sz w:val="21"/>
          <w:szCs w:val="21"/>
          <w:color w:val="auto"/>
        </w:rPr>
      </w:pPr>
      <w:r>
        <w:rPr>
          <w:rFonts w:ascii="Arial" w:cs="Arial" w:eastAsia="Arial" w:hAnsi="Arial"/>
          <w:sz w:val="21"/>
          <w:szCs w:val="21"/>
          <w:i w:val="1"/>
          <w:iCs w:val="1"/>
          <w:color w:val="auto"/>
        </w:rPr>
        <w:t>Reversion License and Additional Effects of Termination</w:t>
      </w:r>
      <w:r>
        <w:rPr>
          <w:rFonts w:ascii="Arial" w:cs="Arial" w:eastAsia="Arial" w:hAnsi="Arial"/>
          <w:sz w:val="21"/>
          <w:szCs w:val="21"/>
          <w:color w:val="auto"/>
        </w:rPr>
        <w:t>. In the event of termination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by Arrowhead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or by GSK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then: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right="260" w:firstLine="8"/>
        <w:spacing w:after="0" w:line="266" w:lineRule="auto"/>
        <w:tabs>
          <w:tab w:leader="none" w:pos="435"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99" w:lineRule="exact"/>
        <w:rPr>
          <w:rFonts w:ascii="Arial" w:cs="Arial" w:eastAsia="Arial" w:hAnsi="Arial"/>
          <w:sz w:val="18"/>
          <w:szCs w:val="18"/>
          <w:b w:val="1"/>
          <w:bCs w:val="1"/>
          <w:color w:val="auto"/>
        </w:rPr>
      </w:pPr>
    </w:p>
    <w:p>
      <w:pPr>
        <w:jc w:val="both"/>
        <w:ind w:left="2600"/>
        <w:spacing w:after="0" w:line="273" w:lineRule="auto"/>
        <w:tabs>
          <w:tab w:leader="none" w:pos="3548" w:val="left"/>
        </w:tabs>
        <w:numPr>
          <w:ilvl w:val="1"/>
          <w:numId w:val="176"/>
        </w:numPr>
        <w:rPr>
          <w:rFonts w:ascii="Arial" w:cs="Arial" w:eastAsia="Arial" w:hAnsi="Arial"/>
          <w:sz w:val="19"/>
          <w:szCs w:val="19"/>
          <w:color w:val="auto"/>
        </w:rPr>
      </w:pPr>
      <w:r>
        <w:rPr>
          <w:rFonts w:ascii="Arial" w:cs="Arial" w:eastAsia="Arial" w:hAnsi="Arial"/>
          <w:sz w:val="19"/>
          <w:szCs w:val="19"/>
          <w:color w:val="auto"/>
        </w:rPr>
        <w:t xml:space="preserve">effective upon either (1) the effective date of termination of this Agreement in case of termination by Arrowhead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or termination of this Agreement in its entirety by GSK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(2) the date of expiration of the specified notice period in GSK’s notice of termination of this Agreement in part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GSK, on behalf of itself and its Affiliates, hereby grants (without any further subsequent action required on the part of Arrowhead) to Arrowhead and its Affiliates an exclusive (even as to GSK and its Affiliates), worldwide, perpetual, irrevocable, royalty-bearing (to the extent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10.7(c)(iv)(B)</w:t>
      </w:r>
      <w:r>
        <w:rPr>
          <w:rFonts w:ascii="Arial" w:cs="Arial" w:eastAsia="Arial" w:hAnsi="Arial"/>
          <w:sz w:val="19"/>
          <w:szCs w:val="19"/>
          <w:color w:val="auto"/>
        </w:rPr>
        <w:t>), sublicensable (through multiple tiers) license under the GSK Licensed Technology and GSK’s interest in the Joint Agreement Technology existing and Controlled by GSK (or its Affiliates) as of the effective date of such termination to Develop, Manufacture or Commercialize the Compound or any Product in the Field in the Terminated Territory;</w:t>
      </w:r>
    </w:p>
    <w:p>
      <w:pPr>
        <w:spacing w:after="0" w:line="155" w:lineRule="exact"/>
        <w:rPr>
          <w:rFonts w:ascii="Arial" w:cs="Arial" w:eastAsia="Arial" w:hAnsi="Arial"/>
          <w:sz w:val="19"/>
          <w:szCs w:val="19"/>
          <w:color w:val="auto"/>
        </w:rPr>
      </w:pPr>
    </w:p>
    <w:p>
      <w:pPr>
        <w:jc w:val="both"/>
        <w:ind w:left="2600"/>
        <w:spacing w:after="0" w:line="249" w:lineRule="auto"/>
        <w:tabs>
          <w:tab w:leader="none" w:pos="3536" w:val="left"/>
        </w:tabs>
        <w:numPr>
          <w:ilvl w:val="1"/>
          <w:numId w:val="176"/>
        </w:numPr>
        <w:rPr>
          <w:rFonts w:ascii="Arial" w:cs="Arial" w:eastAsia="Arial" w:hAnsi="Arial"/>
          <w:sz w:val="21"/>
          <w:szCs w:val="21"/>
          <w:color w:val="auto"/>
        </w:rPr>
      </w:pPr>
      <w:r>
        <w:rPr>
          <w:rFonts w:ascii="Arial" w:cs="Arial" w:eastAsia="Arial" w:hAnsi="Arial"/>
          <w:sz w:val="21"/>
          <w:szCs w:val="21"/>
          <w:color w:val="auto"/>
        </w:rPr>
        <w:t xml:space="preserve">solely in the event of termination of this Agreement by GSK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or by Arrowhead pursuant to </w:t>
      </w:r>
      <w:r>
        <w:rPr>
          <w:rFonts w:ascii="Arial" w:cs="Arial" w:eastAsia="Arial" w:hAnsi="Arial"/>
          <w:sz w:val="21"/>
          <w:szCs w:val="21"/>
          <w:u w:val="single" w:color="auto"/>
          <w:color w:val="auto"/>
        </w:rPr>
        <w:t>Section 10.4</w:t>
      </w:r>
      <w:r>
        <w:rPr>
          <w:rFonts w:ascii="Arial" w:cs="Arial" w:eastAsia="Arial" w:hAnsi="Arial"/>
          <w:sz w:val="21"/>
          <w:szCs w:val="21"/>
          <w:color w:val="auto"/>
        </w:rPr>
        <w:t>, on a Product-by-Product and country-by-country basis, Arrowhead will pay GSK royalties based on the aggregate annual Net Sales of all Products sold by Arrowhead, its Affiliates, licensees or sublicensees in the Terminated Territory during a Calendar Year at the following royalty rates:</w:t>
      </w:r>
    </w:p>
    <w:p>
      <w:pPr>
        <w:spacing w:after="0" w:line="178" w:lineRule="exact"/>
        <w:rPr>
          <w:rFonts w:ascii="Arial" w:cs="Arial" w:eastAsia="Arial" w:hAnsi="Arial"/>
          <w:sz w:val="21"/>
          <w:szCs w:val="21"/>
          <w:color w:val="auto"/>
        </w:rPr>
      </w:pPr>
    </w:p>
    <w:p>
      <w:pPr>
        <w:ind w:left="4820" w:hanging="874"/>
        <w:spacing w:after="0"/>
        <w:tabs>
          <w:tab w:leader="none" w:pos="4820" w:val="left"/>
        </w:tabs>
        <w:numPr>
          <w:ilvl w:val="2"/>
          <w:numId w:val="176"/>
        </w:numPr>
        <w:rPr>
          <w:rFonts w:ascii="Arial" w:cs="Arial" w:eastAsia="Arial" w:hAnsi="Arial"/>
          <w:sz w:val="18"/>
          <w:szCs w:val="18"/>
          <w:color w:val="auto"/>
        </w:rPr>
      </w:pPr>
      <w:r>
        <w:rPr>
          <w:rFonts w:ascii="Arial" w:cs="Arial" w:eastAsia="Arial" w:hAnsi="Arial"/>
          <w:sz w:val="19"/>
          <w:szCs w:val="19"/>
          <w:color w:val="auto"/>
        </w:rPr>
        <w:t>in the event that the effective date of such termination occurs [***] in the</w:t>
      </w:r>
    </w:p>
    <w:p>
      <w:pPr>
        <w:spacing w:after="0" w:line="42" w:lineRule="exact"/>
        <w:rPr>
          <w:rFonts w:ascii="Arial" w:cs="Arial" w:eastAsia="Arial" w:hAnsi="Arial"/>
          <w:sz w:val="18"/>
          <w:szCs w:val="18"/>
          <w:color w:val="auto"/>
        </w:rPr>
      </w:pPr>
    </w:p>
    <w:p>
      <w:pPr>
        <w:jc w:val="both"/>
        <w:ind w:left="2780"/>
        <w:spacing w:after="0" w:line="234" w:lineRule="auto"/>
        <w:rPr>
          <w:rFonts w:ascii="Arial" w:cs="Arial" w:eastAsia="Arial" w:hAnsi="Arial"/>
          <w:sz w:val="18"/>
          <w:szCs w:val="18"/>
          <w:color w:val="auto"/>
        </w:rPr>
      </w:pPr>
      <w:r>
        <w:rPr>
          <w:rFonts w:ascii="Arial" w:cs="Arial" w:eastAsia="Arial" w:hAnsi="Arial"/>
          <w:sz w:val="22"/>
          <w:szCs w:val="22"/>
          <w:color w:val="auto"/>
        </w:rPr>
        <w:t xml:space="preserve">Terminated Territory: a [***] royalty on such aggregate annual Net Sales, [***] , until such time as [***] ( following GSK’s receipt of Arrowhead’s termination notice pursuant to </w:t>
      </w:r>
      <w:r>
        <w:rPr>
          <w:rFonts w:ascii="Arial" w:cs="Arial" w:eastAsia="Arial" w:hAnsi="Arial"/>
          <w:sz w:val="22"/>
          <w:szCs w:val="22"/>
          <w:u w:val="single" w:color="auto"/>
          <w:color w:val="auto"/>
        </w:rPr>
        <w:t>Section 10.4</w:t>
      </w:r>
      <w:r>
        <w:rPr>
          <w:rFonts w:ascii="Arial" w:cs="Arial" w:eastAsia="Arial" w:hAnsi="Arial"/>
          <w:sz w:val="22"/>
          <w:szCs w:val="22"/>
          <w:color w:val="auto"/>
        </w:rPr>
        <w:t>); or</w:t>
      </w:r>
    </w:p>
    <w:p>
      <w:pPr>
        <w:spacing w:after="0" w:line="187" w:lineRule="exact"/>
        <w:rPr>
          <w:rFonts w:ascii="Arial" w:cs="Arial" w:eastAsia="Arial" w:hAnsi="Arial"/>
          <w:sz w:val="18"/>
          <w:szCs w:val="18"/>
          <w:color w:val="auto"/>
        </w:rPr>
      </w:pPr>
    </w:p>
    <w:p>
      <w:pPr>
        <w:ind w:left="4820" w:hanging="874"/>
        <w:spacing w:after="0"/>
        <w:tabs>
          <w:tab w:leader="none" w:pos="4820" w:val="left"/>
        </w:tabs>
        <w:numPr>
          <w:ilvl w:val="2"/>
          <w:numId w:val="176"/>
        </w:numPr>
        <w:rPr>
          <w:rFonts w:ascii="Arial" w:cs="Arial" w:eastAsia="Arial" w:hAnsi="Arial"/>
          <w:sz w:val="18"/>
          <w:szCs w:val="18"/>
          <w:color w:val="auto"/>
        </w:rPr>
      </w:pPr>
      <w:r>
        <w:rPr>
          <w:rFonts w:ascii="Arial" w:cs="Arial" w:eastAsia="Arial" w:hAnsi="Arial"/>
          <w:sz w:val="19"/>
          <w:szCs w:val="19"/>
          <w:color w:val="auto"/>
        </w:rPr>
        <w:t>in the event that the effective date of such termination occurs [***] in the</w:t>
      </w:r>
    </w:p>
    <w:p>
      <w:pPr>
        <w:spacing w:after="0" w:line="42" w:lineRule="exact"/>
        <w:rPr>
          <w:rFonts w:ascii="Arial" w:cs="Arial" w:eastAsia="Arial" w:hAnsi="Arial"/>
          <w:sz w:val="18"/>
          <w:szCs w:val="18"/>
          <w:color w:val="auto"/>
        </w:rPr>
      </w:pPr>
    </w:p>
    <w:p>
      <w:pPr>
        <w:jc w:val="both"/>
        <w:ind w:left="2780"/>
        <w:spacing w:after="0" w:line="277" w:lineRule="auto"/>
        <w:rPr>
          <w:rFonts w:ascii="Arial" w:cs="Arial" w:eastAsia="Arial" w:hAnsi="Arial"/>
          <w:sz w:val="18"/>
          <w:szCs w:val="18"/>
          <w:color w:val="auto"/>
        </w:rPr>
      </w:pPr>
      <w:r>
        <w:rPr>
          <w:rFonts w:ascii="Arial" w:cs="Arial" w:eastAsia="Arial" w:hAnsi="Arial"/>
          <w:sz w:val="19"/>
          <w:szCs w:val="19"/>
          <w:color w:val="auto"/>
        </w:rPr>
        <w:t xml:space="preserve">Terminated Territory: a [***] royalty, for a period of [***] from the First Commercial Sale of such Product in each country of the Terminated Territory; provided that the royalties payable by Arrowhead pursuant to this </w:t>
      </w:r>
      <w:r>
        <w:rPr>
          <w:rFonts w:ascii="Arial" w:cs="Arial" w:eastAsia="Arial" w:hAnsi="Arial"/>
          <w:sz w:val="19"/>
          <w:szCs w:val="19"/>
          <w:u w:val="single" w:color="auto"/>
          <w:color w:val="auto"/>
        </w:rPr>
        <w:t>Section 10.7(c)(iv)(B)(2)</w:t>
      </w:r>
      <w:r>
        <w:rPr>
          <w:rFonts w:ascii="Arial" w:cs="Arial" w:eastAsia="Arial" w:hAnsi="Arial"/>
          <w:sz w:val="19"/>
          <w:szCs w:val="19"/>
          <w:color w:val="auto"/>
        </w:rPr>
        <w:t xml:space="preserve"> shall be subject to the reductions for any Generic Product entry as set forth in </w:t>
      </w:r>
      <w:r>
        <w:rPr>
          <w:rFonts w:ascii="Arial" w:cs="Arial" w:eastAsia="Arial" w:hAnsi="Arial"/>
          <w:sz w:val="19"/>
          <w:szCs w:val="19"/>
          <w:u w:val="single" w:color="auto"/>
          <w:color w:val="auto"/>
        </w:rPr>
        <w:t>Section 5.4(e)</w:t>
      </w:r>
      <w:r>
        <w:rPr>
          <w:rFonts w:ascii="Arial" w:cs="Arial" w:eastAsia="Arial" w:hAnsi="Arial"/>
          <w:sz w:val="19"/>
          <w:szCs w:val="19"/>
          <w:color w:val="auto"/>
        </w:rPr>
        <w:t xml:space="preserve"> applying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Arrowhead, the royalty rate in this </w:t>
      </w:r>
      <w:r>
        <w:rPr>
          <w:rFonts w:ascii="Arial" w:cs="Arial" w:eastAsia="Arial" w:hAnsi="Arial"/>
          <w:sz w:val="19"/>
          <w:szCs w:val="19"/>
          <w:u w:val="single" w:color="auto"/>
          <w:color w:val="auto"/>
        </w:rPr>
        <w:t>Section 10.7(c)(iv)(B)(2)</w:t>
      </w:r>
      <w:r>
        <w:rPr>
          <w:rFonts w:ascii="Arial" w:cs="Arial" w:eastAsia="Arial" w:hAnsi="Arial"/>
          <w:sz w:val="19"/>
          <w:szCs w:val="19"/>
          <w:color w:val="auto"/>
        </w:rPr>
        <w:t>, and the Terminated Territory;</w:t>
      </w:r>
    </w:p>
    <w:p>
      <w:pPr>
        <w:spacing w:after="0" w:line="152" w:lineRule="exact"/>
        <w:rPr>
          <w:rFonts w:ascii="Arial" w:cs="Arial" w:eastAsia="Arial" w:hAnsi="Arial"/>
          <w:sz w:val="18"/>
          <w:szCs w:val="18"/>
          <w:color w:val="auto"/>
        </w:rPr>
      </w:pPr>
    </w:p>
    <w:p>
      <w:pPr>
        <w:jc w:val="both"/>
        <w:ind w:left="2780" w:firstLine="1166"/>
        <w:spacing w:after="0"/>
        <w:tabs>
          <w:tab w:leader="none" w:pos="4831" w:val="left"/>
        </w:tabs>
        <w:numPr>
          <w:ilvl w:val="2"/>
          <w:numId w:val="176"/>
        </w:numPr>
        <w:rPr>
          <w:rFonts w:ascii="Arial" w:cs="Arial" w:eastAsia="Arial" w:hAnsi="Arial"/>
          <w:sz w:val="20"/>
          <w:szCs w:val="20"/>
          <w:color w:val="auto"/>
        </w:rPr>
      </w:pPr>
      <w:r>
        <w:rPr>
          <w:rFonts w:ascii="Arial" w:cs="Arial" w:eastAsia="Arial" w:hAnsi="Arial"/>
          <w:sz w:val="22"/>
          <w:szCs w:val="22"/>
          <w:color w:val="auto"/>
        </w:rPr>
        <w:t xml:space="preserve">provided that, for the purposes of this </w:t>
      </w:r>
      <w:r>
        <w:rPr>
          <w:rFonts w:ascii="Arial" w:cs="Arial" w:eastAsia="Arial" w:hAnsi="Arial"/>
          <w:sz w:val="22"/>
          <w:szCs w:val="22"/>
          <w:u w:val="single" w:color="auto"/>
          <w:color w:val="auto"/>
        </w:rPr>
        <w:t>Section 10.7(c)(iv)(B)</w:t>
      </w:r>
      <w:r>
        <w:rPr>
          <w:rFonts w:ascii="Arial" w:cs="Arial" w:eastAsia="Arial" w:hAnsi="Arial"/>
          <w:sz w:val="22"/>
          <w:szCs w:val="22"/>
          <w:color w:val="auto"/>
        </w:rPr>
        <w:t xml:space="preserve">, the terms of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will apply to the payment, recording and auditing of Arrowhead’s obligations to pay royalties under this </w:t>
      </w:r>
      <w:r>
        <w:rPr>
          <w:rFonts w:ascii="Arial" w:cs="Arial" w:eastAsia="Arial" w:hAnsi="Arial"/>
          <w:sz w:val="22"/>
          <w:szCs w:val="22"/>
          <w:u w:val="single" w:color="auto"/>
          <w:color w:val="auto"/>
        </w:rPr>
        <w:t>Section 10.7(c)(iv)(B)</w:t>
      </w:r>
      <w:r>
        <w:rPr>
          <w:rFonts w:ascii="Arial" w:cs="Arial" w:eastAsia="Arial" w:hAnsi="Arial"/>
          <w:sz w:val="22"/>
          <w:szCs w:val="22"/>
          <w:color w:val="auto"/>
        </w:rPr>
        <w:t>;</w:t>
      </w:r>
    </w:p>
    <w:p>
      <w:pPr>
        <w:spacing w:after="0" w:line="186" w:lineRule="exact"/>
        <w:rPr>
          <w:rFonts w:ascii="Arial" w:cs="Arial" w:eastAsia="Arial" w:hAnsi="Arial"/>
          <w:sz w:val="20"/>
          <w:szCs w:val="20"/>
          <w:color w:val="auto"/>
        </w:rPr>
      </w:pPr>
    </w:p>
    <w:p>
      <w:pPr>
        <w:ind w:left="2780" w:firstLine="1166"/>
        <w:spacing w:after="0" w:line="250" w:lineRule="auto"/>
        <w:tabs>
          <w:tab w:leader="none" w:pos="4831" w:val="left"/>
        </w:tabs>
        <w:numPr>
          <w:ilvl w:val="2"/>
          <w:numId w:val="176"/>
        </w:numPr>
        <w:rPr>
          <w:rFonts w:ascii="Arial" w:cs="Arial" w:eastAsia="Arial" w:hAnsi="Arial"/>
          <w:sz w:val="20"/>
          <w:szCs w:val="20"/>
          <w:color w:val="auto"/>
        </w:rPr>
      </w:pPr>
      <w:r>
        <w:rPr>
          <w:rFonts w:ascii="Arial" w:cs="Arial" w:eastAsia="Arial" w:hAnsi="Arial"/>
          <w:sz w:val="22"/>
          <w:szCs w:val="22"/>
          <w:color w:val="auto"/>
        </w:rPr>
        <w:t xml:space="preserve">provided, further, that, for clarity, in the event of a termination by Arrowhead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 the license grants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right="260" w:firstLine="8"/>
        <w:spacing w:after="0" w:line="266" w:lineRule="auto"/>
        <w:tabs>
          <w:tab w:leader="none" w:pos="435"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Arrowhead under </w:t>
      </w:r>
      <w:r>
        <w:rPr>
          <w:rFonts w:ascii="Arial" w:cs="Arial" w:eastAsia="Arial" w:hAnsi="Arial"/>
          <w:sz w:val="22"/>
          <w:szCs w:val="22"/>
          <w:u w:val="single" w:color="auto"/>
          <w:color w:val="auto"/>
        </w:rPr>
        <w:t>Section 10.7(c)(iv)(A)</w:t>
      </w:r>
      <w:r>
        <w:rPr>
          <w:rFonts w:ascii="Arial" w:cs="Arial" w:eastAsia="Arial" w:hAnsi="Arial"/>
          <w:sz w:val="22"/>
          <w:szCs w:val="22"/>
          <w:color w:val="auto"/>
        </w:rPr>
        <w:t xml:space="preserve"> shall be fully-paid and royalty-free;</w:t>
      </w:r>
    </w:p>
    <w:p>
      <w:pPr>
        <w:spacing w:after="0" w:line="206" w:lineRule="exact"/>
        <w:rPr>
          <w:sz w:val="20"/>
          <w:szCs w:val="20"/>
          <w:color w:val="auto"/>
        </w:rPr>
      </w:pPr>
    </w:p>
    <w:p>
      <w:pPr>
        <w:jc w:val="both"/>
        <w:ind w:left="2600"/>
        <w:spacing w:after="0" w:line="270" w:lineRule="auto"/>
        <w:tabs>
          <w:tab w:leader="none" w:pos="353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promptly following the effective date of such termination, in accordance with and to the extent permissible under Law, GSK shall (1) transfer and assign to Arrowhead (or its designee) all Regulatory Documents and Regulatory Approvals Controlled by GSK (or its Affiliates) as of the effective date of such termination with respect to the Compound or any Products in the Terminated Territory, and Arrowhead shall assume full responsibility for such Regulatory Documents and Regulatory Approvals; and (2) disclose, make available, transfer and assign to Arrowhead (or its designee), to the extent applicable, in existence and Controlled by GSK or its Affiliates as of the effective date of such termination, any information or copies of documents within the GSK Licensed Know-How that is related to and necessary for the continued Development, Manufacturing or Commercialization of the Compound or any Products in the Terminated Countries, in each case, to be further detailed in the Termination and Wind-Down Plan; provided that, in the event that GSK is unable to transfer and assign to Arrowhead (or its designee) such Regulatory Documents or Regulatory Approvals, effective upon the effective date of termination, GSK, on behalf of itself and its Affiliates, hereby consents and grants to Arrowhead an exclusive (even as to GSK and its Affiliates), fully paid, royalty-free, irrevocable, perpetual, sublicensable, worldwide license and right of reference under such Regulatory Documents and Regulatory Approvals (with the right to sublicense and grant further rights of reference) as necessary to Develop, Manufacture and Commercialize the Compound and Products in the Field for the Terminated Territory, without any further action required on the part of GSK, whose authorization to file this consent with any Regulatory Authority of the Terminated Territory is hereby granted effective as of the effective date of such termination;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600"/>
        <w:spacing w:after="0" w:line="244" w:lineRule="auto"/>
        <w:tabs>
          <w:tab w:leader="none" w:pos="3548"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if (1) the effective date of such termination occurs following the First Commercial Sale of a Product in the Terminated Territory, (2) as of the effective date of such termination, GSK or its Affiliates are Manufacturing finished product with respect to such Product for Commercialization thereof in the Terminated Territory, and (3) as of the effective date of such termination, neither Arrowhead nor any of its Affiliates, licensees or sublicensees has obtained all necessary Regulatory Approvals to Manufacture such Product and procured or developed its own source of finished product supply with respect to such Product for Commercialization thereof in the Terminated Territory, then, Arrowhead shall have the right, at Arrowhead’s sole cost and expense, to elect for GSK to provide a one-time supply of such Product for Commercialization in the Terminated Territory in accordance with this </w:t>
      </w:r>
      <w:r>
        <w:rPr>
          <w:rFonts w:ascii="Arial" w:cs="Arial" w:eastAsia="Arial" w:hAnsi="Arial"/>
          <w:sz w:val="21"/>
          <w:szCs w:val="21"/>
          <w:u w:val="single" w:color="auto"/>
          <w:color w:val="auto"/>
        </w:rPr>
        <w:t>Section 10.7(c)(iv)(D)</w:t>
      </w:r>
      <w:r>
        <w:rPr>
          <w:rFonts w:ascii="Arial" w:cs="Arial" w:eastAsia="Arial" w:hAnsi="Arial"/>
          <w:sz w:val="21"/>
          <w:szCs w:val="21"/>
          <w:color w:val="auto"/>
        </w:rPr>
        <w:t>: (i) Arrowhead must deliver a purchase order for such one-time supply of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right="260" w:firstLine="8"/>
        <w:spacing w:after="0" w:line="266" w:lineRule="auto"/>
        <w:tabs>
          <w:tab w:leader="none" w:pos="435"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2600"/>
        <w:spacing w:after="0" w:line="270" w:lineRule="auto"/>
        <w:rPr>
          <w:sz w:val="20"/>
          <w:szCs w:val="20"/>
          <w:color w:val="auto"/>
        </w:rPr>
      </w:pPr>
      <w:r>
        <w:rPr>
          <w:rFonts w:ascii="Arial" w:cs="Arial" w:eastAsia="Arial" w:hAnsi="Arial"/>
          <w:sz w:val="19"/>
          <w:szCs w:val="19"/>
          <w:color w:val="auto"/>
        </w:rPr>
        <w:t xml:space="preserve">Product to GSK within [***] following such effective date of termination; (ii) the quantity of such Product ordered shall not exceed the quantities of such Product actually Manufactured by or on behalf of GSK or its Affiliates in the Terminated Territory during the [***] period immediately preceding such effective date of termination; (iii) the delivery date for such Product consistent with the delivery timelines for such Product in the Terminated Territory during the [***] period immediately preceding such effective date of termination; (iv) GSK (or its Affiliate) may Manufacture or supply such Product (or any component thereof) directly or through any CMO; provided that, if such Product (or any component thereof) is Manufactured on behalf of GSK (or its Affiliate) by a CMO, such supply shall be subject to the terms and conditions of any applicable agreement then in effect between GSK (or its Affiliate) and such CMO, including production scheduling; (v) such Product shall be Manufactured in accordance with GSK ’s (or its Affiliate’s as applicable) then-current approved Manufacturing process with respect to such Product in such Terminated Territory; (vi) the supply price of such Product shall be equal to the Manufacturing Costs plus [***]; and (vii) any other customary terms and conditions of supply as the Parties may mutually agree (including, to the extent relevant and applicable to the commercial supply of Product as contemplated under this </w:t>
      </w:r>
      <w:r>
        <w:rPr>
          <w:rFonts w:ascii="Arial" w:cs="Arial" w:eastAsia="Arial" w:hAnsi="Arial"/>
          <w:sz w:val="19"/>
          <w:szCs w:val="19"/>
          <w:u w:val="single" w:color="auto"/>
          <w:color w:val="auto"/>
        </w:rPr>
        <w:t>Section 10.7(c)(iv)(D)</w:t>
      </w:r>
      <w:r>
        <w:rPr>
          <w:rFonts w:ascii="Arial" w:cs="Arial" w:eastAsia="Arial" w:hAnsi="Arial"/>
          <w:sz w:val="19"/>
          <w:szCs w:val="19"/>
          <w:color w:val="auto"/>
        </w:rPr>
        <w:t xml:space="preserve">, any terms as agreed by the Parties under the Clinical Supply Agreement, applying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provided that, for clarity, other than as set forth in </w:t>
      </w:r>
      <w:r>
        <w:rPr>
          <w:rFonts w:ascii="Arial" w:cs="Arial" w:eastAsia="Arial" w:hAnsi="Arial"/>
          <w:sz w:val="19"/>
          <w:szCs w:val="19"/>
          <w:u w:val="single" w:color="auto"/>
          <w:color w:val="auto"/>
        </w:rPr>
        <w:t>Section 10.7(c)(iii)</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10.7(c)(iv)(D)</w:t>
      </w:r>
      <w:r>
        <w:rPr>
          <w:rFonts w:ascii="Arial" w:cs="Arial" w:eastAsia="Arial" w:hAnsi="Arial"/>
          <w:sz w:val="19"/>
          <w:szCs w:val="19"/>
          <w:color w:val="auto"/>
        </w:rPr>
        <w:t>, GSK shall have no obligation to Manufacture or supply the Compound or any Product in the Terminated Territory following the effective date of any termination of this Agreement.</w:t>
      </w:r>
    </w:p>
    <w:p>
      <w:pPr>
        <w:spacing w:after="0" w:line="200" w:lineRule="exact"/>
        <w:rPr>
          <w:sz w:val="20"/>
          <w:szCs w:val="20"/>
          <w:color w:val="auto"/>
        </w:rPr>
      </w:pPr>
    </w:p>
    <w:p>
      <w:pPr>
        <w:spacing w:after="0" w:line="206" w:lineRule="exact"/>
        <w:rPr>
          <w:sz w:val="20"/>
          <w:szCs w:val="20"/>
          <w:color w:val="auto"/>
        </w:rPr>
      </w:pPr>
    </w:p>
    <w:p>
      <w:pPr>
        <w:ind w:left="3520" w:hanging="920"/>
        <w:spacing w:after="0"/>
        <w:tabs>
          <w:tab w:leader="none" w:pos="35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the Agreement is terminated in its entirety:</w:t>
      </w:r>
    </w:p>
    <w:p>
      <w:pPr>
        <w:spacing w:after="0" w:line="206" w:lineRule="exact"/>
        <w:rPr>
          <w:rFonts w:ascii="Arial" w:cs="Arial" w:eastAsia="Arial" w:hAnsi="Arial"/>
          <w:sz w:val="22"/>
          <w:szCs w:val="22"/>
          <w:color w:val="auto"/>
        </w:rPr>
      </w:pPr>
    </w:p>
    <w:p>
      <w:pPr>
        <w:jc w:val="both"/>
        <w:ind w:left="2780" w:firstLine="1166"/>
        <w:spacing w:after="0" w:line="249" w:lineRule="auto"/>
        <w:tabs>
          <w:tab w:leader="none" w:pos="4831" w:val="left"/>
        </w:tabs>
        <w:numPr>
          <w:ilvl w:val="1"/>
          <w:numId w:val="180"/>
        </w:numPr>
        <w:rPr>
          <w:rFonts w:ascii="Arial" w:cs="Arial" w:eastAsia="Arial" w:hAnsi="Arial"/>
          <w:sz w:val="19"/>
          <w:szCs w:val="19"/>
          <w:color w:val="auto"/>
        </w:rPr>
      </w:pPr>
      <w:r>
        <w:rPr>
          <w:rFonts w:ascii="Arial" w:cs="Arial" w:eastAsia="Arial" w:hAnsi="Arial"/>
          <w:sz w:val="21"/>
          <w:szCs w:val="21"/>
          <w:color w:val="auto"/>
        </w:rPr>
        <w:t xml:space="preserve">Arrowhead will have the sole responsibility, at its cost, for filing, prosecuting (including Post-Grant Proceedings), maintaining, enforcing and defending any (x) GSK Licensed Patent or (y) Joint Agreement Patent, in each case (x) or (y), that (i) claims solely the Compound or the Products in the Terminated Territory and (ii) is the subject of the exclusive license to Arrowhead pursuant to </w:t>
      </w:r>
      <w:r>
        <w:rPr>
          <w:rFonts w:ascii="Arial" w:cs="Arial" w:eastAsia="Arial" w:hAnsi="Arial"/>
          <w:sz w:val="21"/>
          <w:szCs w:val="21"/>
          <w:u w:val="single" w:color="auto"/>
          <w:color w:val="auto"/>
        </w:rPr>
        <w:t>Section 10.7(c)(iv)(A)</w:t>
      </w:r>
      <w:r>
        <w:rPr>
          <w:rFonts w:ascii="Arial" w:cs="Arial" w:eastAsia="Arial" w:hAnsi="Arial"/>
          <w:sz w:val="21"/>
          <w:szCs w:val="21"/>
          <w:color w:val="auto"/>
        </w:rPr>
        <w:t>; and</w:t>
      </w:r>
    </w:p>
    <w:p>
      <w:pPr>
        <w:spacing w:after="0" w:line="178" w:lineRule="exact"/>
        <w:rPr>
          <w:rFonts w:ascii="Arial" w:cs="Arial" w:eastAsia="Arial" w:hAnsi="Arial"/>
          <w:sz w:val="19"/>
          <w:szCs w:val="19"/>
          <w:color w:val="auto"/>
        </w:rPr>
      </w:pPr>
    </w:p>
    <w:p>
      <w:pPr>
        <w:jc w:val="both"/>
        <w:ind w:left="2780" w:firstLine="1166"/>
        <w:spacing w:after="0" w:line="277" w:lineRule="auto"/>
        <w:tabs>
          <w:tab w:leader="none" w:pos="4831" w:val="left"/>
        </w:tabs>
        <w:numPr>
          <w:ilvl w:val="1"/>
          <w:numId w:val="180"/>
        </w:numPr>
        <w:rPr>
          <w:rFonts w:ascii="Arial" w:cs="Arial" w:eastAsia="Arial" w:hAnsi="Arial"/>
          <w:sz w:val="18"/>
          <w:szCs w:val="18"/>
          <w:color w:val="auto"/>
        </w:rPr>
      </w:pPr>
      <w:r>
        <w:rPr>
          <w:rFonts w:ascii="Arial" w:cs="Arial" w:eastAsia="Arial" w:hAnsi="Arial"/>
          <w:sz w:val="19"/>
          <w:szCs w:val="19"/>
          <w:color w:val="auto"/>
        </w:rPr>
        <w:t xml:space="preserve">with respect to any GSK Licensed Patent or Joint Agreement Patent (other than any GSK Licensed Patents or Joint Agreement Patents for which Arrowhead has the sole right to file, prosecute (including Post-Grant Proceedings), maintain, enforce and defend pursuant to </w:t>
      </w:r>
      <w:r>
        <w:rPr>
          <w:rFonts w:ascii="Arial" w:cs="Arial" w:eastAsia="Arial" w:hAnsi="Arial"/>
          <w:sz w:val="19"/>
          <w:szCs w:val="19"/>
          <w:u w:val="single" w:color="auto"/>
          <w:color w:val="auto"/>
        </w:rPr>
        <w:t>Section 10.7(c)(iv)(E)(1)</w:t>
      </w:r>
      <w:r>
        <w:rPr>
          <w:rFonts w:ascii="Arial" w:cs="Arial" w:eastAsia="Arial" w:hAnsi="Arial"/>
          <w:sz w:val="19"/>
          <w:szCs w:val="19"/>
          <w:color w:val="auto"/>
        </w:rPr>
        <w:t>), as between the Parties, GSK shall have the first right (but not the obligation), in its sole discretion and at its own cost and expense, to control the preparation, filing, prosecution (including any Post-Grant Proceedings), maintenance, enforcement and defense in the Terminated Territory; provided that, if (x) neither GSK nor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right="260" w:firstLine="8"/>
        <w:spacing w:after="0" w:line="266" w:lineRule="auto"/>
        <w:tabs>
          <w:tab w:leader="none" w:pos="435"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2780"/>
        <w:spacing w:after="0" w:line="269" w:lineRule="auto"/>
        <w:rPr>
          <w:sz w:val="20"/>
          <w:szCs w:val="20"/>
          <w:color w:val="auto"/>
        </w:rPr>
      </w:pPr>
      <w:r>
        <w:rPr>
          <w:rFonts w:ascii="Arial" w:cs="Arial" w:eastAsia="Arial" w:hAnsi="Arial"/>
          <w:sz w:val="19"/>
          <w:szCs w:val="19"/>
          <w:color w:val="auto"/>
        </w:rPr>
        <w:t xml:space="preserve">any of its Affiliates elects to file or to continue to prosecute or maintain any such Patent in any country of the Terminated Territory, then GSK shall notify Arrowhead at least [***] before any deadline applicable to the filing, prosecution or maintenance of such Patent, as the case may be, or any other date by which an action must be taken to establish or preserve such Patent in such country and Arrowhead shall have the right (but not the obligation) to assume responsibility for the preparation, filing, prosecution and maintenance of such Patent in such country by delivery of notice to GSK (provided that the terms of </w:t>
      </w:r>
      <w:r>
        <w:rPr>
          <w:rFonts w:ascii="Arial" w:cs="Arial" w:eastAsia="Arial" w:hAnsi="Arial"/>
          <w:sz w:val="19"/>
          <w:szCs w:val="19"/>
          <w:u w:val="single" w:color="auto"/>
          <w:color w:val="auto"/>
        </w:rPr>
        <w:t>Section 6.3(d)</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thereto); and (y) GSK notifies Arrowhead of its (or its Affiliate’s, as applicable) intent not to bring an Enforcement Action against the applicable Third Party with respect to any such Patent in any country of the Terminated Territory or otherwise fails to take commercially reasonable steps to prosecute or settle any such Third Party Competing Infringement or defend or settle any Third Party Action with respect to any such Patent, in each case, in any country of the Terminated Territory, as applicable, within [***] of receiving a notice with respect to such infringement from Arrowhead (or, if earlier, within [***] before the time limit, if any, under Law for taking any action with respect to the timeframe of any other relevant regulatory or statutory framework that may govern), then Arrowhead shall have the right (but not the obligation), subject to discussion with GSK and consideration in good faith of any rationale provided by GSK as to why GSK (or its Affiliate’s, as applicable) elected not to take such action and GSK’s written consent (not to be unreasonably withheld) to assume responsibility for, in its sole discretion and at its own cost and expense, bringing any such Enforcement Action, prosecuting or settling any such Third Party Competing Infringement or defending or settling any such Third Party Action, as applicable, with respect to such Patent in the Terminated Territory by delivery of notice to GSK (provided that GSK will join any such Enforcement Action as a party plaintiff if required by Law for Arrowhead to pursue such Enforcement Action and the terms of </w:t>
      </w:r>
      <w:r>
        <w:rPr>
          <w:rFonts w:ascii="Arial" w:cs="Arial" w:eastAsia="Arial" w:hAnsi="Arial"/>
          <w:sz w:val="19"/>
          <w:szCs w:val="19"/>
          <w:u w:val="single" w:color="auto"/>
          <w:color w:val="auto"/>
        </w:rPr>
        <w:t>Section 6.4(f)</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thereto).</w:t>
      </w:r>
    </w:p>
    <w:p>
      <w:pPr>
        <w:spacing w:after="0" w:line="200" w:lineRule="exact"/>
        <w:rPr>
          <w:sz w:val="20"/>
          <w:szCs w:val="20"/>
          <w:color w:val="auto"/>
        </w:rPr>
      </w:pPr>
    </w:p>
    <w:p>
      <w:pPr>
        <w:spacing w:after="0" w:line="214" w:lineRule="exact"/>
        <w:rPr>
          <w:sz w:val="20"/>
          <w:szCs w:val="20"/>
          <w:color w:val="auto"/>
        </w:rPr>
      </w:pPr>
    </w:p>
    <w:p>
      <w:pPr>
        <w:jc w:val="both"/>
        <w:ind w:left="2600"/>
        <w:spacing w:after="0" w:line="245" w:lineRule="auto"/>
        <w:tabs>
          <w:tab w:leader="none" w:pos="3512"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If this Agreement is terminated in its entirety, with respect to any (1) any Patents owned by Arrowhead or any of its Affiliates in respect of which (x) GSK has engaged in the filing, prosecution (including Post-Grant Proceedings) or maintenance thereof, whether under its first right or step-in rights, as permitted pursuant to </w:t>
      </w:r>
      <w:r>
        <w:rPr>
          <w:rFonts w:ascii="Arial" w:cs="Arial" w:eastAsia="Arial" w:hAnsi="Arial"/>
          <w:sz w:val="21"/>
          <w:szCs w:val="21"/>
          <w:u w:val="single" w:color="auto"/>
          <w:color w:val="auto"/>
        </w:rPr>
        <w:t>Section 6.3(c)</w:t>
      </w:r>
      <w:r>
        <w:rPr>
          <w:rFonts w:ascii="Arial" w:cs="Arial" w:eastAsia="Arial" w:hAnsi="Arial"/>
          <w:sz w:val="21"/>
          <w:szCs w:val="21"/>
          <w:color w:val="auto"/>
        </w:rPr>
        <w:t xml:space="preserve"> or (y) GSK has engaged in the enforcement or defense of such Patent, as applicable whether under its first right or step-in rights, under, respectively,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as applicable, (2) any (i) GSK Licensed Patent or (ii) Joint Agreement Patent, in each case ((i) or (ii)), that (a) claims solely the Compound or the Products in the Terminated Territory and (b) is the subject of the exclusive license to Arrowhead pursuant to </w:t>
      </w:r>
      <w:r>
        <w:rPr>
          <w:rFonts w:ascii="Arial" w:cs="Arial" w:eastAsia="Arial" w:hAnsi="Arial"/>
          <w:sz w:val="21"/>
          <w:szCs w:val="21"/>
          <w:u w:val="single" w:color="auto"/>
          <w:color w:val="auto"/>
        </w:rPr>
        <w:t>Section 10.7(c)(iv)(A)</w:t>
      </w:r>
      <w:r>
        <w:rPr>
          <w:rFonts w:ascii="Arial" w:cs="Arial" w:eastAsia="Arial" w:hAnsi="Arial"/>
          <w:sz w:val="21"/>
          <w:szCs w:val="21"/>
          <w:color w:val="auto"/>
        </w:rPr>
        <w:t>, or (3) any other GSK Licensed Patent or Joint Agreement Patent for which Arrowhead has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right="260" w:firstLine="8"/>
        <w:spacing w:after="0" w:line="266" w:lineRule="auto"/>
        <w:tabs>
          <w:tab w:leader="none" w:pos="435"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2600"/>
        <w:spacing w:after="0" w:line="279" w:lineRule="auto"/>
        <w:rPr>
          <w:sz w:val="20"/>
          <w:szCs w:val="20"/>
          <w:color w:val="auto"/>
        </w:rPr>
      </w:pPr>
      <w:r>
        <w:rPr>
          <w:rFonts w:ascii="Arial" w:cs="Arial" w:eastAsia="Arial" w:hAnsi="Arial"/>
          <w:sz w:val="19"/>
          <w:szCs w:val="19"/>
          <w:color w:val="auto"/>
        </w:rPr>
        <w:t xml:space="preserve">exercised its step-in rights as permitted pursuant to </w:t>
      </w:r>
      <w:r>
        <w:rPr>
          <w:rFonts w:ascii="Arial" w:cs="Arial" w:eastAsia="Arial" w:hAnsi="Arial"/>
          <w:sz w:val="19"/>
          <w:szCs w:val="19"/>
          <w:u w:val="single" w:color="auto"/>
          <w:color w:val="auto"/>
        </w:rPr>
        <w:t>Section 10.7(c)(iv)(E)(2)</w:t>
      </w:r>
      <w:r>
        <w:rPr>
          <w:rFonts w:ascii="Arial" w:cs="Arial" w:eastAsia="Arial" w:hAnsi="Arial"/>
          <w:sz w:val="19"/>
          <w:szCs w:val="19"/>
          <w:color w:val="auto"/>
        </w:rPr>
        <w:t xml:space="preserve">, in each case ((1), (2) or (3)), as applicable, then upon Arrowhead’s request, at Arrowhead’s cost and expense, GSK will transfer to Arrowhead or its designee copies of all filings, applications, correspondence and other related records received or generated by GSK in the course of filing, prosecuting (including Post-Grant Proceedings), maintaining, enforcing or defending such Patent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10.7(c)(iv)(E)(2)</w:t>
      </w:r>
      <w:r>
        <w:rPr>
          <w:rFonts w:ascii="Arial" w:cs="Arial" w:eastAsia="Arial" w:hAnsi="Arial"/>
          <w:sz w:val="19"/>
          <w:szCs w:val="19"/>
          <w:color w:val="auto"/>
        </w:rPr>
        <w:t>, as applicable.</w:t>
      </w:r>
    </w:p>
    <w:p>
      <w:pPr>
        <w:spacing w:after="0" w:line="150" w:lineRule="exact"/>
        <w:rPr>
          <w:sz w:val="20"/>
          <w:szCs w:val="20"/>
          <w:color w:val="auto"/>
        </w:rPr>
      </w:pPr>
    </w:p>
    <w:p>
      <w:pPr>
        <w:jc w:val="both"/>
        <w:ind w:left="880" w:firstLine="789"/>
        <w:spacing w:after="0" w:line="273" w:lineRule="auto"/>
        <w:tabs>
          <w:tab w:leader="none" w:pos="2577" w:val="left"/>
        </w:tabs>
        <w:numPr>
          <w:ilvl w:val="1"/>
          <w:numId w:val="184"/>
        </w:numPr>
        <w:rPr>
          <w:rFonts w:ascii="Arial" w:cs="Arial" w:eastAsia="Arial" w:hAnsi="Arial"/>
          <w:sz w:val="19"/>
          <w:szCs w:val="19"/>
          <w:color w:val="auto"/>
        </w:rPr>
      </w:pPr>
      <w:r>
        <w:rPr>
          <w:rFonts w:ascii="Arial" w:cs="Arial" w:eastAsia="Arial" w:hAnsi="Arial"/>
          <w:sz w:val="19"/>
          <w:szCs w:val="19"/>
          <w:i w:val="1"/>
          <w:iCs w:val="1"/>
          <w:color w:val="auto"/>
        </w:rPr>
        <w:t>Third Party Agreements</w:t>
      </w:r>
      <w:r>
        <w:rPr>
          <w:rFonts w:ascii="Arial" w:cs="Arial" w:eastAsia="Arial" w:hAnsi="Arial"/>
          <w:sz w:val="19"/>
          <w:szCs w:val="19"/>
          <w:color w:val="auto"/>
        </w:rPr>
        <w:t>. If Arrowhead so requests in writing prior to the effective date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and to the extent permitted under Law and under GSK’s or any of its Affiliate’s obligations to Third Parties, as the case may be, effective as of the effective date of such termination, GSK will assign, or cause such Affiliate to assign, to Arrowhead and Arrowhead will assume, any Third Party agreements that solely relate to the Development, Manufacture or Commercialization of the Products in the Terminated Territory to which GSK or its Affiliates are a party (but excluding any agreements with respect to the Manufacture of Products); provided that, if the assignment of any such Third Party agreement requires the consent of any Third Party, such assignment of such Third Party agreement will not occur unless and until such consent is obtained (it being understood that if so requested by Arrowhead in writing, GSK will, and will cause its Affiliates to, at Arrowhead’s cost, use reasonable efforts to obtain any such consent as promptly as reasonably practicable under the circumstances).</w:t>
      </w:r>
    </w:p>
    <w:p>
      <w:pPr>
        <w:spacing w:after="0" w:line="160" w:lineRule="exact"/>
        <w:rPr>
          <w:rFonts w:ascii="Arial" w:cs="Arial" w:eastAsia="Arial" w:hAnsi="Arial"/>
          <w:sz w:val="19"/>
          <w:szCs w:val="19"/>
          <w:color w:val="auto"/>
        </w:rPr>
      </w:pPr>
    </w:p>
    <w:p>
      <w:pPr>
        <w:jc w:val="both"/>
        <w:ind w:left="880" w:firstLine="789"/>
        <w:spacing w:after="0" w:line="244" w:lineRule="auto"/>
        <w:tabs>
          <w:tab w:leader="none" w:pos="2637" w:val="left"/>
        </w:tabs>
        <w:numPr>
          <w:ilvl w:val="1"/>
          <w:numId w:val="184"/>
        </w:numPr>
        <w:rPr>
          <w:rFonts w:ascii="Arial" w:cs="Arial" w:eastAsia="Arial" w:hAnsi="Arial"/>
          <w:sz w:val="21"/>
          <w:szCs w:val="21"/>
          <w:color w:val="auto"/>
        </w:rPr>
      </w:pPr>
      <w:r>
        <w:rPr>
          <w:rFonts w:ascii="Arial" w:cs="Arial" w:eastAsia="Arial" w:hAnsi="Arial"/>
          <w:sz w:val="21"/>
          <w:szCs w:val="21"/>
          <w:i w:val="1"/>
          <w:iCs w:val="1"/>
          <w:color w:val="auto"/>
        </w:rPr>
        <w:t>Reversion Trademarks</w:t>
      </w:r>
      <w:r>
        <w:rPr>
          <w:rFonts w:ascii="Arial" w:cs="Arial" w:eastAsia="Arial" w:hAnsi="Arial"/>
          <w:sz w:val="21"/>
          <w:szCs w:val="21"/>
          <w:color w:val="auto"/>
        </w:rPr>
        <w:t>. If as of the effective date of termination of this Agreement in its entirety or</w:t>
      </w:r>
      <w:r>
        <w:rPr>
          <w:rFonts w:ascii="Arial" w:cs="Arial" w:eastAsia="Arial" w:hAnsi="Arial"/>
          <w:sz w:val="21"/>
          <w:szCs w:val="21"/>
          <w:i w:val="1"/>
          <w:iCs w:val="1"/>
          <w:color w:val="auto"/>
        </w:rPr>
        <w:t xml:space="preserve"> </w:t>
      </w:r>
      <w:r>
        <w:rPr>
          <w:rFonts w:ascii="Arial" w:cs="Arial" w:eastAsia="Arial" w:hAnsi="Arial"/>
          <w:sz w:val="21"/>
          <w:szCs w:val="21"/>
          <w:color w:val="auto"/>
        </w:rPr>
        <w:t>in part, as the case may be, (A) GSK or any of its Affiliates owns any trademarks that are used exclusively for the Products in the Terminated Territory (but, for clarity, excluding any house marks of GSK or any of its Affiliates or Sublicensees) and (B) such trademarks have been approved by the Regulatory Authority in the Terminated Territory for use with the Products (such trademarks, the “</w:t>
      </w:r>
      <w:r>
        <w:rPr>
          <w:rFonts w:ascii="Arial" w:cs="Arial" w:eastAsia="Arial" w:hAnsi="Arial"/>
          <w:sz w:val="21"/>
          <w:szCs w:val="21"/>
          <w:b w:val="1"/>
          <w:bCs w:val="1"/>
          <w:color w:val="auto"/>
        </w:rPr>
        <w:t>Reversion Trademarks</w:t>
      </w:r>
      <w:r>
        <w:rPr>
          <w:rFonts w:ascii="Arial" w:cs="Arial" w:eastAsia="Arial" w:hAnsi="Arial"/>
          <w:sz w:val="21"/>
          <w:szCs w:val="21"/>
          <w:color w:val="auto"/>
        </w:rPr>
        <w:t>”), then, at Arrowhead’s written request, promptly following the effective date of such termination, GSK will transfer and assign to Arrowhead all of GSK’s and its Affiliates’ rights, title and interest in and to such Reversion Trademarks for the Terminated Territory, pursuant to an agreement that the Parties will negotiate and enter into after such effective date of termination, which agreement will contain, to the extent applicable, quality control and indemnification obligations customary of such agreements applying to Arrowhead’s use of such transferred Reversion Trademarks following such assignment or license, as applicable.</w:t>
      </w:r>
    </w:p>
    <w:p>
      <w:pPr>
        <w:spacing w:after="0" w:line="188" w:lineRule="exact"/>
        <w:rPr>
          <w:rFonts w:ascii="Arial" w:cs="Arial" w:eastAsia="Arial" w:hAnsi="Arial"/>
          <w:sz w:val="21"/>
          <w:szCs w:val="21"/>
          <w:color w:val="auto"/>
        </w:rPr>
      </w:pPr>
    </w:p>
    <w:p>
      <w:pPr>
        <w:jc w:val="both"/>
        <w:ind w:left="880" w:hanging="8"/>
        <w:spacing w:after="0" w:line="234" w:lineRule="auto"/>
        <w:tabs>
          <w:tab w:leader="none" w:pos="1792" w:val="left"/>
        </w:tabs>
        <w:numPr>
          <w:ilvl w:val="0"/>
          <w:numId w:val="185"/>
        </w:numPr>
        <w:rPr>
          <w:rFonts w:ascii="Arial" w:cs="Arial" w:eastAsia="Arial" w:hAnsi="Arial"/>
          <w:sz w:val="22"/>
          <w:szCs w:val="22"/>
          <w:b w:val="1"/>
          <w:bCs w:val="1"/>
          <w:color w:val="auto"/>
        </w:rPr>
      </w:pPr>
      <w:r>
        <w:rPr>
          <w:rFonts w:ascii="Arial" w:cs="Arial" w:eastAsia="Arial" w:hAnsi="Arial"/>
          <w:sz w:val="22"/>
          <w:szCs w:val="22"/>
          <w:i w:val="1"/>
          <w:iCs w:val="1"/>
          <w:color w:val="auto"/>
        </w:rPr>
        <w:t>Sublicense Survival</w:t>
      </w:r>
      <w:r>
        <w:rPr>
          <w:rFonts w:ascii="Arial" w:cs="Arial" w:eastAsia="Arial" w:hAnsi="Arial"/>
          <w:sz w:val="22"/>
          <w:szCs w:val="22"/>
          <w:color w:val="auto"/>
        </w:rPr>
        <w:t>. Arrowhead will, at the written election of any terminated Third Party that is a</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terminated Sublicensee (to the extent not then in breach of the applicable sublicense agreement), negotiate in good faith the potential grant of a direct license to such terminated Sublicensee, which license will not be broader in license scope, territory or duration than such sublicense agreement granted by GSK or any of its Affiliates to such Sublicensee and not more burdensome on Arrowhead in any material manner and no less favorable to Arrowhead than the financial terms of Article 5 (each, a “</w:t>
      </w:r>
      <w:r>
        <w:rPr>
          <w:rFonts w:ascii="Arial" w:cs="Arial" w:eastAsia="Arial" w:hAnsi="Arial"/>
          <w:sz w:val="22"/>
          <w:szCs w:val="22"/>
          <w:b w:val="1"/>
          <w:bCs w:val="1"/>
          <w:color w:val="auto"/>
        </w:rPr>
        <w:t>New License Agreement</w:t>
      </w:r>
      <w:r>
        <w:rPr>
          <w:rFonts w:ascii="Arial" w:cs="Arial" w:eastAsia="Arial" w:hAnsi="Arial"/>
          <w:sz w:val="22"/>
          <w:szCs w:val="22"/>
          <w:color w:val="auto"/>
        </w:rPr>
        <w:t>”). Notwithstanding any provision to the contrary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-182245</wp:posOffset>
            </wp:positionV>
            <wp:extent cx="5092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0927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right="260" w:firstLine="8"/>
        <w:spacing w:after="0" w:line="266" w:lineRule="auto"/>
        <w:tabs>
          <w:tab w:leader="none" w:pos="435"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Arrowhead will not be obligated to negotiate a New License Agreement with a terminated Sublicensee (i) unless such Sublicensee notifies Arrowhead in writing within sixty (60) days after the termination of this Agreement in its entirety or in part that it wishes to negotiate and enter into a New License Agreement or (ii) if such notice is provided by a terminated Sublicensee within such sixty (60) day period, at any time following the expiration of a sixty (60) day period after the date of such notice.</w:t>
      </w:r>
    </w:p>
    <w:p>
      <w:pPr>
        <w:spacing w:after="0" w:line="187" w:lineRule="exact"/>
        <w:rPr>
          <w:sz w:val="20"/>
          <w:szCs w:val="20"/>
          <w:color w:val="auto"/>
        </w:rPr>
      </w:pPr>
    </w:p>
    <w:p>
      <w:pPr>
        <w:jc w:val="both"/>
        <w:ind w:left="880" w:hanging="8"/>
        <w:spacing w:after="0"/>
        <w:tabs>
          <w:tab w:leader="none" w:pos="1768" w:val="left"/>
        </w:tabs>
        <w:numPr>
          <w:ilvl w:val="0"/>
          <w:numId w:val="187"/>
        </w:numPr>
        <w:rPr>
          <w:rFonts w:ascii="Arial" w:cs="Arial" w:eastAsia="Arial" w:hAnsi="Arial"/>
          <w:sz w:val="22"/>
          <w:szCs w:val="22"/>
          <w:b w:val="1"/>
          <w:bCs w:val="1"/>
          <w:color w:val="auto"/>
        </w:rPr>
      </w:pPr>
      <w:r>
        <w:rPr>
          <w:rFonts w:ascii="Arial" w:cs="Arial" w:eastAsia="Arial" w:hAnsi="Arial"/>
          <w:sz w:val="22"/>
          <w:szCs w:val="22"/>
          <w:i w:val="1"/>
          <w:iCs w:val="1"/>
          <w:color w:val="auto"/>
        </w:rPr>
        <w:t>Further Assurances</w:t>
      </w:r>
      <w:r>
        <w:rPr>
          <w:rFonts w:ascii="Arial" w:cs="Arial" w:eastAsia="Arial" w:hAnsi="Arial"/>
          <w:sz w:val="22"/>
          <w:szCs w:val="22"/>
          <w:color w:val="auto"/>
        </w:rPr>
        <w:t>. Each Party will execute all reasonable documents and take all such further actions as</w:t>
      </w:r>
      <w:r>
        <w:rPr>
          <w:rFonts w:ascii="Arial" w:cs="Arial" w:eastAsia="Arial" w:hAnsi="Arial"/>
          <w:sz w:val="22"/>
          <w:szCs w:val="22"/>
          <w:i w:val="1"/>
          <w:iCs w:val="1"/>
          <w:color w:val="auto"/>
        </w:rPr>
        <w:t xml:space="preserve"> </w:t>
      </w:r>
      <w:r>
        <w:rPr>
          <w:rFonts w:ascii="Arial" w:cs="Arial" w:eastAsia="Arial" w:hAnsi="Arial"/>
          <w:sz w:val="22"/>
          <w:szCs w:val="22"/>
          <w:color w:val="auto"/>
        </w:rPr>
        <w:t>may be reasonably requested by the other Party, at such other Party's cost, in order to give effect to the foregoing clauses.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22"/>
          <w:szCs w:val="22"/>
          <w:b w:val="1"/>
          <w:bCs w:val="1"/>
          <w:color w:val="auto"/>
        </w:rPr>
        <w:t>[***]</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color w:val="auto"/>
        </w:rPr>
        <w:t>Bankruptcy</w:t>
      </w:r>
    </w:p>
    <w:p>
      <w:pPr>
        <w:spacing w:after="0" w:line="212" w:lineRule="exact"/>
        <w:rPr>
          <w:sz w:val="20"/>
          <w:szCs w:val="20"/>
          <w:color w:val="auto"/>
        </w:rPr>
      </w:pPr>
    </w:p>
    <w:p>
      <w:pPr>
        <w:jc w:val="right"/>
        <w:ind w:left="880" w:hanging="806"/>
        <w:spacing w:after="0" w:line="273" w:lineRule="auto"/>
        <w:tabs>
          <w:tab w:leader="none" w:pos="23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All rights and licenses granted under or pursuant to this Agreement by a Party to the other are and will otherwise be deemed to be, for purposes of section 365(n) of the Bankruptcy Code, licenses or rights to “intellectual property” as defined under section 101 of the Bankruptcy Code. The Parties agree that upon (a) commencement of a bankruptcy proceeding by or</w:t>
      </w:r>
    </w:p>
    <w:p>
      <w:pPr>
        <w:spacing w:after="0" w:line="1" w:lineRule="exact"/>
        <w:rPr>
          <w:rFonts w:ascii="Arial" w:cs="Arial" w:eastAsia="Arial" w:hAnsi="Arial"/>
          <w:sz w:val="19"/>
          <w:szCs w:val="19"/>
          <w:color w:val="auto"/>
        </w:rPr>
      </w:pPr>
    </w:p>
    <w:p>
      <w:pPr>
        <w:jc w:val="both"/>
        <w:ind w:left="880"/>
        <w:spacing w:after="0" w:line="269" w:lineRule="auto"/>
        <w:rPr>
          <w:rFonts w:ascii="Arial" w:cs="Arial" w:eastAsia="Arial" w:hAnsi="Arial"/>
          <w:sz w:val="19"/>
          <w:szCs w:val="19"/>
          <w:color w:val="auto"/>
        </w:rPr>
      </w:pPr>
      <w:r>
        <w:rPr>
          <w:rFonts w:ascii="Arial" w:cs="Arial" w:eastAsia="Arial" w:hAnsi="Arial"/>
          <w:sz w:val="19"/>
          <w:szCs w:val="19"/>
          <w:color w:val="auto"/>
        </w:rPr>
        <w:t>(b) entry of an order for relief in connection with an involuntary bankruptcy proceeding against a Party (the “</w:t>
      </w:r>
      <w:r>
        <w:rPr>
          <w:rFonts w:ascii="Arial" w:cs="Arial" w:eastAsia="Arial" w:hAnsi="Arial"/>
          <w:sz w:val="19"/>
          <w:szCs w:val="19"/>
          <w:b w:val="1"/>
          <w:bCs w:val="1"/>
          <w:color w:val="auto"/>
        </w:rPr>
        <w:t>Bankrupt</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under the Bankruptcy Code (collectively, the “Bankruptcy Commencement Date”), the other Party (the “</w:t>
      </w:r>
      <w:r>
        <w:rPr>
          <w:rFonts w:ascii="Arial" w:cs="Arial" w:eastAsia="Arial" w:hAnsi="Arial"/>
          <w:sz w:val="19"/>
          <w:szCs w:val="19"/>
          <w:b w:val="1"/>
          <w:bCs w:val="1"/>
          <w:color w:val="auto"/>
        </w:rPr>
        <w:t>Non-Bankrupt Party</w:t>
      </w:r>
      <w:r>
        <w:rPr>
          <w:rFonts w:ascii="Arial" w:cs="Arial" w:eastAsia="Arial" w:hAnsi="Arial"/>
          <w:sz w:val="19"/>
          <w:szCs w:val="19"/>
          <w:color w:val="auto"/>
        </w:rPr>
        <w:t>”), in addition to its rights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10.4</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under this Agreement, will be entitled to a</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duplicate of, or complete access to (as the Non-Bankrupt Party deems appropriate), all such intellectual property and all embodiments of such intellectual property. Such intellectual property and all embodiments of such intellectual property will be promptly delivered to the Non-Bankrupt Party (a) following any such Bankruptcy Commencement Date, within [***] of receiving written request by the Non-Bankrupt Party, unless the Bankrupt Party has assumed this Agreement prior to receipt of such written request by the Non-Bankrupt Party; or (b) if not delivered under clause (a) above, on or before entry of an order by a competent court having jurisdiction over the matter authorizing the rejection of this Agreement. The Bankrupt Party (in any capacity, including debtor-in-possession) and its successors and assigns (including any trustee) agree not to interfere with the exercise by the Non-Bankrupt Party of its rights and licenses to such intellectual property and such embodiments of intellectual property in accordance with this Agreement. In addition, the Bankrupt Party waives to the fullest extent permitted by Law any and all rights to sell its intellectual property assets (including any Patents) free and clear of the Non-Bankrupt Party’s rights and licenses in and to such intellectual property whether pursuant to section 363 of the Bankruptcy Code or pursuant to a chapter 11 plan. The foregoing provisions are without prejudice to any rights the Non-Bankrupt Party may have arising under the Bankruptcy Code or other Laws.</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EFFECTIVENESS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Effective Date</w:t>
      </w:r>
    </w:p>
    <w:p>
      <w:pPr>
        <w:spacing w:after="0" w:line="212" w:lineRule="exact"/>
        <w:rPr>
          <w:sz w:val="20"/>
          <w:szCs w:val="20"/>
          <w:color w:val="auto"/>
        </w:rPr>
      </w:pPr>
    </w:p>
    <w:p>
      <w:pPr>
        <w:ind w:left="880" w:hanging="806"/>
        <w:spacing w:after="0"/>
        <w:tabs>
          <w:tab w:leader="none" w:pos="33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If (a) any applicable waiting periods and approvals are required under Antitrust Laws with respect to the transactions contemplated under this Agreement, as identified in </w:t>
      </w:r>
      <w:r>
        <w:rPr>
          <w:rFonts w:ascii="Arial" w:cs="Arial" w:eastAsia="Arial" w:hAnsi="Arial"/>
          <w:sz w:val="22"/>
          <w:szCs w:val="22"/>
          <w:b w:val="1"/>
          <w:bCs w:val="1"/>
          <w:color w:val="auto"/>
        </w:rPr>
        <w:t>Schedule 1.11</w:t>
      </w:r>
      <w:r>
        <w:rPr>
          <w:rFonts w:ascii="Arial" w:cs="Arial" w:eastAsia="Arial" w:hAnsi="Arial"/>
          <w:sz w:val="22"/>
          <w:szCs w:val="22"/>
          <w:color w:val="auto"/>
        </w:rPr>
        <w:t>, then except for the Parties’ obligations under Article 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-30480</wp:posOffset>
            </wp:positionV>
            <wp:extent cx="483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483870"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right="260" w:firstLine="8"/>
        <w:spacing w:after="0" w:line="266" w:lineRule="auto"/>
        <w:tabs>
          <w:tab w:leader="none" w:pos="435"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7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Article 11</w:t>
      </w:r>
      <w:r>
        <w:rPr>
          <w:rFonts w:ascii="Arial" w:cs="Arial" w:eastAsia="Arial" w:hAnsi="Arial"/>
          <w:sz w:val="19"/>
          <w:szCs w:val="19"/>
          <w:color w:val="auto"/>
        </w:rPr>
        <w:t>, which will be effective as of the Execution Date, this Agreement will not become effective until the first Business Day after the Antitrust Clearance Date; and (b) any applicable waiting periods and approvals are not required under Antitrust Laws with respect to the transactions contemplated under this Agreement, then this Agreement will become effective on the Execution Date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On the Effective Date, Arrowhead will provide to GSK and updated version of </w:t>
      </w:r>
      <w:r>
        <w:rPr>
          <w:rFonts w:ascii="Arial" w:cs="Arial" w:eastAsia="Arial" w:hAnsi="Arial"/>
          <w:sz w:val="19"/>
          <w:szCs w:val="19"/>
          <w:b w:val="1"/>
          <w:bCs w:val="1"/>
          <w:color w:val="auto"/>
        </w:rPr>
        <w:t>Schedule 8.2</w:t>
      </w:r>
      <w:r>
        <w:rPr>
          <w:rFonts w:ascii="Arial" w:cs="Arial" w:eastAsia="Arial" w:hAnsi="Arial"/>
          <w:sz w:val="19"/>
          <w:szCs w:val="19"/>
          <w:color w:val="auto"/>
        </w:rPr>
        <w:t xml:space="preserve"> as a result of Arrowhead making anew as of the Effective Date the representations and warranties of </w:t>
      </w:r>
      <w:r>
        <w:rPr>
          <w:rFonts w:ascii="Arial" w:cs="Arial" w:eastAsia="Arial" w:hAnsi="Arial"/>
          <w:sz w:val="19"/>
          <w:szCs w:val="19"/>
          <w:u w:val="single" w:color="auto"/>
          <w:color w:val="auto"/>
        </w:rPr>
        <w:t>Section 8.2</w:t>
      </w:r>
      <w:r>
        <w:rPr>
          <w:rFonts w:ascii="Arial" w:cs="Arial" w:eastAsia="Arial" w:hAnsi="Arial"/>
          <w:sz w:val="19"/>
          <w:szCs w:val="19"/>
          <w:color w:val="auto"/>
        </w:rPr>
        <w:t>. Notwithstanding the foregoing clause (a), the Effective Date will not occur if and for so long as there is in force any Law or order from a Governmental Body enjoining or prohibiting the consummation of the transactions contemplated by this Agreement, or a Proceeding brought by a Governmental Body is pending that would reasonably be expected to enjoin or prohibit the transactions contemplated by this Agreement.</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Filings</w:t>
      </w:r>
    </w:p>
    <w:p>
      <w:pPr>
        <w:spacing w:after="0" w:line="212" w:lineRule="exact"/>
        <w:rPr>
          <w:sz w:val="20"/>
          <w:szCs w:val="20"/>
          <w:color w:val="auto"/>
        </w:rPr>
      </w:pPr>
    </w:p>
    <w:p>
      <w:pPr>
        <w:ind w:left="880" w:hanging="806"/>
        <w:spacing w:after="0" w:line="274" w:lineRule="auto"/>
        <w:tabs>
          <w:tab w:leader="none" w:pos="377"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If any applicable waiting periods and approvals are required under Antitrust Laws with respect to the transactions contemplated under this Agreement, as identified in </w:t>
      </w:r>
      <w:r>
        <w:rPr>
          <w:rFonts w:ascii="Arial" w:cs="Arial" w:eastAsia="Arial" w:hAnsi="Arial"/>
          <w:sz w:val="21"/>
          <w:szCs w:val="21"/>
          <w:b w:val="1"/>
          <w:bCs w:val="1"/>
          <w:color w:val="auto"/>
        </w:rPr>
        <w:t>Schedule 1.11</w:t>
      </w:r>
      <w:r>
        <w:rPr>
          <w:rFonts w:ascii="Arial" w:cs="Arial" w:eastAsia="Arial" w:hAnsi="Arial"/>
          <w:sz w:val="21"/>
          <w:szCs w:val="21"/>
          <w:color w:val="auto"/>
        </w:rPr>
        <w:t>, then the following shall apply:</w:t>
      </w:r>
    </w:p>
    <w:p>
      <w:pPr>
        <w:spacing w:after="0" w:line="150" w:lineRule="exact"/>
        <w:rPr>
          <w:rFonts w:ascii="Arial" w:cs="Arial" w:eastAsia="Arial" w:hAnsi="Arial"/>
          <w:sz w:val="21"/>
          <w:szCs w:val="21"/>
          <w:color w:val="auto"/>
        </w:rPr>
      </w:pPr>
    </w:p>
    <w:p>
      <w:pPr>
        <w:ind w:left="1780" w:hanging="908"/>
        <w:spacing w:after="0"/>
        <w:tabs>
          <w:tab w:leader="none" w:pos="1780" w:val="left"/>
        </w:tabs>
        <w:numPr>
          <w:ilvl w:val="1"/>
          <w:numId w:val="191"/>
        </w:numPr>
        <w:rPr>
          <w:rFonts w:ascii="Arial" w:cs="Arial" w:eastAsia="Arial" w:hAnsi="Arial"/>
          <w:sz w:val="21"/>
          <w:szCs w:val="21"/>
          <w:b w:val="1"/>
          <w:bCs w:val="1"/>
          <w:color w:val="auto"/>
        </w:rPr>
      </w:pPr>
      <w:r>
        <w:rPr>
          <w:rFonts w:ascii="Arial" w:cs="Arial" w:eastAsia="Arial" w:hAnsi="Arial"/>
          <w:sz w:val="21"/>
          <w:szCs w:val="21"/>
          <w:color w:val="auto"/>
        </w:rPr>
        <w:t>each Party will, within ten (10) Business Days following the Execution Date, file all Antitrust Filings;</w:t>
      </w:r>
    </w:p>
    <w:p>
      <w:pPr>
        <w:spacing w:after="0" w:line="217" w:lineRule="exact"/>
        <w:rPr>
          <w:rFonts w:ascii="Arial" w:cs="Arial" w:eastAsia="Arial" w:hAnsi="Arial"/>
          <w:sz w:val="21"/>
          <w:szCs w:val="21"/>
          <w:b w:val="1"/>
          <w:bCs w:val="1"/>
          <w:color w:val="auto"/>
        </w:rPr>
      </w:pPr>
    </w:p>
    <w:p>
      <w:pPr>
        <w:jc w:val="both"/>
        <w:ind w:left="880" w:hanging="8"/>
        <w:spacing w:after="0" w:line="273" w:lineRule="auto"/>
        <w:tabs>
          <w:tab w:leader="none" w:pos="1792" w:val="left"/>
        </w:tabs>
        <w:numPr>
          <w:ilvl w:val="1"/>
          <w:numId w:val="191"/>
        </w:numPr>
        <w:rPr>
          <w:rFonts w:ascii="Arial" w:cs="Arial" w:eastAsia="Arial" w:hAnsi="Arial"/>
          <w:sz w:val="19"/>
          <w:szCs w:val="19"/>
          <w:b w:val="1"/>
          <w:bCs w:val="1"/>
          <w:color w:val="auto"/>
        </w:rPr>
      </w:pPr>
      <w:r>
        <w:rPr>
          <w:rFonts w:ascii="Arial" w:cs="Arial" w:eastAsia="Arial" w:hAnsi="Arial"/>
          <w:sz w:val="19"/>
          <w:szCs w:val="19"/>
          <w:color w:val="auto"/>
        </w:rPr>
        <w:t>each Party shall use their respective reasonable best efforts to take, or cause to be taken, all appropriate action to do, or cause to be done, all things necessary, proper and advisable under Law to consummate and make effective the transactions contemplated under this Agreement as promptly as reasonably practicable, including using reasonable best efforts to (i) obtain all consents, approvals, authorizations, nonactions, qualifications and orders from, and to make all registrations, declarations, notices and filings with, Governmental Bodies and other Persons (including Third Parties) as are required, proper or advisable to be obtained or made by such Party and are necessary for the consummation of the transactions contemplated by this Agreement as promptly as reasonably practicable and (ii) as promptly as reasonably practicable but no later than ten (10) Business Days after the Execution Date, make all necessary initial filings and request early termination of the waiting period under the HSR Act, if available, and thereafter as promptly as reasonably practicable make any other required submissions with respect to this Agreement required under the HSR Act;</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jc w:val="both"/>
        <w:ind w:left="880" w:hanging="8"/>
        <w:spacing w:after="0" w:line="275" w:lineRule="auto"/>
        <w:tabs>
          <w:tab w:leader="none" w:pos="1768" w:val="left"/>
        </w:tabs>
        <w:numPr>
          <w:ilvl w:val="1"/>
          <w:numId w:val="191"/>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11.2(b)</w:t>
      </w:r>
      <w:r>
        <w:rPr>
          <w:rFonts w:ascii="Arial" w:cs="Arial" w:eastAsia="Arial" w:hAnsi="Arial"/>
          <w:sz w:val="19"/>
          <w:szCs w:val="19"/>
          <w:color w:val="auto"/>
        </w:rPr>
        <w:t>, in no event shall either party be obligated to (i) pay any fee (other than the HSR filing fee or any other filing fee required by an Antitrust Filing), (ii) commit to or grant any concession, consent decree or similar undertaking, or enter into any divestiture, license (in whole or in part) or hold separate agreement or other behavioral remedy or arrangement, that would affect GSK’s pre-existing business prior to the transactions subject to this Agreement or that would materially impair the benefits and advantages the Party expects to receive from the transactions that are subject to this Agreement, in connection with obtaining any such consents, approvals, authorizations, qualifications or orders or (iii) litigate or otherwise participate in any Proceeding with any Governmental Body in connection with obtaining any consent pursuant to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right="260" w:firstLine="8"/>
        <w:spacing w:after="0" w:line="266" w:lineRule="auto"/>
        <w:tabs>
          <w:tab w:leader="none" w:pos="435"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8"/>
          <w:szCs w:val="18"/>
          <w:b w:val="1"/>
          <w:bCs w:val="1"/>
          <w:color w:val="auto"/>
        </w:rPr>
      </w:pPr>
    </w:p>
    <w:p>
      <w:pPr>
        <w:spacing w:after="0" w:line="215" w:lineRule="exact"/>
        <w:rPr>
          <w:rFonts w:ascii="Arial" w:cs="Arial" w:eastAsia="Arial" w:hAnsi="Arial"/>
          <w:sz w:val="18"/>
          <w:szCs w:val="18"/>
          <w:b w:val="1"/>
          <w:bCs w:val="1"/>
          <w:color w:val="auto"/>
        </w:rPr>
      </w:pPr>
    </w:p>
    <w:p>
      <w:pPr>
        <w:ind w:left="1780" w:hanging="908"/>
        <w:spacing w:after="0"/>
        <w:tabs>
          <w:tab w:leader="none" w:pos="1780" w:val="left"/>
        </w:tabs>
        <w:numPr>
          <w:ilvl w:val="1"/>
          <w:numId w:val="19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left="880" w:hanging="8"/>
        <w:spacing w:after="0" w:line="274" w:lineRule="auto"/>
        <w:tabs>
          <w:tab w:leader="none" w:pos="1768"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GSK shall (i) control the strategy for obtaining any consents, approvals of, or registrations, declarations or filings from any Governmental Body in connection with the transaction and (ii) coordinate the overall development of the positions to be taken and the regulatory actions to be requested in any filing or submission with a Governmental Body in connection with the transactions contemplated hereby; provided that GSK shall consult in good faith with Arrowhead with respect to the matters referred to in the foregoing clause (i) and (ii); provided further that GSK and Arrowhead shall consult in good faith and jointly agree with one another prior to either Party agreeing to extend any waiting period under the HSR Act, withdrawing any filing under the HSR Act, or entering into any agreement with any Governmental Body to delay, or otherwise not to consummate as soon as practicable the transactions that are subject to this Agreement, which agreement shall not be unreasonably withheld or delayed;</w:t>
      </w:r>
    </w:p>
    <w:p>
      <w:pPr>
        <w:spacing w:after="0" w:line="158" w:lineRule="exact"/>
        <w:rPr>
          <w:rFonts w:ascii="Arial" w:cs="Arial" w:eastAsia="Arial" w:hAnsi="Arial"/>
          <w:sz w:val="19"/>
          <w:szCs w:val="19"/>
          <w:b w:val="1"/>
          <w:bCs w:val="1"/>
          <w:color w:val="auto"/>
        </w:rPr>
      </w:pPr>
    </w:p>
    <w:p>
      <w:pPr>
        <w:ind w:left="880" w:hanging="8"/>
        <w:spacing w:after="0" w:line="250" w:lineRule="auto"/>
        <w:tabs>
          <w:tab w:leader="none" w:pos="1744" w:val="left"/>
        </w:tabs>
        <w:numPr>
          <w:ilvl w:val="1"/>
          <w:numId w:val="192"/>
        </w:numPr>
        <w:rPr>
          <w:rFonts w:ascii="Arial" w:cs="Arial" w:eastAsia="Arial" w:hAnsi="Arial"/>
          <w:sz w:val="22"/>
          <w:szCs w:val="22"/>
          <w:b w:val="1"/>
          <w:bCs w:val="1"/>
          <w:color w:val="auto"/>
        </w:rPr>
      </w:pPr>
      <w:r>
        <w:rPr>
          <w:rFonts w:ascii="Arial" w:cs="Arial" w:eastAsia="Arial" w:hAnsi="Arial"/>
          <w:sz w:val="22"/>
          <w:szCs w:val="22"/>
          <w:color w:val="auto"/>
        </w:rPr>
        <w:t>each Party shall promptly notify the other Party of any communication it or any of its Affiliates receives from any Governmental Body relating to the transactions that are the subject of this Agreement;</w:t>
      </w:r>
    </w:p>
    <w:p>
      <w:pPr>
        <w:spacing w:after="0" w:line="174" w:lineRule="exact"/>
        <w:rPr>
          <w:rFonts w:ascii="Arial" w:cs="Arial" w:eastAsia="Arial" w:hAnsi="Arial"/>
          <w:sz w:val="22"/>
          <w:szCs w:val="22"/>
          <w:b w:val="1"/>
          <w:bCs w:val="1"/>
          <w:color w:val="auto"/>
        </w:rPr>
      </w:pPr>
    </w:p>
    <w:p>
      <w:pPr>
        <w:jc w:val="both"/>
        <w:ind w:left="880" w:hanging="8"/>
        <w:spacing w:after="0" w:line="287" w:lineRule="auto"/>
        <w:tabs>
          <w:tab w:leader="none" w:pos="1780"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Neither Party shall agree to participate, and shall cause its Affiliates not to participate, in any meeting with any Governmental Body in respect of any Antitrust Filing or Proceedings relating to the transactions that are subject to this Agreement unless it consults with the other Party in advance and, to the extent permitted by such Governmental Body, gives the other Party (or their counsel) prior notice and the opportunity to attend and participate at such meeting.</w:t>
      </w:r>
    </w:p>
    <w:p>
      <w:pPr>
        <w:spacing w:after="0" w:line="142" w:lineRule="exact"/>
        <w:rPr>
          <w:rFonts w:ascii="Arial" w:cs="Arial" w:eastAsia="Arial" w:hAnsi="Arial"/>
          <w:sz w:val="19"/>
          <w:szCs w:val="19"/>
          <w:b w:val="1"/>
          <w:bCs w:val="1"/>
          <w:color w:val="auto"/>
        </w:rPr>
      </w:pPr>
    </w:p>
    <w:p>
      <w:pPr>
        <w:jc w:val="both"/>
        <w:ind w:left="880" w:hanging="8"/>
        <w:spacing w:after="0" w:line="238" w:lineRule="auto"/>
        <w:tabs>
          <w:tab w:leader="none" w:pos="1792" w:val="left"/>
        </w:tabs>
        <w:numPr>
          <w:ilvl w:val="1"/>
          <w:numId w:val="192"/>
        </w:numPr>
        <w:rPr>
          <w:rFonts w:ascii="Arial" w:cs="Arial" w:eastAsia="Arial" w:hAnsi="Arial"/>
          <w:sz w:val="22"/>
          <w:szCs w:val="22"/>
          <w:b w:val="1"/>
          <w:bCs w:val="1"/>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and Law, the Parties will coordinate and cooperate fully with each other (or their outside counsel) in exchanging such information and providing such assistance as the other parties may reasonably request in connection with the foregoing and in seeking termination or expiration of any applicable waiting periods including under the HSR Act, at the earliest possible date after the date of filing;</w:t>
      </w:r>
    </w:p>
    <w:p>
      <w:pPr>
        <w:spacing w:after="0" w:line="184" w:lineRule="exact"/>
        <w:rPr>
          <w:rFonts w:ascii="Arial" w:cs="Arial" w:eastAsia="Arial" w:hAnsi="Arial"/>
          <w:sz w:val="22"/>
          <w:szCs w:val="22"/>
          <w:b w:val="1"/>
          <w:bCs w:val="1"/>
          <w:color w:val="auto"/>
        </w:rPr>
      </w:pPr>
    </w:p>
    <w:p>
      <w:pPr>
        <w:jc w:val="both"/>
        <w:ind w:left="880" w:hanging="8"/>
        <w:spacing w:after="0" w:line="282" w:lineRule="auto"/>
        <w:tabs>
          <w:tab w:leader="none" w:pos="1732"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to the extent practicable, each Party will, and will cause its Affiliates to, give the other Party reasonable advance opportunity to review and comment upon and consider in good faith the views of the other in connection with all written communications with any Governmental Body relating to the transactions that are the subject of this Agreement (including any analyses, presentations, memoranda, briefs, arguments, opinions and proposals made or submitted by or on behalf of any Party hereto or any of its Affiliates relating to Proceedings under any Antitrust Laws);</w:t>
      </w:r>
    </w:p>
    <w:p>
      <w:pPr>
        <w:spacing w:after="0" w:line="147" w:lineRule="exact"/>
        <w:rPr>
          <w:rFonts w:ascii="Arial" w:cs="Arial" w:eastAsia="Arial" w:hAnsi="Arial"/>
          <w:sz w:val="19"/>
          <w:szCs w:val="19"/>
          <w:b w:val="1"/>
          <w:bCs w:val="1"/>
          <w:color w:val="auto"/>
        </w:rPr>
      </w:pPr>
    </w:p>
    <w:p>
      <w:pPr>
        <w:jc w:val="both"/>
        <w:ind w:left="880" w:hanging="8"/>
        <w:spacing w:after="0" w:line="287" w:lineRule="auto"/>
        <w:tabs>
          <w:tab w:leader="none" w:pos="1744"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to the extent permitted under Law, each Party will promptly provide, and cause its respective Affiliates to provide, to the other Party (or such other Party’s outside counsel in the case of information deemed by the providing Party’s antitrust counsel to be sensitive) with copies of all material correspondence, filings or communications between them or any of their Representatives, on the one hand, and any Governmental Body or members of its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right="260" w:firstLine="8"/>
        <w:spacing w:after="0" w:line="266" w:lineRule="auto"/>
        <w:tabs>
          <w:tab w:leader="none" w:pos="43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staff, on the other hand, with respect to this Agreement and the transactions contemplated hereby; and</w:t>
      </w:r>
    </w:p>
    <w:p>
      <w:pPr>
        <w:spacing w:after="0" w:line="206" w:lineRule="exact"/>
        <w:rPr>
          <w:sz w:val="20"/>
          <w:szCs w:val="20"/>
          <w:color w:val="auto"/>
        </w:rPr>
      </w:pPr>
    </w:p>
    <w:p>
      <w:pPr>
        <w:jc w:val="both"/>
        <w:ind w:left="880" w:hanging="8"/>
        <w:spacing w:after="0"/>
        <w:tabs>
          <w:tab w:leader="none" w:pos="1792" w:val="left"/>
        </w:tabs>
        <w:numPr>
          <w:ilvl w:val="0"/>
          <w:numId w:val="194"/>
        </w:numPr>
        <w:rPr>
          <w:rFonts w:ascii="Arial" w:cs="Arial" w:eastAsia="Arial" w:hAnsi="Arial"/>
          <w:sz w:val="22"/>
          <w:szCs w:val="22"/>
          <w:b w:val="1"/>
          <w:bCs w:val="1"/>
          <w:color w:val="auto"/>
        </w:rPr>
      </w:pPr>
      <w:r>
        <w:rPr>
          <w:rFonts w:ascii="Arial" w:cs="Arial" w:eastAsia="Arial" w:hAnsi="Arial"/>
          <w:sz w:val="22"/>
          <w:szCs w:val="22"/>
          <w:color w:val="auto"/>
        </w:rPr>
        <w:t>except as expressly provided herein, each Party will be responsible for its own costs and expenses associated with any such Antitrust Filing, including premerger filing fees incurred by each Party associated with any such Antitrust Filing.</w:t>
      </w:r>
    </w:p>
    <w:p>
      <w:pPr>
        <w:spacing w:after="0" w:line="186"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 xml:space="preserve">Notwithstanding any provision to the contrary set forth in this Agreement, nothing in this Agreement (including this </w:t>
      </w:r>
      <w:r>
        <w:rPr>
          <w:rFonts w:ascii="Arial" w:cs="Arial" w:eastAsia="Arial" w:hAnsi="Arial"/>
          <w:sz w:val="22"/>
          <w:szCs w:val="22"/>
          <w:u w:val="single" w:color="auto"/>
          <w:color w:val="auto"/>
        </w:rPr>
        <w:t>Section 11.2</w:t>
      </w:r>
      <w:r>
        <w:rPr>
          <w:rFonts w:ascii="Arial" w:cs="Arial" w:eastAsia="Arial" w:hAnsi="Arial"/>
          <w:sz w:val="22"/>
          <w:szCs w:val="22"/>
          <w:color w:val="auto"/>
        </w:rPr>
        <w:t>) will require either Party or any of its Affiliates to disclose to the other Party or any of its Affiliates any information that is subject to obligations of confidentiality or non-use owed to Third Parties (nor will either Party be required to conduct joint meetings with any Governmental Body in which such information might be shared with the other Party) in connection with any Antitrust Filing.</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Outside Date</w:t>
      </w:r>
    </w:p>
    <w:p>
      <w:pPr>
        <w:spacing w:after="0" w:line="212" w:lineRule="exact"/>
        <w:rPr>
          <w:sz w:val="20"/>
          <w:szCs w:val="20"/>
          <w:color w:val="auto"/>
        </w:rPr>
      </w:pPr>
    </w:p>
    <w:p>
      <w:pPr>
        <w:ind w:left="880" w:hanging="806"/>
        <w:spacing w:after="0" w:line="273" w:lineRule="auto"/>
        <w:tabs>
          <w:tab w:leader="none" w:pos="37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If, any applicable waiting periods and approvals are required under Antitrust Laws with respect to the transactions contemplated under this Agreement, as identified in </w:t>
      </w:r>
      <w:r>
        <w:rPr>
          <w:rFonts w:ascii="Arial" w:cs="Arial" w:eastAsia="Arial" w:hAnsi="Arial"/>
          <w:sz w:val="19"/>
          <w:szCs w:val="19"/>
          <w:b w:val="1"/>
          <w:bCs w:val="1"/>
          <w:color w:val="auto"/>
        </w:rPr>
        <w:t>Schedule 1.11</w:t>
      </w:r>
      <w:r>
        <w:rPr>
          <w:rFonts w:ascii="Arial" w:cs="Arial" w:eastAsia="Arial" w:hAnsi="Arial"/>
          <w:sz w:val="19"/>
          <w:szCs w:val="19"/>
          <w:color w:val="auto"/>
        </w:rPr>
        <w:t xml:space="preserve">, this Agreement will terminate, at the election of either Party, immediately upon written notice to the other Party, in the event that: (a) the U.S. Federal Trade Commission or the U.S. Department of Justice, or an equivalent authority in the European Union (including, for the avoidance of doubt, the United Kingdom despite it leaving the European Union), seeks a permanent injunction under applicable antitrust and non-competition Laws against Arrowhead and GSK to enjoin the transactions contemplated by this Agreement; or (b) the Antitrust Clearance Date has not occurred on or prior to [***] after the effective date of any Antitrust Filing (or such later date as may be mutually agreed by the Parties). In the event of such termination, without any further action on the part of either Party, this Agreement will be of no further force and effect and no Party shall have any further obligations under this Agreement, except for the Parties’ obligations under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which survive.</w:t>
      </w:r>
    </w:p>
    <w:p>
      <w:pPr>
        <w:spacing w:after="0" w:line="15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8"/>
          <w:szCs w:val="18"/>
          <w:b w:val="1"/>
          <w:bCs w:val="1"/>
          <w:color w:val="auto"/>
        </w:rPr>
        <w:t>Disputes</w:t>
      </w:r>
    </w:p>
    <w:p>
      <w:pPr>
        <w:spacing w:after="0" w:line="212" w:lineRule="exact"/>
        <w:rPr>
          <w:sz w:val="20"/>
          <w:szCs w:val="20"/>
          <w:color w:val="auto"/>
        </w:rPr>
      </w:pPr>
    </w:p>
    <w:p>
      <w:pPr>
        <w:ind w:left="880" w:hanging="806"/>
        <w:spacing w:after="0" w:line="273" w:lineRule="auto"/>
        <w:tabs>
          <w:tab w:leader="none" w:pos="21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Parties recognize that disputes as to certain matters may from time to time arise during the Term which relate to either Party’s rights or obligations hereunder. The Parties agree that any dispute arising out of or relating to this Agreement shall be resolved solely by means of the dispute resolution procedures set forth in this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provided that the foregoing shall not affect a Party’s right to terminate this Agreement under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10.5</w:t>
      </w:r>
      <w:r>
        <w:rPr>
          <w:rFonts w:ascii="Arial" w:cs="Arial" w:eastAsia="Arial" w:hAnsi="Arial"/>
          <w:sz w:val="19"/>
          <w:szCs w:val="19"/>
          <w:color w:val="auto"/>
        </w:rPr>
        <w:t>, as applicable, or seek equitable relief as otherwise provided under this Agreement. It is the objective of the Parties to establish under this Article 12 procedures to facilitate the resolution of disputes arising under this Agreement (other than any disputes relating to matters that GSK has sole decision-making authority or discretion under this Agreement (each, a “</w:t>
      </w:r>
      <w:r>
        <w:rPr>
          <w:rFonts w:ascii="Arial" w:cs="Arial" w:eastAsia="Arial" w:hAnsi="Arial"/>
          <w:sz w:val="19"/>
          <w:szCs w:val="19"/>
          <w:b w:val="1"/>
          <w:bCs w:val="1"/>
          <w:color w:val="auto"/>
        </w:rPr>
        <w:t>Non-Escalatable Dispute</w:t>
      </w:r>
      <w:r>
        <w:rPr>
          <w:rFonts w:ascii="Arial" w:cs="Arial" w:eastAsia="Arial" w:hAnsi="Arial"/>
          <w:sz w:val="19"/>
          <w:szCs w:val="19"/>
          <w:color w:val="auto"/>
        </w:rPr>
        <w:t xml:space="preserve">”), in which case, such Non-Escalatable Dispute shall be determined by GSK and shall not be part of the dispute resolution procedure set forth in this </w:t>
      </w:r>
      <w:r>
        <w:rPr>
          <w:rFonts w:ascii="Arial" w:cs="Arial" w:eastAsia="Arial" w:hAnsi="Arial"/>
          <w:sz w:val="19"/>
          <w:szCs w:val="19"/>
          <w:u w:val="single" w:color="auto"/>
          <w:color w:val="auto"/>
        </w:rPr>
        <w:t>Article 12</w:t>
      </w:r>
      <w:r>
        <w:rPr>
          <w:rFonts w:ascii="Arial" w:cs="Arial" w:eastAsia="Arial" w:hAnsi="Arial"/>
          <w:sz w:val="19"/>
          <w:szCs w:val="19"/>
          <w:color w:val="auto"/>
        </w:rPr>
        <w:t>) in an expedient manner by mutual cooperation and without resort to litigation (it being understood that disputes relating to GSK’s compliance with its diligence obligations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-663575</wp:posOffset>
            </wp:positionV>
            <wp:extent cx="5778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7785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right="260" w:firstLine="8"/>
        <w:spacing w:after="0" w:line="266" w:lineRule="auto"/>
        <w:tabs>
          <w:tab w:leader="none" w:pos="435"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38" w:lineRule="auto"/>
        <w:rPr>
          <w:sz w:val="20"/>
          <w:szCs w:val="20"/>
          <w:color w:val="auto"/>
        </w:rPr>
      </w:pP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shall not constitute a Non-Escalatable Dispute). In the event that the Parties are unable to resolve such dispute through diligent review and deliberation within [***] from the day that one Party had designated the issue as a dispute in written notice to the other Party, then either Party shall have the right to escalate such matter to the Executive Officers as set forth in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Escalation to Executive Officers</w:t>
      </w:r>
    </w:p>
    <w:p>
      <w:pPr>
        <w:spacing w:after="0" w:line="212" w:lineRule="exact"/>
        <w:rPr>
          <w:sz w:val="20"/>
          <w:szCs w:val="20"/>
          <w:color w:val="auto"/>
        </w:rPr>
      </w:pPr>
    </w:p>
    <w:p>
      <w:pPr>
        <w:ind w:left="880" w:hanging="806"/>
        <w:spacing w:after="0" w:line="248" w:lineRule="auto"/>
        <w:tabs>
          <w:tab w:leader="none" w:pos="19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Either Party may, by written notice to the other Party, request that a dispute (other than a Non-Escalatable Dispute) that remains unresolved for a period of [***] as set forth in Section 12.1 arising between the Parties in connection with this Agreement, or a dispute relating to material breach, be resolved by the Executive Officers, within [***] after referral of such dispute to them</w:t>
      </w:r>
      <w:r>
        <w:rPr>
          <w:rFonts w:ascii="Arial" w:cs="Arial" w:eastAsia="Arial" w:hAnsi="Arial"/>
          <w:sz w:val="21"/>
          <w:szCs w:val="21"/>
          <w:i w:val="1"/>
          <w:iCs w:val="1"/>
          <w:color w:val="auto"/>
        </w:rPr>
        <w:t>.</w:t>
      </w:r>
      <w:r>
        <w:rPr>
          <w:rFonts w:ascii="Arial" w:cs="Arial" w:eastAsia="Arial" w:hAnsi="Arial"/>
          <w:sz w:val="21"/>
          <w:szCs w:val="21"/>
          <w:color w:val="auto"/>
        </w:rPr>
        <w:t xml:space="preserve"> If the Executive Officers do not resolve such dispute within [***] after referral of such dispute to them, then, at any time after such [***] period, either Party may proceed to arbitration in accordance with </w:t>
      </w:r>
      <w:r>
        <w:rPr>
          <w:rFonts w:ascii="Arial" w:cs="Arial" w:eastAsia="Arial" w:hAnsi="Arial"/>
          <w:sz w:val="21"/>
          <w:szCs w:val="21"/>
          <w:u w:val="single" w:color="auto"/>
          <w:color w:val="auto"/>
        </w:rPr>
        <w:t>Section 12.3</w:t>
      </w:r>
      <w:r>
        <w:rPr>
          <w:rFonts w:ascii="Arial" w:cs="Arial" w:eastAsia="Arial" w:hAnsi="Arial"/>
          <w:sz w:val="21"/>
          <w:szCs w:val="21"/>
          <w:color w:val="auto"/>
        </w:rPr>
        <w:t xml:space="preserve"> with respect to such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-653415</wp:posOffset>
            </wp:positionV>
            <wp:extent cx="711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Arbitration</w:t>
      </w:r>
    </w:p>
    <w:p>
      <w:pPr>
        <w:spacing w:after="0" w:line="212" w:lineRule="exact"/>
        <w:rPr>
          <w:sz w:val="20"/>
          <w:szCs w:val="20"/>
          <w:color w:val="auto"/>
        </w:rPr>
      </w:pPr>
    </w:p>
    <w:p>
      <w:pPr>
        <w:ind w:left="880" w:hanging="806"/>
        <w:spacing w:after="0" w:line="269" w:lineRule="auto"/>
        <w:tabs>
          <w:tab w:leader="none" w:pos="20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If the Parties are unable to resolve a dispute arising out of or relating to this Agreement through the escalation procedures set forth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within the time frames set forth therein, the Parties agree that they shall submit such dispute for final settlement via binding arbitration conducted in the English language in New York, New York under the commercial arbitration rules of the American Arbitration Association, which shall administer the arbitration and act as appointing authority. The arbitration will be conducted by an arbitrator mutually selected by the Parties; provided, however, in the event that the Parties are unable to mutually agree upon the selection of an arbitrator or with respect to any dispute for which a Party is seeking an injunction or other equitable relief or aggregate damages sought in excess of [***], the arbitration will be conducted by a panel of three (3) arbitrators, with each Party appointing one (1) arbitrator, and these two (2) arbitrators so selected by the Parties will then select the third arbitrator. Disputes about arbitration procedure shall be resolved by the arbitrator(s). The arbitrator(s) shall not be current or former employees, consultants, officers or directors, or current stockholders, of either Party or any of their respective Affiliates, licensees or sublicensees and each arbitrator shall have at least fifteen (15) years of pharmaceutical industry experience (provided, however, that if such arbitration is being conducted by a panel of three (3) arbitrators, each arbitrator shall have at least ten (10) years of pharmaceutical industry experience). The arbitrator(s) shall be authorized to grant interim relief, including to prevent the destruction of goods or documents involved in the dispute, protect trade secrets and provide for security for a prospective monetary award. Within [***] after selection of the arbitrator(s), the arbitrator(s) shall conduct the preliminary conference. In addressing any of the subjects within the scope of the preliminary conference, the arbitrator(s) shall take into account both the desirability of making discovery efficient and cost-effective and the needs of the Parties for an understanding of any legitimate issue raised in the arbitration. In addition, each Party shall have the right to take up to [***] hours of deposition testimony, including expert deposition testimony. The hearing shall commence within [***] after the selection of the arbitrator(s). The arbitrator(s) shall, in their discretion, allow each Party to submit concise written statements of position and shall permit the submission of rebuttal statements, subject to reasonable limitations on the length of such statements to be established by the arbitrator(s). The hearing shall be no longer than [***] in duration.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right="260" w:firstLine="8"/>
        <w:spacing w:after="0" w:line="266" w:lineRule="auto"/>
        <w:tabs>
          <w:tab w:leader="none" w:pos="435"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73" w:lineRule="auto"/>
        <w:rPr>
          <w:sz w:val="20"/>
          <w:szCs w:val="20"/>
          <w:color w:val="auto"/>
        </w:rPr>
      </w:pPr>
      <w:r>
        <w:rPr>
          <w:rFonts w:ascii="Arial" w:cs="Arial" w:eastAsia="Arial" w:hAnsi="Arial"/>
          <w:sz w:val="19"/>
          <w:szCs w:val="19"/>
          <w:color w:val="auto"/>
        </w:rPr>
        <w:t xml:space="preserve">arbitrator(s) shall also permit the submission of expert reports. The arbitrator(s) shall render their decision and award within [***] after the arbitrator(s) declare the hearing closed, and the decision and award shall include a written statement describing the essential findings and conclusions on which the decision and award are based, including the calculation of any damages awarded. The arbitrator(s) will, in rendering their decision, apply the substantive Law of the State of Delaware, without reference to its conflict of laws principles. The arbitrators’ authority to award special, incidental, consequential or punitive damages shall be subject to the limitation set forth in </w:t>
      </w:r>
      <w:r>
        <w:rPr>
          <w:rFonts w:ascii="Arial" w:cs="Arial" w:eastAsia="Arial" w:hAnsi="Arial"/>
          <w:sz w:val="19"/>
          <w:szCs w:val="19"/>
          <w:u w:val="single" w:color="auto"/>
          <w:color w:val="auto"/>
        </w:rPr>
        <w:t>Section 9.5</w:t>
      </w:r>
      <w:r>
        <w:rPr>
          <w:rFonts w:ascii="Arial" w:cs="Arial" w:eastAsia="Arial" w:hAnsi="Arial"/>
          <w:sz w:val="19"/>
          <w:szCs w:val="19"/>
          <w:color w:val="auto"/>
        </w:rPr>
        <w:t>. The decision and award rendered by the arbitrator(s) shall be final, binding and non-appealable, and judgment may be entered upon it in any court of competent jurisdiction. Each Party shall bear its own attorney’s fees, costs, and disbursements arising out of the arbitration, and shall pay an equal share of the fees and costs of the arbitrator(s). The Parties acknowledge and agree that this Agreement and any award rendered pursuant hereto shall be governed by the UN Convention on the Recognition and Enforcement of Foreign Arbitral Awards.</w:t>
      </w:r>
    </w:p>
    <w:p>
      <w:pPr>
        <w:spacing w:after="0" w:line="14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Injunctive Relief</w:t>
      </w:r>
    </w:p>
    <w:p>
      <w:pPr>
        <w:spacing w:after="0" w:line="212" w:lineRule="exact"/>
        <w:rPr>
          <w:sz w:val="20"/>
          <w:szCs w:val="20"/>
          <w:color w:val="auto"/>
        </w:rPr>
      </w:pPr>
    </w:p>
    <w:p>
      <w:pPr>
        <w:ind w:left="880" w:hanging="806"/>
        <w:spacing w:after="0" w:line="250" w:lineRule="auto"/>
        <w:tabs>
          <w:tab w:leader="none" w:pos="2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Nothing in this Agreement shall be construed as precluding a Party from bringing an action for injunctive relief or other equitable relief, including prior to the initiation or completion of the above procedure.</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Intellectual Property Disputes</w:t>
      </w:r>
    </w:p>
    <w:p>
      <w:pPr>
        <w:spacing w:after="0" w:line="212" w:lineRule="exact"/>
        <w:rPr>
          <w:sz w:val="20"/>
          <w:szCs w:val="20"/>
          <w:color w:val="auto"/>
        </w:rPr>
      </w:pPr>
    </w:p>
    <w:p>
      <w:pPr>
        <w:ind w:left="880" w:hanging="806"/>
        <w:spacing w:after="0" w:line="236" w:lineRule="auto"/>
        <w:tabs>
          <w:tab w:leader="none" w:pos="24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Notwithstanding any provision to the contrary set forth in this Agreement, if a dispute arises under this Agreement with respect to the validity, scope, enforceability or ownership of any Patent, Know-How or other intellectual property rights, and such dispute is not resolved in accordance with Section 12.2, then such dispute will be submitted to a court of competent jurisdiction in the jurisdiction in which such Patent, Know-How or other intellectual property right was granted or 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-338455</wp:posOffset>
            </wp:positionV>
            <wp:extent cx="7112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MISCELLANEOUS PROVISIONS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b w:val="1"/>
          <w:bCs w:val="1"/>
          <w:color w:val="auto"/>
        </w:rPr>
        <w:t>Relationship of the Parties</w:t>
      </w:r>
    </w:p>
    <w:p>
      <w:pPr>
        <w:spacing w:after="0" w:line="212" w:lineRule="exact"/>
        <w:rPr>
          <w:sz w:val="20"/>
          <w:szCs w:val="20"/>
          <w:color w:val="auto"/>
        </w:rPr>
      </w:pPr>
    </w:p>
    <w:p>
      <w:pPr>
        <w:ind w:left="880" w:hanging="806"/>
        <w:spacing w:after="0" w:line="250" w:lineRule="auto"/>
        <w:tabs>
          <w:tab w:leader="none" w:pos="193"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Nothing in this Agreement is intended or shall be deemed, for financial, tax, legal or other purposes, to constitute a partnership, agency, joint venture or employer-employee relationship between the Parties.</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8"/>
          <w:szCs w:val="18"/>
          <w:b w:val="1"/>
          <w:bCs w:val="1"/>
          <w:color w:val="auto"/>
        </w:rPr>
        <w:t>Assignment</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left="880" w:hanging="8"/>
        <w:spacing w:after="0"/>
        <w:tabs>
          <w:tab w:leader="none" w:pos="1780" w:val="left"/>
        </w:tabs>
        <w:numPr>
          <w:ilvl w:val="0"/>
          <w:numId w:val="204"/>
        </w:numPr>
        <w:rPr>
          <w:rFonts w:ascii="Arial" w:cs="Arial" w:eastAsia="Arial" w:hAnsi="Arial"/>
          <w:sz w:val="22"/>
          <w:szCs w:val="22"/>
          <w:b w:val="1"/>
          <w:bCs w:val="1"/>
          <w:color w:val="auto"/>
        </w:rPr>
      </w:pPr>
      <w:r>
        <w:rPr>
          <w:rFonts w:ascii="Arial" w:cs="Arial" w:eastAsia="Arial" w:hAnsi="Arial"/>
          <w:sz w:val="22"/>
          <w:szCs w:val="22"/>
          <w:color w:val="auto"/>
        </w:rPr>
        <w:t>Except as expressly provided herein, neither this Agreement nor any right or obligation hereunder shall be assignable or transferable, whether voluntarily or by operation of law, without the prior written consent of the other Party (not to be unreasonably withheld or delayed).</w:t>
      </w:r>
    </w:p>
    <w:p>
      <w:pPr>
        <w:spacing w:after="0" w:line="186" w:lineRule="exact"/>
        <w:rPr>
          <w:rFonts w:ascii="Arial" w:cs="Arial" w:eastAsia="Arial" w:hAnsi="Arial"/>
          <w:sz w:val="22"/>
          <w:szCs w:val="22"/>
          <w:b w:val="1"/>
          <w:bCs w:val="1"/>
          <w:color w:val="auto"/>
        </w:rPr>
      </w:pPr>
    </w:p>
    <w:p>
      <w:pPr>
        <w:jc w:val="both"/>
        <w:ind w:left="880" w:firstLine="789"/>
        <w:spacing w:after="0" w:line="252" w:lineRule="auto"/>
        <w:tabs>
          <w:tab w:leader="none" w:pos="2529" w:val="left"/>
        </w:tabs>
        <w:numPr>
          <w:ilvl w:val="1"/>
          <w:numId w:val="204"/>
        </w:numPr>
        <w:rPr>
          <w:rFonts w:ascii="Arial" w:cs="Arial" w:eastAsia="Arial" w:hAnsi="Arial"/>
          <w:sz w:val="21"/>
          <w:szCs w:val="21"/>
          <w:color w:val="auto"/>
        </w:rPr>
      </w:pPr>
      <w:r>
        <w:rPr>
          <w:rFonts w:ascii="Arial" w:cs="Arial" w:eastAsia="Arial" w:hAnsi="Arial"/>
          <w:sz w:val="21"/>
          <w:szCs w:val="21"/>
          <w:color w:val="auto"/>
        </w:rPr>
        <w:t>Each Party may assign or transfer this Agreement or any of its rights and obligations hereunder to any Affiliate, or to any Third Party that acquires all or substantially all of such Party’s assets or business relating to the Compound and any Product to which this Agreement relates (whether by sale of assets or stock, merger, consolidation, reorganization or otherwise), without the consent of the other Party. Each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right="260" w:firstLine="8"/>
        <w:spacing w:after="0" w:line="266" w:lineRule="auto"/>
        <w:tabs>
          <w:tab w:leader="none" w:pos="435"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assigning Party shall give written notice to the other Party promptly following any such assignment or transfer.</w:t>
      </w:r>
    </w:p>
    <w:p>
      <w:pPr>
        <w:spacing w:after="0" w:line="206" w:lineRule="exact"/>
        <w:rPr>
          <w:sz w:val="20"/>
          <w:szCs w:val="20"/>
          <w:color w:val="auto"/>
        </w:rPr>
      </w:pPr>
    </w:p>
    <w:p>
      <w:pPr>
        <w:jc w:val="both"/>
        <w:ind w:left="880" w:firstLine="789"/>
        <w:spacing w:after="0" w:line="238" w:lineRule="auto"/>
        <w:tabs>
          <w:tab w:leader="none" w:pos="2589" w:val="left"/>
        </w:tabs>
        <w:numPr>
          <w:ilvl w:val="1"/>
          <w:numId w:val="206"/>
        </w:numPr>
        <w:rPr>
          <w:rFonts w:ascii="Arial" w:cs="Arial" w:eastAsia="Arial" w:hAnsi="Arial"/>
          <w:sz w:val="22"/>
          <w:szCs w:val="22"/>
          <w:color w:val="auto"/>
        </w:rPr>
      </w:pPr>
      <w:r>
        <w:rPr>
          <w:rFonts w:ascii="Arial" w:cs="Arial" w:eastAsia="Arial" w:hAnsi="Arial"/>
          <w:sz w:val="22"/>
          <w:szCs w:val="22"/>
          <w:color w:val="auto"/>
        </w:rPr>
        <w:t xml:space="preserve">No assignment under this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shall relieve the assigning Party of any of its responsibilities or obligations hereunder and, as a condition of such assignment, the assignee shall agree in writing to be bound by all obligations of the assigning Party hereunder. This Agreement shall be binding upon the successors and permitted assigns of the Parties.</w:t>
      </w:r>
    </w:p>
    <w:p>
      <w:pPr>
        <w:spacing w:after="0" w:line="184" w:lineRule="exact"/>
        <w:rPr>
          <w:rFonts w:ascii="Arial" w:cs="Arial" w:eastAsia="Arial" w:hAnsi="Arial"/>
          <w:sz w:val="22"/>
          <w:szCs w:val="22"/>
          <w:color w:val="auto"/>
        </w:rPr>
      </w:pPr>
    </w:p>
    <w:p>
      <w:pPr>
        <w:ind w:left="2640" w:hanging="971"/>
        <w:spacing w:after="0"/>
        <w:tabs>
          <w:tab w:leader="none" w:pos="264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Any assignment or other transfer not in accordance with this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shall be null and void.</w:t>
      </w:r>
    </w:p>
    <w:p>
      <w:pPr>
        <w:spacing w:after="0" w:line="240" w:lineRule="exact"/>
        <w:rPr>
          <w:rFonts w:ascii="Arial" w:cs="Arial" w:eastAsia="Arial" w:hAnsi="Arial"/>
          <w:sz w:val="19"/>
          <w:szCs w:val="19"/>
          <w:color w:val="auto"/>
        </w:rPr>
      </w:pPr>
    </w:p>
    <w:p>
      <w:pPr>
        <w:jc w:val="both"/>
        <w:ind w:left="880" w:hanging="8"/>
        <w:spacing w:after="0" w:line="271" w:lineRule="auto"/>
        <w:tabs>
          <w:tab w:leader="none" w:pos="1792" w:val="left"/>
        </w:tabs>
        <w:numPr>
          <w:ilvl w:val="0"/>
          <w:numId w:val="207"/>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Section 13.2(a)</w:t>
      </w:r>
      <w:r>
        <w:rPr>
          <w:rFonts w:ascii="Arial" w:cs="Arial" w:eastAsia="Arial" w:hAnsi="Arial"/>
          <w:sz w:val="19"/>
          <w:szCs w:val="19"/>
          <w:color w:val="auto"/>
        </w:rPr>
        <w:t xml:space="preserve"> or elsewhere in this Agreement, Arrowhead may assign to a Third Party its right to receive the Development Milestone Payments under Sections 5.2, the Sales Milestone Payments under Section 5.3, and the royalty payments under Section 5.4 (each such assignment, a “</w:t>
      </w:r>
      <w:r>
        <w:rPr>
          <w:rFonts w:ascii="Arial" w:cs="Arial" w:eastAsia="Arial" w:hAnsi="Arial"/>
          <w:sz w:val="19"/>
          <w:szCs w:val="19"/>
          <w:b w:val="1"/>
          <w:bCs w:val="1"/>
          <w:color w:val="auto"/>
        </w:rPr>
        <w:t>Securitization Transaction</w:t>
      </w:r>
      <w:r>
        <w:rPr>
          <w:rFonts w:ascii="Arial" w:cs="Arial" w:eastAsia="Arial" w:hAnsi="Arial"/>
          <w:sz w:val="19"/>
          <w:szCs w:val="19"/>
          <w:color w:val="auto"/>
        </w:rPr>
        <w:t xml:space="preserve">”). In connection with a contemplated Securitization Transaction and after the closing of any such Securitization Transaction with a Third Party, Arrowhead may disclose to such Third Party the royalty reports contemplated under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without the prior written consent of GSK, notwithstanding them containing GSK’s Confidential Information to the extent reasonably necessary to enable such Third Party to evaluate the Securitization Transaction opportunity (provided that such Third Party is under obligations of confidentiality and non-use with respect to Confidential Information included in such reports and plans that are no less stringent than the terms of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(but of duration customary in confidentiality agreements entered into for a similar purpose)), and to enable such Third Party to exercise its rights with respect to such Securitization Transaction, as applicable. As part of any consummated Securitization Transaction, subject to the terms of this Section 13.2(b), Arrowhead may assign, without the prior written consent of GSK, its right to receive the royalty reports and to conduct audits under, respectively,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to the counterparty in such Securitization Transaction, and to allow such counterparty to exercise its rights under such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-1896110</wp:posOffset>
            </wp:positionV>
            <wp:extent cx="7048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04850" cy="889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-1741805</wp:posOffset>
            </wp:positionV>
            <wp:extent cx="6515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-1741805</wp:posOffset>
            </wp:positionV>
            <wp:extent cx="659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-353060</wp:posOffset>
            </wp:positionV>
            <wp:extent cx="8712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38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Performance and Exercise by Affiliates</w:t>
      </w:r>
    </w:p>
    <w:p>
      <w:pPr>
        <w:spacing w:after="0" w:line="212" w:lineRule="exact"/>
        <w:rPr>
          <w:sz w:val="20"/>
          <w:szCs w:val="20"/>
          <w:color w:val="auto"/>
        </w:rPr>
      </w:pPr>
    </w:p>
    <w:p>
      <w:pPr>
        <w:ind w:left="880" w:hanging="806"/>
        <w:spacing w:after="0" w:line="246" w:lineRule="auto"/>
        <w:tabs>
          <w:tab w:leader="none" w:pos="199" w:val="left"/>
        </w:tabs>
        <w:numPr>
          <w:ilvl w:val="0"/>
          <w:numId w:val="208"/>
        </w:numPr>
        <w:rPr>
          <w:rFonts w:ascii="Arial" w:cs="Arial" w:eastAsia="Arial" w:hAnsi="Arial"/>
          <w:sz w:val="21"/>
          <w:szCs w:val="21"/>
          <w:color w:val="auto"/>
        </w:rPr>
      </w:pPr>
      <w:r>
        <w:rPr>
          <w:rFonts w:ascii="Arial" w:cs="Arial" w:eastAsia="Arial" w:hAnsi="Arial"/>
          <w:sz w:val="21"/>
          <w:szCs w:val="21"/>
          <w:color w:val="auto"/>
        </w:rPr>
        <w:t>Each Party shall have the right to have any of its obligations hereunder performed, or its rights hereunder exercised, by any of its Affiliates and the performance of such obligations by any such Affiliate shall be deemed to be performance by such Party; provided, however, that such Party shall be responsible for ensuring the performance of its obligations under this Agreement and that any failure of any Affiliate performing obligations of such Party hereunder shall be deemed to be a failure by such Party to perform such obligations. For clarity, the foregoing means that each Party may designate or subcontract to an Affiliate to perform its obligations hereunder or to be the recipient of the other Party’s performance obligations hereunder.</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Further Actions</w:t>
      </w:r>
    </w:p>
    <w:p>
      <w:pPr>
        <w:spacing w:after="0" w:line="212" w:lineRule="exact"/>
        <w:rPr>
          <w:sz w:val="20"/>
          <w:szCs w:val="20"/>
          <w:color w:val="auto"/>
        </w:rPr>
      </w:pPr>
    </w:p>
    <w:p>
      <w:pPr>
        <w:ind w:left="880" w:hanging="806"/>
        <w:spacing w:after="0" w:line="250" w:lineRule="auto"/>
        <w:tabs>
          <w:tab w:leader="none" w:pos="22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Each Party agrees to execute, acknowledge and deliver such further instruments and to do all such other acts as may be necessary or appropriate in order to carry out the purposes and intent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right="260" w:firstLine="8"/>
        <w:spacing w:after="0" w:line="266" w:lineRule="auto"/>
        <w:tabs>
          <w:tab w:leader="none" w:pos="435"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8"/>
          <w:szCs w:val="18"/>
          <w:b w:val="1"/>
          <w:bCs w:val="1"/>
          <w:color w:val="auto"/>
        </w:rPr>
        <w:t>Accounting Procedures</w:t>
      </w:r>
    </w:p>
    <w:p>
      <w:pPr>
        <w:spacing w:after="0" w:line="212" w:lineRule="exact"/>
        <w:rPr>
          <w:sz w:val="20"/>
          <w:szCs w:val="20"/>
          <w:color w:val="auto"/>
        </w:rPr>
      </w:pPr>
    </w:p>
    <w:p>
      <w:pPr>
        <w:ind w:left="880" w:hanging="806"/>
        <w:spacing w:after="0" w:line="238" w:lineRule="auto"/>
        <w:tabs>
          <w:tab w:leader="none" w:pos="19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Each Party shall calculate all amounts, and perform other accounting procedures required, under this Agreement and applicable to it in accordance with such Party’s then-current Accounting Standards, consistently applied. All terms of an accounting or financial nature in this Agreement shall be construed in accordance with the foregoing Accounting Standard.</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b w:val="1"/>
          <w:bCs w:val="1"/>
          <w:color w:val="auto"/>
        </w:rPr>
        <w:t>Force Majeure</w:t>
      </w:r>
    </w:p>
    <w:p>
      <w:pPr>
        <w:spacing w:after="0" w:line="212" w:lineRule="exact"/>
        <w:rPr>
          <w:sz w:val="20"/>
          <w:szCs w:val="20"/>
          <w:color w:val="auto"/>
        </w:rPr>
      </w:pPr>
    </w:p>
    <w:p>
      <w:pPr>
        <w:ind w:left="880" w:hanging="806"/>
        <w:spacing w:after="0" w:line="270" w:lineRule="auto"/>
        <w:tabs>
          <w:tab w:leader="none" w:pos="19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Neither Party shall be liable to the other Party or be deemed to have breached or defaulted under this Agreement for failure or delay in the performance of any of its obligations under this Agreement for the time and to the extent such failure or delay is caused by or results from (a) fire, floods, earthquakes or other acts of nature; (b) epidemics, pandemics, the spread of infectious diseases, quarantines or disease outbreaks (including COVID-19) in the United States or elsewhere in the world; (c) embargoes; (d) war or acts of war, including terrorism, insurrections, riots or civil unrest; (e) strikes, lockouts or other labor disputes; (f) acts, omissions or delays in acting by a Governmental Body, including acts of any agency thereof, judicial orders or decrees; (g) delay or impossibility to obtain materials, intermediates, components, active pharmaceutical ingredient, utilities, equipment, supplies, fuel or other required materials, receipt of warning letters, or failure or delay of transportation (in each case, due to reasons other than the affected Party’s negligence, willful misconduct or any other cause within the reasonable control of the affected Party); (h) failure of plant or machinery (provided that such failure could not have been prevented by the exercise of skill, diligence or prudence that would be reasonably and ordinarily expected from a skilled and experienced Person engaged in the same type of undertaking under the same or similar circumstances or restrictions; or (i) any other reason or circumstance that is beyond the reasonable control of the affected Party (“</w:t>
      </w:r>
      <w:r>
        <w:rPr>
          <w:rFonts w:ascii="Arial" w:cs="Arial" w:eastAsia="Arial" w:hAnsi="Arial"/>
          <w:sz w:val="19"/>
          <w:szCs w:val="19"/>
          <w:b w:val="1"/>
          <w:bCs w:val="1"/>
          <w:color w:val="auto"/>
        </w:rPr>
        <w:t>Force Majeure Events</w:t>
      </w:r>
      <w:r>
        <w:rPr>
          <w:rFonts w:ascii="Arial" w:cs="Arial" w:eastAsia="Arial" w:hAnsi="Arial"/>
          <w:sz w:val="19"/>
          <w:szCs w:val="19"/>
          <w:color w:val="auto"/>
        </w:rPr>
        <w:t>”). The Parties acknowledge and agree the effects of the COVID-19 pandemic that is ongoing as of the Execution Date (including related acts, omissions or delays in acting by any Governmental Body) may be invoked as a Force Majeure for the purposes of this Agreement even though the pandemic is ongoing, and those effects may be reasonably foreseeable (but are not known for certain) as of the Execution Date. The Party affected by a Force Majeure Event shall (i) provide the other Party with full particulars thereof as soon as it becomes aware of the same (including its best estimate of the likely extent and duration of the interference with its activities) and (ii) use Commercially Reasonable Efforts to overcome the difficulties created thereby and to resume performance of its obligations hereunder as soon as practicable.</w:t>
      </w:r>
    </w:p>
    <w:p>
      <w:pPr>
        <w:spacing w:after="0" w:line="151"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No Trademark Rights</w:t>
      </w:r>
    </w:p>
    <w:p>
      <w:pPr>
        <w:spacing w:after="0" w:line="212" w:lineRule="exact"/>
        <w:rPr>
          <w:sz w:val="20"/>
          <w:szCs w:val="20"/>
          <w:color w:val="auto"/>
        </w:rPr>
      </w:pPr>
    </w:p>
    <w:p>
      <w:pPr>
        <w:ind w:left="880" w:hanging="806"/>
        <w:spacing w:after="0"/>
        <w:tabs>
          <w:tab w:leader="none" w:pos="191"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10.7(c)(vi)</w:t>
      </w:r>
      <w:r>
        <w:rPr>
          <w:rFonts w:ascii="Arial" w:cs="Arial" w:eastAsia="Arial" w:hAnsi="Arial"/>
          <w:sz w:val="22"/>
          <w:szCs w:val="22"/>
          <w:color w:val="auto"/>
        </w:rPr>
        <w:t>, no right, express or implied, is granted by this Agreement to either Party to use in any manner the name or any other trade name or trademark of the other Party in connection with the performance of this Agreement or otherwise.</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b w:val="1"/>
          <w:bCs w:val="1"/>
          <w:color w:val="auto"/>
        </w:rPr>
        <w:t>Entire Agreement; Amendments</w:t>
      </w:r>
    </w:p>
    <w:p>
      <w:pPr>
        <w:spacing w:after="0" w:line="206" w:lineRule="exact"/>
        <w:rPr>
          <w:sz w:val="20"/>
          <w:szCs w:val="20"/>
          <w:color w:val="auto"/>
        </w:rPr>
      </w:pPr>
    </w:p>
    <w:p>
      <w:pPr>
        <w:ind w:left="880" w:hanging="806"/>
        <w:spacing w:after="0" w:line="237" w:lineRule="auto"/>
        <w:tabs>
          <w:tab w:leader="none" w:pos="19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This Agreement and the Schedules and Exhibits hereto, the Technology Transfer Plan, the </w:t>
      </w:r>
      <w:r>
        <w:rPr>
          <w:rFonts w:ascii="Arial" w:cs="Arial" w:eastAsia="Arial" w:hAnsi="Arial"/>
          <w:sz w:val="22"/>
          <w:szCs w:val="22"/>
          <w:b w:val="1"/>
          <w:bCs w:val="1"/>
          <w:color w:val="auto"/>
        </w:rPr>
        <w:t>Pharmacovigilance</w:t>
      </w:r>
      <w:r>
        <w:rPr>
          <w:rFonts w:ascii="Arial" w:cs="Arial" w:eastAsia="Arial" w:hAnsi="Arial"/>
          <w:sz w:val="22"/>
          <w:szCs w:val="22"/>
          <w:color w:val="auto"/>
        </w:rPr>
        <w:t xml:space="preserve"> Agreement, the Clinical Supply Agreement (if any), the Transition Plan (if any) and the Termination and Wind-down Plan (if any) shall constitute and contain the entire understanding and agreement of the Parties respecting the subject matter hereof and cancel and supersede any and all prior negotiations, correspondence, understandings and agreements between the Parties, whether oral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ind w:right="260" w:firstLine="8"/>
        <w:spacing w:after="0" w:line="266" w:lineRule="auto"/>
        <w:tabs>
          <w:tab w:leader="none" w:pos="435"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57" w:lineRule="auto"/>
        <w:rPr>
          <w:sz w:val="20"/>
          <w:szCs w:val="20"/>
          <w:color w:val="auto"/>
        </w:rPr>
      </w:pPr>
      <w:r>
        <w:rPr>
          <w:rFonts w:ascii="Arial" w:cs="Arial" w:eastAsia="Arial" w:hAnsi="Arial"/>
          <w:sz w:val="21"/>
          <w:szCs w:val="21"/>
          <w:color w:val="auto"/>
        </w:rPr>
        <w:t>written, regarding such subject matter, including the Existing Confidentiality Agreement. Except as specified herein, no waiver, modification or amendment of any provision of this Agreement shall be valid or effective unless made in a writing referencing this Agreement and signed by a duly authorized officer of each Party.</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b w:val="1"/>
          <w:bCs w:val="1"/>
          <w:color w:val="auto"/>
        </w:rPr>
        <w:t>Captions</w:t>
      </w:r>
    </w:p>
    <w:p>
      <w:pPr>
        <w:spacing w:after="0" w:line="212" w:lineRule="exact"/>
        <w:rPr>
          <w:sz w:val="20"/>
          <w:szCs w:val="20"/>
          <w:color w:val="auto"/>
        </w:rPr>
      </w:pPr>
    </w:p>
    <w:p>
      <w:pPr>
        <w:ind w:left="880" w:hanging="806"/>
        <w:spacing w:after="0" w:line="250" w:lineRule="auto"/>
        <w:tabs>
          <w:tab w:leader="none" w:pos="19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captions to this Agreement are for convenience only and are to be of no force or effect in construing or interpreting any of the provisions of this Agreement.</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13.10</w:t>
      </w:r>
      <w:r>
        <w:rPr>
          <w:sz w:val="20"/>
          <w:szCs w:val="20"/>
          <w:color w:val="auto"/>
        </w:rPr>
        <w:tab/>
      </w:r>
      <w:r>
        <w:rPr>
          <w:rFonts w:ascii="Arial" w:cs="Arial" w:eastAsia="Arial" w:hAnsi="Arial"/>
          <w:sz w:val="19"/>
          <w:szCs w:val="19"/>
          <w:b w:val="1"/>
          <w:bCs w:val="1"/>
          <w:color w:val="auto"/>
        </w:rPr>
        <w:t>Governing Law</w:t>
      </w:r>
    </w:p>
    <w:p>
      <w:pPr>
        <w:spacing w:after="0" w:line="212" w:lineRule="exact"/>
        <w:rPr>
          <w:sz w:val="20"/>
          <w:szCs w:val="20"/>
          <w:color w:val="auto"/>
        </w:rPr>
      </w:pPr>
    </w:p>
    <w:p>
      <w:pPr>
        <w:ind w:left="880" w:hanging="806"/>
        <w:spacing w:after="0" w:line="245" w:lineRule="auto"/>
        <w:tabs>
          <w:tab w:leader="none" w:pos="197"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interpreted in accordance with the internal Laws of the State of Delaware, including its statutes of limitations but excluding application of any conflict of Laws principles that would require application of the Law of a jurisdiction outside of the State of Delaware. In the event of any conflict between U.S. and foreign Laws, regulations and rules, U.S. Laws, regulations and rules shall govern. The United Nations Convention on Contracts for the International Sale of Goods shall not apply to this Agreement.</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13.11</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ind w:left="880" w:hanging="806"/>
        <w:spacing w:after="0" w:line="238" w:lineRule="auto"/>
        <w:tabs>
          <w:tab w:leader="none" w:pos="22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Any notice required or permitted to be given under this Agreement shall be in writing and shall be deemed to have been sufficiently given if delivered in person, or by express courier service (signature required) to the Party to which it is directed at its address shown below or such other address as such Party shall have last given by notice to the other Party.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Arrowhead, addressed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Arrowhead Pharmaceuticals, Inc.</w:t>
      </w:r>
    </w:p>
    <w:p>
      <w:pPr>
        <w:ind w:left="1740"/>
        <w:spacing w:after="0" w:line="238" w:lineRule="auto"/>
        <w:rPr>
          <w:sz w:val="20"/>
          <w:szCs w:val="20"/>
          <w:color w:val="auto"/>
        </w:rPr>
      </w:pPr>
      <w:r>
        <w:rPr>
          <w:rFonts w:ascii="Arial" w:cs="Arial" w:eastAsia="Arial" w:hAnsi="Arial"/>
          <w:sz w:val="22"/>
          <w:szCs w:val="22"/>
          <w:color w:val="auto"/>
        </w:rPr>
        <w:t>177 East Colorado Boulevard, Suite 700</w:t>
      </w:r>
    </w:p>
    <w:p>
      <w:pPr>
        <w:ind w:left="1740"/>
        <w:spacing w:after="0" w:line="230" w:lineRule="auto"/>
        <w:rPr>
          <w:sz w:val="20"/>
          <w:szCs w:val="20"/>
          <w:color w:val="auto"/>
        </w:rPr>
      </w:pPr>
      <w:r>
        <w:rPr>
          <w:rFonts w:ascii="Arial" w:cs="Arial" w:eastAsia="Arial" w:hAnsi="Arial"/>
          <w:sz w:val="22"/>
          <w:szCs w:val="22"/>
          <w:color w:val="auto"/>
        </w:rPr>
        <w:t>Pasadena, CA 91105</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Attn: General Counsel</w:t>
      </w: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GSK, addressed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GlaxoSmithKline</w:t>
      </w:r>
    </w:p>
    <w:p>
      <w:pPr>
        <w:ind w:left="1740"/>
        <w:spacing w:after="0" w:line="238" w:lineRule="auto"/>
        <w:rPr>
          <w:sz w:val="20"/>
          <w:szCs w:val="20"/>
          <w:color w:val="auto"/>
        </w:rPr>
      </w:pPr>
      <w:r>
        <w:rPr>
          <w:rFonts w:ascii="Arial" w:cs="Arial" w:eastAsia="Arial" w:hAnsi="Arial"/>
          <w:sz w:val="22"/>
          <w:szCs w:val="22"/>
          <w:color w:val="auto"/>
        </w:rPr>
        <w:t>259 E Grand Ave Fifth Floor, Suite 1</w:t>
      </w:r>
    </w:p>
    <w:p>
      <w:pPr>
        <w:ind w:left="1740"/>
        <w:spacing w:after="0" w:line="230" w:lineRule="auto"/>
        <w:rPr>
          <w:sz w:val="20"/>
          <w:szCs w:val="20"/>
          <w:color w:val="auto"/>
        </w:rPr>
      </w:pPr>
      <w:r>
        <w:rPr>
          <w:rFonts w:ascii="Arial" w:cs="Arial" w:eastAsia="Arial" w:hAnsi="Arial"/>
          <w:sz w:val="22"/>
          <w:szCs w:val="22"/>
          <w:color w:val="auto"/>
        </w:rPr>
        <w:t>San Francisco, CA 94080</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Attn: SVP &amp; Head R&amp;D Business Development</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With copies, which shall not constitute notice,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GlaxoSmithKline</w:t>
      </w:r>
    </w:p>
    <w:p>
      <w:pPr>
        <w:ind w:left="1740"/>
        <w:spacing w:after="0" w:line="238" w:lineRule="auto"/>
        <w:rPr>
          <w:sz w:val="20"/>
          <w:szCs w:val="20"/>
          <w:color w:val="auto"/>
        </w:rPr>
      </w:pPr>
      <w:r>
        <w:rPr>
          <w:rFonts w:ascii="Arial" w:cs="Arial" w:eastAsia="Arial" w:hAnsi="Arial"/>
          <w:sz w:val="22"/>
          <w:szCs w:val="22"/>
          <w:color w:val="auto"/>
        </w:rPr>
        <w:t>980 Great West Road</w:t>
      </w:r>
    </w:p>
    <w:p>
      <w:pPr>
        <w:ind w:left="1740"/>
        <w:spacing w:after="0" w:line="230" w:lineRule="auto"/>
        <w:rPr>
          <w:sz w:val="20"/>
          <w:szCs w:val="20"/>
          <w:color w:val="auto"/>
        </w:rPr>
      </w:pPr>
      <w:r>
        <w:rPr>
          <w:rFonts w:ascii="Arial" w:cs="Arial" w:eastAsia="Arial" w:hAnsi="Arial"/>
          <w:sz w:val="22"/>
          <w:szCs w:val="22"/>
          <w:color w:val="auto"/>
        </w:rPr>
        <w:t>Brentford, Middlesex TW8 9GS</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United Kingdom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right="260" w:firstLine="8"/>
        <w:spacing w:after="0" w:line="266" w:lineRule="auto"/>
        <w:tabs>
          <w:tab w:leader="none" w:pos="435"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Attn: VP &amp; Head of Legal Business Development &amp; Corporate</w:t>
      </w: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13.12</w:t>
      </w:r>
      <w:r>
        <w:rPr>
          <w:sz w:val="20"/>
          <w:szCs w:val="20"/>
          <w:color w:val="auto"/>
        </w:rPr>
        <w:tab/>
      </w:r>
      <w:r>
        <w:rPr>
          <w:rFonts w:ascii="Arial" w:cs="Arial" w:eastAsia="Arial" w:hAnsi="Arial"/>
          <w:sz w:val="19"/>
          <w:szCs w:val="19"/>
          <w:b w:val="1"/>
          <w:bCs w:val="1"/>
          <w:color w:val="auto"/>
        </w:rPr>
        <w:t>Language; Waiver of Rule of Construction</w:t>
      </w:r>
    </w:p>
    <w:p>
      <w:pPr>
        <w:spacing w:after="0" w:line="212" w:lineRule="exact"/>
        <w:rPr>
          <w:sz w:val="20"/>
          <w:szCs w:val="20"/>
          <w:color w:val="auto"/>
        </w:rPr>
      </w:pPr>
    </w:p>
    <w:p>
      <w:pPr>
        <w:ind w:left="880" w:hanging="806"/>
        <w:spacing w:after="0" w:line="238" w:lineRule="auto"/>
        <w:tabs>
          <w:tab w:leader="none" w:pos="211"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official language of this Agreement and between the Parties for all correspondence shall be the English language.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13.13</w:t>
      </w:r>
      <w:r>
        <w:rPr>
          <w:sz w:val="20"/>
          <w:szCs w:val="20"/>
          <w:color w:val="auto"/>
        </w:rPr>
        <w:tab/>
      </w:r>
      <w:r>
        <w:rPr>
          <w:rFonts w:ascii="Arial" w:cs="Arial" w:eastAsia="Arial" w:hAnsi="Arial"/>
          <w:sz w:val="19"/>
          <w:szCs w:val="19"/>
          <w:b w:val="1"/>
          <w:bCs w:val="1"/>
          <w:color w:val="auto"/>
        </w:rPr>
        <w:t>Waiver</w:t>
      </w:r>
    </w:p>
    <w:p>
      <w:pPr>
        <w:spacing w:after="0" w:line="212" w:lineRule="exact"/>
        <w:rPr>
          <w:sz w:val="20"/>
          <w:szCs w:val="20"/>
          <w:color w:val="auto"/>
        </w:rPr>
      </w:pPr>
    </w:p>
    <w:p>
      <w:pPr>
        <w:ind w:left="880" w:hanging="806"/>
        <w:spacing w:after="0" w:line="287" w:lineRule="auto"/>
        <w:tabs>
          <w:tab w:leader="none" w:pos="193"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 waiver by either Party of any of the terms and conditions of this Agreement in any instance shall not be 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3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13.14</w:t>
      </w:r>
      <w:r>
        <w:rPr>
          <w:sz w:val="20"/>
          <w:szCs w:val="20"/>
          <w:color w:val="auto"/>
        </w:rPr>
        <w:tab/>
      </w:r>
      <w:r>
        <w:rPr>
          <w:rFonts w:ascii="Arial" w:cs="Arial" w:eastAsia="Arial" w:hAnsi="Arial"/>
          <w:sz w:val="19"/>
          <w:szCs w:val="19"/>
          <w:b w:val="1"/>
          <w:bCs w:val="1"/>
          <w:color w:val="auto"/>
        </w:rPr>
        <w:t>Severability</w:t>
      </w:r>
    </w:p>
    <w:p>
      <w:pPr>
        <w:spacing w:after="0" w:line="212" w:lineRule="exact"/>
        <w:rPr>
          <w:sz w:val="20"/>
          <w:szCs w:val="20"/>
          <w:color w:val="auto"/>
        </w:rPr>
      </w:pPr>
    </w:p>
    <w:p>
      <w:pPr>
        <w:ind w:left="880" w:hanging="806"/>
        <w:spacing w:after="0" w:line="249" w:lineRule="auto"/>
        <w:tabs>
          <w:tab w:leader="none" w:pos="193" w:val="left"/>
        </w:tabs>
        <w:numPr>
          <w:ilvl w:val="0"/>
          <w:numId w:val="222"/>
        </w:numPr>
        <w:rPr>
          <w:rFonts w:ascii="Arial" w:cs="Arial" w:eastAsia="Arial" w:hAnsi="Arial"/>
          <w:sz w:val="21"/>
          <w:szCs w:val="21"/>
          <w:color w:val="auto"/>
        </w:rPr>
      </w:pPr>
      <w:r>
        <w:rPr>
          <w:rFonts w:ascii="Arial" w:cs="Arial" w:eastAsia="Arial" w:hAnsi="Arial"/>
          <w:sz w:val="21"/>
          <w:szCs w:val="21"/>
          <w:color w:val="auto"/>
        </w:rPr>
        <w:t>When possible, each provision of this Agreement will be interpreted in such manner as to be effective and valid under Law, but if 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7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13.15</w:t>
      </w:r>
      <w:r>
        <w:rPr>
          <w:sz w:val="20"/>
          <w:szCs w:val="20"/>
          <w:color w:val="auto"/>
        </w:rPr>
        <w:tab/>
      </w:r>
      <w:r>
        <w:rPr>
          <w:rFonts w:ascii="Arial" w:cs="Arial" w:eastAsia="Arial" w:hAnsi="Arial"/>
          <w:sz w:val="19"/>
          <w:szCs w:val="19"/>
          <w:b w:val="1"/>
          <w:bCs w:val="1"/>
          <w:color w:val="auto"/>
        </w:rPr>
        <w:t>Interpretation</w:t>
      </w:r>
    </w:p>
    <w:p>
      <w:pPr>
        <w:spacing w:after="0" w:line="212" w:lineRule="exact"/>
        <w:rPr>
          <w:sz w:val="20"/>
          <w:szCs w:val="20"/>
          <w:color w:val="auto"/>
        </w:rPr>
      </w:pPr>
    </w:p>
    <w:p>
      <w:pPr>
        <w:ind w:left="880" w:hanging="806"/>
        <w:spacing w:after="0" w:line="270" w:lineRule="auto"/>
        <w:tabs>
          <w:tab w:leader="none" w:pos="244"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All references herein to Articles, Sections, Exhibits and Schedules shall be deemed references to Articles and Sections of, and Exhibits and Schedules to, this Agreement unless the context shall otherwise require. Except where the context otherwise requires, wherever used, (a) the singular shall include the plural, the plural the singular; (b) the use of any gender shall be applicable to all genders; (c) the word “or” is used in the inclusive sense (and/or); (d) the words “include,” “includes” and “including” shall be deemed to be followed by the phrase “without limitation”; (e) the word “will” will be construed to have the same meaning and effect as the word “shall”; (f)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(g) any reference herein to any Person will be construed to include the Person’s successors and assigns; (h) the words “herein,” “hereof” and “hereunder,” and words of similar import, will be construed to refer to this Agreement in its entirety and not to any particular provision hereof; (i) the word “notice” will mean notice in writing (whether or not specifically stated), shall include any written instrument or communication delivered in accordance with Section 13.11, unless otherwise specified herein; (j) provisions that require that a Party, the Parties or any committee hereunder “agree,” “consent” or “approve” or words of similar import will require that such agreement, consent or approval be specific and in writing, whether by written agreement, letter, approved minutes or otherwise; (k) any reference to a “sublicensee” GSK under this Agreement shall be construed to include Sublicensees; and (l) references to any specific law, rule or regulation, or article, section or other division thereof, will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-659130</wp:posOffset>
            </wp:positionV>
            <wp:extent cx="774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right="260" w:firstLine="8"/>
        <w:spacing w:after="0" w:line="266" w:lineRule="auto"/>
        <w:tabs>
          <w:tab w:leader="none" w:pos="435"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jc w:val="both"/>
        <w:ind w:left="880"/>
        <w:spacing w:after="0" w:line="279" w:lineRule="auto"/>
        <w:rPr>
          <w:sz w:val="20"/>
          <w:szCs w:val="20"/>
          <w:color w:val="auto"/>
        </w:rPr>
      </w:pPr>
      <w:r>
        <w:rPr>
          <w:rFonts w:ascii="Arial" w:cs="Arial" w:eastAsia="Arial" w:hAnsi="Arial"/>
          <w:sz w:val="19"/>
          <w:szCs w:val="19"/>
          <w:color w:val="auto"/>
        </w:rPr>
        <w:t>include the then-current amendments thereto or any replacement or successor law, rule or regulation thereof. Whenever this Agreement refers to a number of days, unless otherwise specified, such number refers to calendar days.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 Unless the context otherwise requires, countries shall include territories.</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13.16</w:t>
      </w:r>
      <w:r>
        <w:rPr>
          <w:sz w:val="20"/>
          <w:szCs w:val="20"/>
          <w:color w:val="auto"/>
        </w:rPr>
        <w:tab/>
      </w:r>
      <w:r>
        <w:rPr>
          <w:rFonts w:ascii="Arial" w:cs="Arial" w:eastAsia="Arial" w:hAnsi="Arial"/>
          <w:sz w:val="18"/>
          <w:szCs w:val="18"/>
          <w:b w:val="1"/>
          <w:bCs w:val="1"/>
          <w:color w:val="auto"/>
        </w:rPr>
        <w:t>Expenses</w:t>
      </w:r>
    </w:p>
    <w:p>
      <w:pPr>
        <w:spacing w:after="0" w:line="212" w:lineRule="exact"/>
        <w:rPr>
          <w:sz w:val="20"/>
          <w:szCs w:val="20"/>
          <w:color w:val="auto"/>
        </w:rPr>
      </w:pPr>
    </w:p>
    <w:p>
      <w:pPr>
        <w:ind w:left="880" w:hanging="806"/>
        <w:spacing w:after="0" w:line="297" w:lineRule="auto"/>
        <w:tabs>
          <w:tab w:leader="none" w:pos="265" w:val="left"/>
        </w:tabs>
        <w:numPr>
          <w:ilvl w:val="0"/>
          <w:numId w:val="225"/>
        </w:numPr>
        <w:rPr>
          <w:rFonts w:ascii="Arial" w:cs="Arial" w:eastAsia="Arial" w:hAnsi="Arial"/>
          <w:sz w:val="19"/>
          <w:szCs w:val="19"/>
          <w:color w:val="auto"/>
        </w:rPr>
      </w:pPr>
      <w:r>
        <w:rPr>
          <w:rFonts w:ascii="Arial" w:cs="Arial" w:eastAsia="Arial" w:hAnsi="Arial"/>
          <w:sz w:val="19"/>
          <w:szCs w:val="19"/>
          <w:color w:val="auto"/>
        </w:rPr>
        <w:t>Except as otherwise provided herein, all fees, costs and expenses (including any legal, accounting and banking fees) incurred in connection with the preparation, negotiation, execution and delivery of this Agreement and to consummate the transactions contemplated hereby will be paid by the Party hereto incurring such fees, costs and expenses.</w:t>
      </w:r>
    </w:p>
    <w:p>
      <w:pPr>
        <w:spacing w:after="0" w:line="128"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13.17</w:t>
      </w:r>
      <w:r>
        <w:rPr>
          <w:sz w:val="20"/>
          <w:szCs w:val="20"/>
          <w:color w:val="auto"/>
        </w:rPr>
        <w:tab/>
      </w:r>
      <w:r>
        <w:rPr>
          <w:rFonts w:ascii="Arial" w:cs="Arial" w:eastAsia="Arial" w:hAnsi="Arial"/>
          <w:sz w:val="19"/>
          <w:szCs w:val="19"/>
          <w:b w:val="1"/>
          <w:bCs w:val="1"/>
          <w:color w:val="auto"/>
        </w:rPr>
        <w:t>Binding Effect; No Third Party Beneficiaries</w:t>
      </w:r>
    </w:p>
    <w:p>
      <w:pPr>
        <w:spacing w:after="0" w:line="212" w:lineRule="exact"/>
        <w:rPr>
          <w:sz w:val="20"/>
          <w:szCs w:val="20"/>
          <w:color w:val="auto"/>
        </w:rPr>
      </w:pPr>
    </w:p>
    <w:p>
      <w:pPr>
        <w:ind w:left="880" w:hanging="806"/>
        <w:spacing w:after="0" w:line="238" w:lineRule="auto"/>
        <w:tabs>
          <w:tab w:leader="none" w:pos="218"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As of the Execution Date, this Agreement will be binding upon and inure to the benefit of the Parties and their respective permitted successors and permitted assigns. Except as expressly set forth in this Agreement, no Person other than the Parties and their respective Affiliates and permitted assignees hereunder will be deemed an intended beneficiary hereunder or have any right to enforce any obligation of this Agreement.</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13.18</w:t>
      </w:r>
      <w:r>
        <w:rPr>
          <w:sz w:val="20"/>
          <w:szCs w:val="20"/>
          <w:color w:val="auto"/>
        </w:rPr>
        <w:tab/>
      </w:r>
      <w:r>
        <w:rPr>
          <w:rFonts w:ascii="Arial" w:cs="Arial" w:eastAsia="Arial" w:hAnsi="Arial"/>
          <w:sz w:val="19"/>
          <w:szCs w:val="19"/>
          <w:b w:val="1"/>
          <w:bCs w:val="1"/>
          <w:color w:val="auto"/>
        </w:rPr>
        <w:t>Counterparts</w:t>
      </w:r>
    </w:p>
    <w:p>
      <w:pPr>
        <w:spacing w:after="0" w:line="212" w:lineRule="exact"/>
        <w:rPr>
          <w:sz w:val="20"/>
          <w:szCs w:val="20"/>
          <w:color w:val="auto"/>
        </w:rPr>
      </w:pPr>
    </w:p>
    <w:p>
      <w:pPr>
        <w:ind w:left="880" w:hanging="806"/>
        <w:spacing w:after="0"/>
        <w:tabs>
          <w:tab w:leader="none" w:pos="20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This Agreement may be executed in counterparts, each of which will be deemed an original, and all of which together will be deemed to be one and the same instrument. A facsimile or a portable document format (PDF) copy of this Agreement, including the signature pages, will be deemed an original.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40"/>
          <w:szCs w:val="4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IN WITNESS WHEREOF, duly authorized representatives of the Parties have executed this Agreement as of the Execution Date.</w:t>
      </w:r>
    </w:p>
    <w:p>
      <w:pPr>
        <w:sectPr>
          <w:pgSz w:w="11900" w:h="16838" w:orient="portrait"/>
          <w:cols w:equalWidth="0" w:num="1">
            <w:col w:w="11200"/>
          </w:cols>
          <w:pgMar w:left="320" w:top="6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GLAXOSMITHKLINE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INTELLECTUAL PROPERTY (NO. 3)</w:t>
      </w:r>
    </w:p>
    <w:p>
      <w:pPr>
        <w:ind w:left="5200"/>
        <w:spacing w:after="0"/>
        <w:rPr>
          <w:sz w:val="20"/>
          <w:szCs w:val="20"/>
          <w:color w:val="auto"/>
        </w:rPr>
      </w:pPr>
      <w:r>
        <w:rPr>
          <w:rFonts w:ascii="Arial" w:cs="Arial" w:eastAsia="Arial" w:hAnsi="Arial"/>
          <w:sz w:val="22"/>
          <w:szCs w:val="22"/>
          <w:b w:val="1"/>
          <w:bCs w:val="1"/>
          <w:color w:val="auto"/>
        </w:rPr>
        <w:t>LIMITED</w:t>
      </w:r>
    </w:p>
    <w:p>
      <w:pPr>
        <w:spacing w:after="0" w:line="80" w:lineRule="exact"/>
        <w:rPr>
          <w:sz w:val="20"/>
          <w:szCs w:val="20"/>
          <w:color w:val="auto"/>
        </w:rPr>
      </w:pPr>
    </w:p>
    <w:tbl>
      <w:tblPr>
        <w:tblLayout w:type="fixed"/>
        <w:tblInd w:w="5200" w:type="dxa"/>
        <w:tblCellMar>
          <w:top w:w="0" w:type="dxa"/>
          <w:left w:w="0" w:type="dxa"/>
          <w:bottom w:w="0" w:type="dxa"/>
          <w:right w:w="0" w:type="dxa"/>
        </w:tblCellMar>
      </w:tblPr>
      <w:tr>
        <w:trPr>
          <w:trHeight w:val="264"/>
        </w:trPr>
        <w:tc>
          <w:tcPr>
            <w:tcW w:w="1360" w:type="dxa"/>
            <w:vAlign w:val="bottom"/>
          </w:tcPr>
          <w:p>
            <w:pPr>
              <w:spacing w:after="0"/>
              <w:rPr>
                <w:sz w:val="20"/>
                <w:szCs w:val="20"/>
                <w:color w:val="auto"/>
              </w:rPr>
            </w:pPr>
            <w:r>
              <w:rPr>
                <w:rFonts w:ascii="Arial" w:cs="Arial" w:eastAsia="Arial" w:hAnsi="Arial"/>
                <w:sz w:val="22"/>
                <w:szCs w:val="22"/>
                <w:color w:val="auto"/>
              </w:rPr>
              <w:t>Signature:</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John Sadler</w:t>
            </w:r>
          </w:p>
        </w:tc>
      </w:tr>
      <w:tr>
        <w:trPr>
          <w:trHeight w:val="344"/>
        </w:trPr>
        <w:tc>
          <w:tcPr>
            <w:tcW w:w="1360" w:type="dxa"/>
            <w:vAlign w:val="bottom"/>
          </w:tcPr>
          <w:p>
            <w:pPr>
              <w:spacing w:after="0"/>
              <w:rPr>
                <w:sz w:val="20"/>
                <w:szCs w:val="20"/>
                <w:color w:val="auto"/>
              </w:rPr>
            </w:pPr>
            <w:r>
              <w:rPr>
                <w:rFonts w:ascii="Arial" w:cs="Arial" w:eastAsia="Arial" w:hAnsi="Arial"/>
                <w:sz w:val="22"/>
                <w:szCs w:val="22"/>
                <w:color w:val="auto"/>
                <w:w w:val="95"/>
              </w:rPr>
              <w:t>Printed Name:</w:t>
            </w:r>
          </w:p>
        </w:tc>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John Sadler</w:t>
            </w:r>
          </w:p>
        </w:tc>
      </w:tr>
      <w:tr>
        <w:trPr>
          <w:trHeight w:val="344"/>
        </w:trPr>
        <w:tc>
          <w:tcPr>
            <w:tcW w:w="1360" w:type="dxa"/>
            <w:vAlign w:val="bottom"/>
          </w:tcPr>
          <w:p>
            <w:pPr>
              <w:spacing w:after="0"/>
              <w:rPr>
                <w:sz w:val="20"/>
                <w:szCs w:val="20"/>
                <w:color w:val="auto"/>
              </w:rPr>
            </w:pPr>
            <w:r>
              <w:rPr>
                <w:rFonts w:ascii="Arial" w:cs="Arial" w:eastAsia="Arial" w:hAnsi="Arial"/>
                <w:sz w:val="22"/>
                <w:szCs w:val="22"/>
                <w:color w:val="auto"/>
              </w:rPr>
              <w:t>Title:</w:t>
            </w:r>
          </w:p>
        </w:tc>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ARROWHEAD PHARMACEUTICALS,</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INC.</w:t>
      </w:r>
    </w:p>
    <w:p>
      <w:pPr>
        <w:spacing w:after="0" w:line="200" w:lineRule="exact"/>
        <w:rPr>
          <w:sz w:val="20"/>
          <w:szCs w:val="20"/>
          <w:color w:val="auto"/>
        </w:rPr>
      </w:pPr>
    </w:p>
    <w:p>
      <w:pPr>
        <w:spacing w:after="0" w:line="312" w:lineRule="exact"/>
        <w:rPr>
          <w:sz w:val="20"/>
          <w:szCs w:val="20"/>
          <w:color w:val="auto"/>
        </w:rPr>
      </w:pPr>
    </w:p>
    <w:p>
      <w:pPr>
        <w:ind w:left="5200"/>
        <w:spacing w:after="0"/>
        <w:tabs>
          <w:tab w:leader="none" w:pos="65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6985</wp:posOffset>
            </wp:positionV>
            <wp:extent cx="1714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Printed Name: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6985</wp:posOffset>
            </wp:positionV>
            <wp:extent cx="1714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2" w:lineRule="exact"/>
        <w:rPr>
          <w:sz w:val="20"/>
          <w:szCs w:val="20"/>
          <w:color w:val="auto"/>
        </w:rPr>
      </w:pPr>
    </w:p>
    <w:p>
      <w:pPr>
        <w:ind w:left="5200"/>
        <w:spacing w:after="0"/>
        <w:tabs>
          <w:tab w:leader="none" w:pos="6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6985</wp:posOffset>
            </wp:positionV>
            <wp:extent cx="1714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Signature Page to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type w:val="continuous"/>
        </w:sectPr>
      </w:pPr>
    </w:p>
    <w:bookmarkStart w:id="123" w:name="page124"/>
    <w:bookmarkEnd w:id="123"/>
    <w:p>
      <w:pPr>
        <w:jc w:val="center"/>
        <w:ind w:right="19"/>
        <w:spacing w:after="0"/>
        <w:rPr>
          <w:sz w:val="20"/>
          <w:szCs w:val="20"/>
          <w:color w:val="auto"/>
        </w:rPr>
      </w:pPr>
      <w:r>
        <w:rPr>
          <w:rFonts w:ascii="Arial" w:cs="Arial" w:eastAsia="Arial" w:hAnsi="Arial"/>
          <w:sz w:val="22"/>
          <w:szCs w:val="22"/>
          <w:b w:val="1"/>
          <w:bCs w:val="1"/>
          <w:color w:val="auto"/>
        </w:rPr>
        <w:t>Schedule 1.11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Antitrust Clearance Waiting Periods and Approvals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color w:val="auto"/>
        </w:rPr>
        <w:t>Schedule 1.12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Antitrust Filings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220345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25" w:name="page126"/>
    <w:bookmarkEnd w:id="125"/>
    <w:p>
      <w:pPr>
        <w:jc w:val="center"/>
        <w:ind w:right="-1100"/>
        <w:spacing w:after="0"/>
        <w:rPr>
          <w:sz w:val="20"/>
          <w:szCs w:val="20"/>
          <w:color w:val="auto"/>
        </w:rPr>
      </w:pPr>
      <w:r>
        <w:rPr>
          <w:rFonts w:ascii="Arial" w:cs="Arial" w:eastAsia="Arial" w:hAnsi="Arial"/>
          <w:sz w:val="22"/>
          <w:szCs w:val="22"/>
          <w:b w:val="1"/>
          <w:bCs w:val="1"/>
          <w:color w:val="auto"/>
        </w:rPr>
        <w:t>Schedule 1.20</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Arrowhead HSD17B13 Specific Patents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26" w:name="page127"/>
    <w:bookmarkEnd w:id="126"/>
    <w:p>
      <w:pPr>
        <w:jc w:val="center"/>
        <w:ind w:right="-1100"/>
        <w:spacing w:after="0"/>
        <w:rPr>
          <w:sz w:val="20"/>
          <w:szCs w:val="20"/>
          <w:color w:val="auto"/>
        </w:rPr>
      </w:pPr>
      <w:r>
        <w:rPr>
          <w:rFonts w:ascii="Arial" w:cs="Arial" w:eastAsia="Arial" w:hAnsi="Arial"/>
          <w:sz w:val="22"/>
          <w:szCs w:val="22"/>
          <w:b w:val="1"/>
          <w:bCs w:val="1"/>
          <w:color w:val="auto"/>
        </w:rPr>
        <w:t>Schedule 1.25</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Existing Arrowhead Materials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27" w:name="page128"/>
    <w:bookmarkEnd w:id="127"/>
    <w:p>
      <w:pPr>
        <w:jc w:val="center"/>
        <w:ind w:right="-1100"/>
        <w:spacing w:after="0"/>
        <w:rPr>
          <w:sz w:val="20"/>
          <w:szCs w:val="20"/>
          <w:color w:val="auto"/>
        </w:rPr>
      </w:pPr>
      <w:r>
        <w:rPr>
          <w:rFonts w:ascii="Arial" w:cs="Arial" w:eastAsia="Arial" w:hAnsi="Arial"/>
          <w:sz w:val="22"/>
          <w:szCs w:val="22"/>
          <w:b w:val="1"/>
          <w:bCs w:val="1"/>
          <w:color w:val="auto"/>
        </w:rPr>
        <w:t>Schedule 1.27</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Arrowhead Platform Patents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28" w:name="page129"/>
    <w:bookmarkEnd w:id="128"/>
    <w:p>
      <w:pPr>
        <w:jc w:val="center"/>
        <w:ind w:right="-460"/>
        <w:spacing w:after="0"/>
        <w:rPr>
          <w:sz w:val="20"/>
          <w:szCs w:val="20"/>
          <w:color w:val="auto"/>
        </w:rPr>
      </w:pPr>
      <w:r>
        <w:rPr>
          <w:rFonts w:ascii="Arial" w:cs="Arial" w:eastAsia="Arial" w:hAnsi="Arial"/>
          <w:sz w:val="22"/>
          <w:szCs w:val="22"/>
          <w:b w:val="1"/>
          <w:bCs w:val="1"/>
          <w:color w:val="auto"/>
        </w:rPr>
        <w:t>Schedule 1.28</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Arrowhead Pre-Existing Agreements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499"/>
          </w:cols>
          <w:pgMar w:left="960" w:top="598"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Schedule 1.53</w:t>
      </w:r>
    </w:p>
    <w:p>
      <w:pPr>
        <w:sectPr>
          <w:pgSz w:w="11900" w:h="16838" w:orient="portrait"/>
          <w:cols w:equalWidth="0" w:num="1">
            <w:col w:w="9019"/>
          </w:cols>
          <w:pgMar w:left="1440" w:top="598"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Compound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type w:val="continuous"/>
        </w:sectPr>
      </w:pPr>
    </w:p>
    <w:bookmarkStart w:id="130" w:name="page131"/>
    <w:bookmarkEnd w:id="130"/>
    <w:p>
      <w:pPr>
        <w:jc w:val="center"/>
        <w:ind w:right="-460"/>
        <w:spacing w:after="0"/>
        <w:rPr>
          <w:sz w:val="20"/>
          <w:szCs w:val="20"/>
          <w:color w:val="auto"/>
        </w:rPr>
      </w:pPr>
      <w:r>
        <w:rPr>
          <w:rFonts w:ascii="Arial" w:cs="Arial" w:eastAsia="Arial" w:hAnsi="Arial"/>
          <w:sz w:val="22"/>
          <w:szCs w:val="22"/>
          <w:b w:val="1"/>
          <w:bCs w:val="1"/>
          <w:color w:val="auto"/>
        </w:rPr>
        <w:t>Schedule 2.4</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Technology Transfer Plan Assets and Delivery Schedule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499"/>
          </w:cols>
          <w:pgMar w:left="960" w:top="598" w:right="1440" w:bottom="1440" w:gutter="0" w:footer="0" w:header="0"/>
        </w:sectPr>
      </w:pPr>
    </w:p>
    <w:bookmarkStart w:id="131" w:name="page132"/>
    <w:bookmarkEnd w:id="131"/>
    <w:p>
      <w:pPr>
        <w:jc w:val="center"/>
        <w:ind w:right="-1100"/>
        <w:spacing w:after="0"/>
        <w:rPr>
          <w:sz w:val="20"/>
          <w:szCs w:val="20"/>
          <w:color w:val="auto"/>
        </w:rPr>
      </w:pPr>
      <w:r>
        <w:rPr>
          <w:rFonts w:ascii="Arial" w:cs="Arial" w:eastAsia="Arial" w:hAnsi="Arial"/>
          <w:sz w:val="22"/>
          <w:szCs w:val="22"/>
          <w:b w:val="1"/>
          <w:bCs w:val="1"/>
          <w:color w:val="auto"/>
        </w:rPr>
        <w:t>Schedule 3.3</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Key Clinical Supply Agreement Terms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32" w:name="page133"/>
    <w:bookmarkEnd w:id="132"/>
    <w:p>
      <w:pPr>
        <w:jc w:val="center"/>
        <w:ind w:right="-1100"/>
        <w:spacing w:after="0"/>
        <w:rPr>
          <w:sz w:val="20"/>
          <w:szCs w:val="20"/>
          <w:color w:val="auto"/>
        </w:rPr>
      </w:pPr>
      <w:r>
        <w:rPr>
          <w:rFonts w:ascii="Arial" w:cs="Arial" w:eastAsia="Arial" w:hAnsi="Arial"/>
          <w:sz w:val="22"/>
          <w:szCs w:val="22"/>
          <w:b w:val="1"/>
          <w:bCs w:val="1"/>
          <w:color w:val="auto"/>
        </w:rPr>
        <w:t>Schedule 3.4</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Ongoing Phase I Clinical Trial Plan and Protocol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33" w:name="page134"/>
    <w:bookmarkEnd w:id="133"/>
    <w:p>
      <w:pPr>
        <w:jc w:val="center"/>
        <w:ind w:right="-1100"/>
        <w:spacing w:after="0"/>
        <w:rPr>
          <w:sz w:val="20"/>
          <w:szCs w:val="20"/>
          <w:color w:val="auto"/>
        </w:rPr>
      </w:pPr>
      <w:r>
        <w:rPr>
          <w:rFonts w:ascii="Arial" w:cs="Arial" w:eastAsia="Arial" w:hAnsi="Arial"/>
          <w:sz w:val="22"/>
          <w:szCs w:val="22"/>
          <w:b w:val="1"/>
          <w:bCs w:val="1"/>
          <w:color w:val="auto"/>
        </w:rPr>
        <w:t>Schedule 3.10</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Additional Data Integrity and Handling of Human Biological Samples Terms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34" w:name="page135"/>
    <w:bookmarkEnd w:id="134"/>
    <w:p>
      <w:pPr>
        <w:ind w:left="4120"/>
        <w:spacing w:after="0"/>
        <w:rPr>
          <w:sz w:val="20"/>
          <w:szCs w:val="20"/>
          <w:color w:val="auto"/>
        </w:rPr>
      </w:pPr>
      <w:r>
        <w:rPr>
          <w:rFonts w:ascii="Arial" w:cs="Arial" w:eastAsia="Arial" w:hAnsi="Arial"/>
          <w:sz w:val="22"/>
          <w:szCs w:val="22"/>
          <w:b w:val="1"/>
          <w:bCs w:val="1"/>
          <w:color w:val="auto"/>
        </w:rPr>
        <w:t>Schedule 5.5</w:t>
      </w:r>
    </w:p>
    <w:p>
      <w:pPr>
        <w:spacing w:after="0" w:line="206" w:lineRule="exact"/>
        <w:rPr>
          <w:sz w:val="20"/>
          <w:szCs w:val="20"/>
          <w:color w:val="auto"/>
        </w:rPr>
      </w:pPr>
    </w:p>
    <w:p>
      <w:pPr>
        <w:jc w:val="right"/>
        <w:ind w:right="2459"/>
        <w:spacing w:after="0"/>
        <w:rPr>
          <w:sz w:val="20"/>
          <w:szCs w:val="20"/>
          <w:color w:val="auto"/>
        </w:rPr>
      </w:pPr>
      <w:r>
        <w:rPr>
          <w:rFonts w:ascii="Arial" w:cs="Arial" w:eastAsia="Arial" w:hAnsi="Arial"/>
          <w:sz w:val="22"/>
          <w:szCs w:val="22"/>
          <w:b w:val="1"/>
          <w:bCs w:val="1"/>
          <w:color w:val="auto"/>
        </w:rPr>
        <w:t>Invoicing and Bank Details Format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66040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19"/>
          </w:cols>
          <w:pgMar w:left="1240" w:top="598" w:right="1440" w:bottom="1440" w:gutter="0" w:footer="0" w:header="0"/>
        </w:sectPr>
      </w:pPr>
    </w:p>
    <w:bookmarkStart w:id="135" w:name="page136"/>
    <w:bookmarkEnd w:id="135"/>
    <w:p>
      <w:pPr>
        <w:jc w:val="center"/>
        <w:ind w:right="-1120"/>
        <w:spacing w:after="0"/>
        <w:rPr>
          <w:sz w:val="20"/>
          <w:szCs w:val="20"/>
          <w:color w:val="auto"/>
        </w:rPr>
      </w:pPr>
      <w:r>
        <w:rPr>
          <w:rFonts w:ascii="Arial" w:cs="Arial" w:eastAsia="Arial" w:hAnsi="Arial"/>
          <w:sz w:val="22"/>
          <w:szCs w:val="22"/>
          <w:b w:val="1"/>
          <w:bCs w:val="1"/>
          <w:color w:val="auto"/>
        </w:rPr>
        <w:t>Schedule 7.5</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Arrowhead Press Release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36" w:name="page137"/>
    <w:bookmarkEnd w:id="136"/>
    <w:p>
      <w:pPr>
        <w:jc w:val="center"/>
        <w:ind w:right="-1120"/>
        <w:spacing w:after="0"/>
        <w:rPr>
          <w:sz w:val="20"/>
          <w:szCs w:val="20"/>
          <w:color w:val="auto"/>
        </w:rPr>
      </w:pPr>
      <w:r>
        <w:rPr>
          <w:rFonts w:ascii="Arial" w:cs="Arial" w:eastAsia="Arial" w:hAnsi="Arial"/>
          <w:sz w:val="22"/>
          <w:szCs w:val="22"/>
          <w:b w:val="1"/>
          <w:bCs w:val="1"/>
          <w:color w:val="auto"/>
        </w:rPr>
        <w:t>Schedule 8.2</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Arrowhead Disclosure Schedules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0139"/>
          </w:cols>
          <w:pgMar w:left="320" w:top="598" w:right="1440" w:bottom="1440" w:gutter="0" w:footer="0" w:header="0"/>
        </w:sectPr>
      </w:pPr>
    </w:p>
    <w:bookmarkStart w:id="137" w:name="page138"/>
    <w:bookmarkEnd w:id="137"/>
    <w:p>
      <w:pPr>
        <w:jc w:val="right"/>
        <w:ind w:right="20"/>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9"/>
          <w:szCs w:val="19"/>
          <w:b w:val="1"/>
          <w:bCs w:val="1"/>
          <w:color w:val="auto"/>
        </w:rPr>
        <w:t>10.2</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LEASE AGREEMENT</w:t>
      </w:r>
    </w:p>
    <w:p>
      <w:pPr>
        <w:spacing w:after="0" w:line="190" w:lineRule="exact"/>
        <w:rPr>
          <w:sz w:val="20"/>
          <w:szCs w:val="20"/>
          <w:color w:val="auto"/>
        </w:rPr>
      </w:pPr>
    </w:p>
    <w:p>
      <w:pPr>
        <w:jc w:val="both"/>
        <w:ind w:right="40" w:firstLine="864"/>
        <w:spacing w:after="0" w:line="214" w:lineRule="exact"/>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this 19 day of November, 2021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SD</w:t>
      </w:r>
      <w:r>
        <w:rPr>
          <w:rFonts w:ascii="Arial" w:cs="Arial" w:eastAsia="Arial" w:hAnsi="Arial"/>
          <w:sz w:val="18"/>
          <w:szCs w:val="18"/>
          <w:color w:val="auto"/>
        </w:rPr>
        <w:t xml:space="preserve"> </w:t>
      </w:r>
      <w:r>
        <w:rPr>
          <w:rFonts w:ascii="Arial" w:cs="Arial" w:eastAsia="Arial" w:hAnsi="Arial"/>
          <w:sz w:val="18"/>
          <w:szCs w:val="18"/>
          <w:b w:val="1"/>
          <w:bCs w:val="1"/>
          <w:color w:val="auto"/>
        </w:rPr>
        <w:t>REGION NO. 72,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ARROWHEAD PHARMACEUTICALS,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That certain to-be-constructed 1-story building with a mezzanine at 10102 Hoyt Park Drive, San Diego, California</w:t>
            </w:r>
          </w:p>
        </w:tc>
      </w:tr>
      <w:tr>
        <w:trPr>
          <w:trHeight w:val="382"/>
        </w:trPr>
        <w:tc>
          <w:tcPr>
            <w:tcW w:w="156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The entire Building, containing approximately 144,113 rentable square feet, as determined by Landlord, as shown</w:t>
            </w:r>
          </w:p>
        </w:tc>
      </w:tr>
      <w:tr>
        <w:trPr>
          <w:trHeight w:val="224"/>
        </w:trPr>
        <w:tc>
          <w:tcPr>
            <w:tcW w:w="1560" w:type="dxa"/>
            <w:vAlign w:val="bottom"/>
          </w:tcPr>
          <w:p>
            <w:pPr>
              <w:spacing w:after="0"/>
              <w:rPr>
                <w:sz w:val="19"/>
                <w:szCs w:val="19"/>
                <w:color w:val="auto"/>
              </w:rPr>
            </w:pP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Exhibit A</w:t>
            </w:r>
            <w:r>
              <w:rPr>
                <w:rFonts w:ascii="Arial" w:cs="Arial" w:eastAsia="Arial" w:hAnsi="Arial"/>
                <w:sz w:val="18"/>
                <w:szCs w:val="18"/>
                <w:color w:val="auto"/>
              </w:rPr>
              <w:t>. The parties stipulate that the rentable square footage of the Premises set forth above shall not be</w:t>
            </w:r>
          </w:p>
        </w:tc>
      </w:tr>
      <w:tr>
        <w:trPr>
          <w:trHeight w:val="217"/>
        </w:trPr>
        <w:tc>
          <w:tcPr>
            <w:tcW w:w="1560" w:type="dxa"/>
            <w:vAlign w:val="bottom"/>
          </w:tcPr>
          <w:p>
            <w:pPr>
              <w:spacing w:after="0"/>
              <w:rPr>
                <w:sz w:val="18"/>
                <w:szCs w:val="18"/>
                <w:color w:val="auto"/>
              </w:rPr>
            </w:pP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subject to re-measurement.</w:t>
            </w:r>
          </w:p>
        </w:tc>
      </w:tr>
      <w:tr>
        <w:trPr>
          <w:trHeight w:val="382"/>
        </w:trPr>
        <w:tc>
          <w:tcPr>
            <w:tcW w:w="15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The real property on which the Building is located, together with all improvements thereon including, without</w:t>
            </w:r>
          </w:p>
        </w:tc>
      </w:tr>
      <w:tr>
        <w:trPr>
          <w:trHeight w:val="239"/>
        </w:trPr>
        <w:tc>
          <w:tcPr>
            <w:tcW w:w="1560" w:type="dxa"/>
            <w:vAlign w:val="bottom"/>
          </w:tcPr>
          <w:p>
            <w:pPr>
              <w:spacing w:after="0"/>
              <w:rPr>
                <w:sz w:val="20"/>
                <w:szCs w:val="20"/>
                <w:color w:val="auto"/>
              </w:rPr>
            </w:pP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 xml:space="preserve">limitation, the parking areas and all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404"/>
        </w:trPr>
        <w:tc>
          <w:tcPr>
            <w:tcW w:w="1560" w:type="dxa"/>
            <w:vAlign w:val="bottom"/>
          </w:tcPr>
          <w:p>
            <w:pPr>
              <w:spacing w:after="0"/>
              <w:rPr>
                <w:sz w:val="20"/>
                <w:szCs w:val="20"/>
                <w:color w:val="auto"/>
              </w:rPr>
            </w:pPr>
            <w:r>
              <w:rPr>
                <w:rFonts w:ascii="Arial" w:cs="Arial" w:eastAsia="Arial" w:hAnsi="Arial"/>
                <w:sz w:val="18"/>
                <w:szCs w:val="18"/>
                <w:b w:val="1"/>
                <w:bCs w:val="1"/>
                <w:color w:val="auto"/>
              </w:rPr>
              <w:t>Base Rent:</w:t>
            </w:r>
          </w:p>
        </w:tc>
        <w:tc>
          <w:tcPr>
            <w:tcW w:w="9680" w:type="dxa"/>
            <w:vAlign w:val="bottom"/>
            <w:gridSpan w:val="3"/>
          </w:tcPr>
          <w:p>
            <w:pPr>
              <w:ind w:left="600"/>
              <w:spacing w:after="0"/>
              <w:rPr>
                <w:sz w:val="20"/>
                <w:szCs w:val="20"/>
                <w:color w:val="auto"/>
              </w:rPr>
            </w:pPr>
            <w:r>
              <w:rPr>
                <w:rFonts w:ascii="Arial" w:cs="Arial" w:eastAsia="Arial" w:hAnsi="Arial"/>
                <w:sz w:val="18"/>
                <w:szCs w:val="18"/>
                <w:color w:val="auto"/>
              </w:rPr>
              <w:t>$46.80 per rentable square foot of the Premises per year (i.e, $562,040.70 per month), subject to adjustment</w:t>
            </w:r>
          </w:p>
        </w:tc>
      </w:tr>
      <w:tr>
        <w:trPr>
          <w:trHeight w:val="176"/>
        </w:trPr>
        <w:tc>
          <w:tcPr>
            <w:tcW w:w="1560" w:type="dxa"/>
            <w:vAlign w:val="bottom"/>
          </w:tcPr>
          <w:p>
            <w:pPr>
              <w:spacing w:after="0"/>
              <w:rPr>
                <w:sz w:val="15"/>
                <w:szCs w:val="15"/>
                <w:color w:val="auto"/>
              </w:rPr>
            </w:pPr>
          </w:p>
        </w:tc>
        <w:tc>
          <w:tcPr>
            <w:tcW w:w="96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pursuant to Section 4 hereof.</w:t>
            </w:r>
          </w:p>
        </w:tc>
      </w:tr>
      <w:tr>
        <w:trPr>
          <w:trHeight w:val="20"/>
        </w:trPr>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144,113 sq. ft.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144,113 sq. ft.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Tenant’s Share of Operating Expenses: </w:t>
      </w:r>
      <w:r>
        <w:rPr>
          <w:rFonts w:ascii="Arial" w:cs="Arial" w:eastAsia="Arial" w:hAnsi="Arial"/>
          <w:sz w:val="18"/>
          <w:szCs w:val="18"/>
          <w:color w:val="auto"/>
        </w:rPr>
        <w:t>100%</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$562,040.70</w:t>
      </w:r>
    </w:p>
    <w:p>
      <w:pPr>
        <w:spacing w:after="0" w:line="212" w:lineRule="exact"/>
        <w:rPr>
          <w:sz w:val="20"/>
          <w:szCs w:val="20"/>
          <w:color w:val="auto"/>
        </w:rPr>
      </w:pPr>
    </w:p>
    <w:p>
      <w:pPr>
        <w:ind w:left="2160" w:right="20" w:hanging="1743"/>
        <w:spacing w:after="0" w:line="271" w:lineRule="auto"/>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May 6, 2022; provided, however, that the Target Commencement Date shall be delayed 1 day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day after December 1, 2021, that this Lease is not mutually executed by the parties.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Rent Adjustment Percentage: </w:t>
      </w:r>
      <w:r>
        <w:rPr>
          <w:rFonts w:ascii="Arial" w:cs="Arial" w:eastAsia="Arial" w:hAnsi="Arial"/>
          <w:sz w:val="18"/>
          <w:szCs w:val="18"/>
          <w:color w:val="auto"/>
        </w:rPr>
        <w:t>3%</w:t>
      </w:r>
    </w:p>
    <w:p>
      <w:pPr>
        <w:spacing w:after="0" w:line="212" w:lineRule="exact"/>
        <w:rPr>
          <w:sz w:val="20"/>
          <w:szCs w:val="20"/>
          <w:color w:val="auto"/>
        </w:rPr>
      </w:pPr>
    </w:p>
    <w:p>
      <w:pPr>
        <w:jc w:val="both"/>
        <w:ind w:left="2160" w:right="20" w:hanging="2145"/>
        <w:spacing w:after="0" w:line="238" w:lineRule="auto"/>
        <w:tabs>
          <w:tab w:leader="none" w:pos="2140" w:val="left"/>
        </w:tabs>
        <w:rPr>
          <w:sz w:val="20"/>
          <w:szCs w:val="20"/>
          <w:color w:val="auto"/>
        </w:rPr>
      </w:pPr>
      <w:r>
        <w:rPr>
          <w:rFonts w:ascii="Arial" w:cs="Arial" w:eastAsia="Arial" w:hAnsi="Arial"/>
          <w:sz w:val="18"/>
          <w:szCs w:val="18"/>
          <w:b w:val="1"/>
          <w:bCs w:val="1"/>
          <w:color w:val="auto"/>
        </w:rPr>
        <w:t>Base Term:</w:t>
      </w:r>
      <w:r>
        <w:rPr>
          <w:sz w:val="20"/>
          <w:szCs w:val="20"/>
          <w:color w:val="auto"/>
        </w:rPr>
        <w:tab/>
      </w:r>
      <w:r>
        <w:rPr>
          <w:rFonts w:ascii="Arial" w:cs="Arial" w:eastAsia="Arial" w:hAnsi="Arial"/>
          <w:sz w:val="18"/>
          <w:szCs w:val="18"/>
          <w:color w:val="auto"/>
        </w:rPr>
        <w:t xml:space="preserve">Beginning on the Commencement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and ending 180 months from the first day of the first full month following the Rent Commencement Date. For clarity, if the Rent Commencement Date occurs on the first day of a month, the expiration of the Base Term shall be measured from that date. If the Rent Commencement Date occurs on a day other than the first day of a month, the expiration of the Base Term shall be measured from the first day of the following month.</w:t>
      </w:r>
    </w:p>
    <w:p>
      <w:pPr>
        <w:spacing w:after="0" w:line="202" w:lineRule="exact"/>
        <w:rPr>
          <w:sz w:val="20"/>
          <w:szCs w:val="20"/>
          <w:color w:val="auto"/>
        </w:rPr>
      </w:pPr>
    </w:p>
    <w:p>
      <w:pPr>
        <w:jc w:val="both"/>
        <w:ind w:left="2160" w:right="20" w:hanging="2145"/>
        <w:spacing w:after="0"/>
        <w:tabs>
          <w:tab w:leader="none" w:pos="2140" w:val="left"/>
        </w:tabs>
        <w:rPr>
          <w:sz w:val="20"/>
          <w:szCs w:val="20"/>
          <w:color w:val="auto"/>
        </w:rPr>
      </w:pPr>
      <w:r>
        <w:rPr>
          <w:rFonts w:ascii="Arial" w:cs="Arial" w:eastAsia="Arial" w:hAnsi="Arial"/>
          <w:sz w:val="18"/>
          <w:szCs w:val="18"/>
          <w:b w:val="1"/>
          <w:bCs w:val="1"/>
          <w:color w:val="auto"/>
        </w:rPr>
        <w:t>Permitted Use:</w:t>
      </w:r>
      <w:r>
        <w:rPr>
          <w:sz w:val="20"/>
          <w:szCs w:val="20"/>
          <w:color w:val="auto"/>
        </w:rPr>
        <w:tab/>
      </w:r>
      <w:r>
        <w:rPr>
          <w:rFonts w:ascii="Arial" w:cs="Arial" w:eastAsia="Arial" w:hAnsi="Arial"/>
          <w:sz w:val="18"/>
          <w:szCs w:val="18"/>
          <w:color w:val="auto"/>
        </w:rPr>
        <w:t xml:space="preserve">Biomedical research and development, laboratory (GLP and non-GLP), related and administrative office and other related uses consistent with the character of the Project and otherwise in compliance with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spacing w:after="0"/>
              <w:rPr>
                <w:sz w:val="20"/>
                <w:szCs w:val="20"/>
                <w:color w:val="auto"/>
              </w:rPr>
            </w:pPr>
            <w:r>
              <w:rPr>
                <w:rFonts w:ascii="Arial" w:cs="Arial" w:eastAsia="Arial" w:hAnsi="Arial"/>
                <w:sz w:val="18"/>
                <w:szCs w:val="18"/>
                <w:b w:val="1"/>
                <w:bCs w:val="1"/>
                <w:color w:val="auto"/>
              </w:rPr>
              <w:t>Address for Rent Payment:</w:t>
            </w:r>
          </w:p>
        </w:tc>
        <w:tc>
          <w:tcPr>
            <w:tcW w:w="7260" w:type="dxa"/>
            <w:vAlign w:val="bottom"/>
          </w:tcPr>
          <w:p>
            <w:pPr>
              <w:ind w:left="2220"/>
              <w:spacing w:after="0"/>
              <w:rPr>
                <w:sz w:val="20"/>
                <w:szCs w:val="20"/>
                <w:color w:val="auto"/>
              </w:rPr>
            </w:pPr>
            <w:r>
              <w:rPr>
                <w:rFonts w:ascii="Arial" w:cs="Arial" w:eastAsia="Arial" w:hAnsi="Arial"/>
                <w:sz w:val="18"/>
                <w:szCs w:val="18"/>
                <w:b w:val="1"/>
                <w:bCs w:val="1"/>
                <w:color w:val="auto"/>
              </w:rPr>
              <w:t>Landlord’s Notice Address:</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To be provided by Landlord</w:t>
            </w:r>
          </w:p>
        </w:tc>
        <w:tc>
          <w:tcPr>
            <w:tcW w:w="7260" w:type="dxa"/>
            <w:vAlign w:val="bottom"/>
          </w:tcPr>
          <w:p>
            <w:pPr>
              <w:ind w:left="2060"/>
              <w:spacing w:after="0" w:line="202" w:lineRule="exact"/>
              <w:rPr>
                <w:sz w:val="20"/>
                <w:szCs w:val="20"/>
                <w:color w:val="auto"/>
              </w:rPr>
            </w:pPr>
            <w:r>
              <w:rPr>
                <w:rFonts w:ascii="Arial" w:cs="Arial" w:eastAsia="Arial" w:hAnsi="Arial"/>
                <w:sz w:val="18"/>
                <w:szCs w:val="18"/>
                <w:color w:val="auto"/>
              </w:rPr>
              <w:t>26 North Euclid Avenue</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Prior to Rent Commencement Date</w:t>
            </w:r>
          </w:p>
        </w:tc>
        <w:tc>
          <w:tcPr>
            <w:tcW w:w="7260" w:type="dxa"/>
            <w:vAlign w:val="bottom"/>
          </w:tcPr>
          <w:p>
            <w:pPr>
              <w:ind w:left="2700"/>
              <w:spacing w:after="0" w:line="202" w:lineRule="exact"/>
              <w:rPr>
                <w:sz w:val="20"/>
                <w:szCs w:val="20"/>
                <w:color w:val="auto"/>
              </w:rPr>
            </w:pPr>
            <w:r>
              <w:rPr>
                <w:rFonts w:ascii="Arial" w:cs="Arial" w:eastAsia="Arial" w:hAnsi="Arial"/>
                <w:sz w:val="18"/>
                <w:szCs w:val="18"/>
                <w:color w:val="auto"/>
              </w:rPr>
              <w:t>Pasadena, CA 91101</w:t>
            </w:r>
          </w:p>
        </w:tc>
      </w:tr>
      <w:tr>
        <w:trPr>
          <w:trHeight w:val="217"/>
        </w:trPr>
        <w:tc>
          <w:tcPr>
            <w:tcW w:w="4000" w:type="dxa"/>
            <w:vAlign w:val="bottom"/>
          </w:tcPr>
          <w:p>
            <w:pPr>
              <w:spacing w:after="0"/>
              <w:rPr>
                <w:sz w:val="18"/>
                <w:szCs w:val="18"/>
                <w:color w:val="auto"/>
              </w:rPr>
            </w:pPr>
          </w:p>
        </w:tc>
        <w:tc>
          <w:tcPr>
            <w:tcW w:w="7260" w:type="dxa"/>
            <w:vAlign w:val="bottom"/>
          </w:tcPr>
          <w:p>
            <w:pPr>
              <w:ind w:left="1200"/>
              <w:spacing w:after="0"/>
              <w:rPr>
                <w:sz w:val="20"/>
                <w:szCs w:val="20"/>
                <w:color w:val="auto"/>
              </w:rPr>
            </w:pPr>
            <w:r>
              <w:rPr>
                <w:rFonts w:ascii="Arial" w:cs="Arial" w:eastAsia="Arial" w:hAnsi="Arial"/>
                <w:sz w:val="18"/>
                <w:szCs w:val="18"/>
                <w:color w:val="auto"/>
              </w:rPr>
              <w:t>Attention: Corporate Secretary</w:t>
            </w:r>
          </w:p>
        </w:tc>
      </w:tr>
      <w:tr>
        <w:trPr>
          <w:trHeight w:val="366"/>
        </w:trPr>
        <w:tc>
          <w:tcPr>
            <w:tcW w:w="4000" w:type="dxa"/>
            <w:vAlign w:val="bottom"/>
          </w:tcPr>
          <w:p>
            <w:pPr>
              <w:spacing w:after="0"/>
              <w:rPr>
                <w:sz w:val="20"/>
                <w:szCs w:val="20"/>
                <w:color w:val="auto"/>
              </w:rPr>
            </w:pPr>
            <w:r>
              <w:rPr>
                <w:rFonts w:ascii="Arial" w:cs="Arial" w:eastAsia="Arial" w:hAnsi="Arial"/>
                <w:sz w:val="14"/>
                <w:szCs w:val="14"/>
                <w:color w:val="auto"/>
              </w:rPr>
              <w:t>743522686.11</w:t>
            </w:r>
          </w:p>
        </w:tc>
        <w:tc>
          <w:tcPr>
            <w:tcW w:w="7260" w:type="dxa"/>
            <w:vAlign w:val="bottom"/>
          </w:tcPr>
          <w:p>
            <w:pPr>
              <w:spacing w:after="0"/>
              <w:rPr>
                <w:sz w:val="24"/>
                <w:szCs w:val="24"/>
                <w:color w:val="auto"/>
              </w:rPr>
            </w:pPr>
          </w:p>
        </w:tc>
      </w:tr>
      <w:tr>
        <w:trPr>
          <w:trHeight w:val="100"/>
        </w:trPr>
        <w:tc>
          <w:tcPr>
            <w:tcW w:w="4000" w:type="dxa"/>
            <w:vAlign w:val="bottom"/>
            <w:tcBorders>
              <w:bottom w:val="single" w:sz="8" w:color="9A9A9A"/>
            </w:tcBorders>
          </w:tcPr>
          <w:p>
            <w:pPr>
              <w:spacing w:after="0"/>
              <w:rPr>
                <w:sz w:val="8"/>
                <w:szCs w:val="8"/>
                <w:color w:val="auto"/>
              </w:rPr>
            </w:pPr>
          </w:p>
        </w:tc>
        <w:tc>
          <w:tcPr>
            <w:tcW w:w="7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8" w:name="page139"/>
    <w:bookmarkEnd w:id="138"/>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 Before the Commencement Date: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177 E. Colorado Blvd., Suite 700</w:t>
      </w:r>
    </w:p>
    <w:p>
      <w:pPr>
        <w:spacing w:after="0" w:line="234" w:lineRule="auto"/>
        <w:rPr>
          <w:sz w:val="20"/>
          <w:szCs w:val="20"/>
          <w:color w:val="auto"/>
        </w:rPr>
      </w:pPr>
      <w:r>
        <w:rPr>
          <w:rFonts w:ascii="Arial" w:cs="Arial" w:eastAsia="Arial" w:hAnsi="Arial"/>
          <w:sz w:val="18"/>
          <w:szCs w:val="18"/>
          <w:color w:val="auto"/>
        </w:rPr>
        <w:t>Pasadena, California 91101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 After the Commencement Date: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10102 Hoyt Park Drive,</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ectPr>
          <w:pgSz w:w="11900" w:h="16838" w:orient="portrait"/>
          <w:cols w:equalWidth="0" w:num="1">
            <w:col w:w="11240"/>
          </w:cols>
          <w:pgMar w:left="320" w:top="118" w:right="3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 WORK LETTER</w:t>
      </w:r>
    </w:p>
    <w:p>
      <w:pPr>
        <w:spacing w:after="0" w:line="234"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 RULES AND REGULATIONS</w:t>
      </w:r>
    </w:p>
    <w:p>
      <w:pPr>
        <w:spacing w:after="0" w:line="235"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 MAINTENANCE MATRIX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 DOG VISITATION POLICY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 DESCRIPTION OF PROJECT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 COMMENCEMENT DATE</w:t>
      </w:r>
    </w:p>
    <w:p>
      <w:pPr>
        <w:spacing w:after="0" w:line="234"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 TENANT’S PERSONAL PROPERTY</w:t>
      </w:r>
    </w:p>
    <w:p>
      <w:pPr>
        <w:spacing w:after="0" w:line="235"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 SIGNAGE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J</w:t>
      </w:r>
      <w:r>
        <w:rPr>
          <w:rFonts w:ascii="Arial" w:cs="Arial" w:eastAsia="Arial" w:hAnsi="Arial"/>
          <w:sz w:val="18"/>
          <w:szCs w:val="18"/>
          <w:color w:val="auto"/>
        </w:rPr>
        <w:t xml:space="preserve"> - SCRIPPS RANCH MARKET</w:t>
      </w:r>
    </w:p>
    <w:p>
      <w:pPr>
        <w:spacing w:after="0" w:line="190"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jc w:val="both"/>
        <w:ind w:firstLine="872"/>
        <w:spacing w:after="0" w:line="244" w:lineRule="auto"/>
        <w:tabs>
          <w:tab w:leader="none" w:pos="1662"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Lease of Premises and Project</w:t>
      </w:r>
      <w:r>
        <w:rPr>
          <w:rFonts w:ascii="Arial" w:cs="Arial" w:eastAsia="Arial" w:hAnsi="Arial"/>
          <w:sz w:val="18"/>
          <w:szCs w:val="18"/>
          <w:color w:val="auto"/>
        </w:rPr>
        <w:t>. Upon and subject to all of the terms and conditions hereof, Landlord hereby leases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and Project to Tenant and Tenant hereby leases the Premises from Landlord. From and after the Commencement Date through the expiration of the Term, Tenant shall have access to the Premises and the Project 24 hours a day, 7 days a week, except in the case of emergencies, as the result of Legal Requirements or the performance by Landlord of any installation, maintenance or repairs required to be performed by Landlord under this Lease. Tenant shall have the exclusive use of the Premises and Project during the Term.</w:t>
      </w:r>
    </w:p>
    <w:p>
      <w:pPr>
        <w:spacing w:after="0" w:line="176" w:lineRule="exact"/>
        <w:rPr>
          <w:rFonts w:ascii="Arial" w:cs="Arial" w:eastAsia="Arial" w:hAnsi="Arial"/>
          <w:sz w:val="18"/>
          <w:szCs w:val="18"/>
          <w:color w:val="auto"/>
        </w:rPr>
      </w:pPr>
    </w:p>
    <w:p>
      <w:pPr>
        <w:jc w:val="both"/>
        <w:ind w:firstLine="872"/>
        <w:spacing w:after="0" w:line="238" w:lineRule="auto"/>
        <w:tabs>
          <w:tab w:leader="none" w:pos="1662"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 Landlord shall use reasonable efforts to deliver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Shell on or before the Target Commencement Date in Tenant Improvement Work Readiness Condition (“</w:t>
      </w:r>
      <w:r>
        <w:rPr>
          <w:rFonts w:ascii="Arial" w:cs="Arial" w:eastAsia="Arial" w:hAnsi="Arial"/>
          <w:sz w:val="18"/>
          <w:szCs w:val="18"/>
          <w:b w:val="1"/>
          <w:bCs w:val="1"/>
          <w:color w:val="auto"/>
        </w:rPr>
        <w:t>Deliver</w:t>
      </w:r>
      <w:r>
        <w:rPr>
          <w:rFonts w:ascii="Arial" w:cs="Arial" w:eastAsia="Arial" w:hAnsi="Arial"/>
          <w:sz w:val="18"/>
          <w:szCs w:val="18"/>
          <w:color w:val="auto"/>
        </w:rPr>
        <w:t>” or “</w:t>
      </w:r>
      <w:r>
        <w:rPr>
          <w:rFonts w:ascii="Arial" w:cs="Arial" w:eastAsia="Arial" w:hAnsi="Arial"/>
          <w:sz w:val="18"/>
          <w:szCs w:val="18"/>
          <w:b w:val="1"/>
          <w:bCs w:val="1"/>
          <w:color w:val="auto"/>
        </w:rPr>
        <w:t>Delivery</w:t>
      </w:r>
      <w:r>
        <w:rPr>
          <w:rFonts w:ascii="Arial" w:cs="Arial" w:eastAsia="Arial" w:hAnsi="Arial"/>
          <w:sz w:val="18"/>
          <w:szCs w:val="18"/>
          <w:color w:val="auto"/>
        </w:rPr>
        <w:t xml:space="preserve">”) for Tenant’s construction of the Tenant’s Work. If Landlord fails to timely Deliver the Building Shell, Landlord shall not be liable to Tenant for any loss or damage resulting therefrom, and this Lease shall not be void or voidable except as provided herein. Notwithstanding anything to the contrary contained herein, if Landlord fails to Deliver the Building Shell to Tenant by the date that is 270 days after the Target Commencement Date (as such date may be extended for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and Tenant Delays), this Lease may be terminated by Tenant by written notice to Landlord, and if so terminated by Tenant: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8"/>
          <w:szCs w:val="18"/>
          <w:b w:val="1"/>
          <w:bCs w:val="1"/>
          <w:color w:val="auto"/>
        </w:rPr>
        <w:t>Building Shell</w:t>
      </w:r>
      <w:r>
        <w:rPr>
          <w:rFonts w:ascii="Arial" w:cs="Arial" w:eastAsia="Arial" w:hAnsi="Arial"/>
          <w:sz w:val="18"/>
          <w:szCs w:val="18"/>
          <w:color w:val="auto"/>
        </w:rPr>
        <w:t>,” “</w:t>
      </w:r>
      <w:r>
        <w:rPr>
          <w:rFonts w:ascii="Arial" w:cs="Arial" w:eastAsia="Arial" w:hAnsi="Arial"/>
          <w:sz w:val="18"/>
          <w:szCs w:val="18"/>
          <w:b w:val="1"/>
          <w:bCs w:val="1"/>
          <w:color w:val="auto"/>
        </w:rPr>
        <w:t>Tenant’s Work</w:t>
      </w:r>
      <w:r>
        <w:rPr>
          <w:rFonts w:ascii="Arial" w:cs="Arial" w:eastAsia="Arial" w:hAnsi="Arial"/>
          <w:sz w:val="18"/>
          <w:szCs w:val="18"/>
          <w:color w:val="auto"/>
        </w:rPr>
        <w:t>,” “</w:t>
      </w:r>
      <w:r>
        <w:rPr>
          <w:rFonts w:ascii="Arial" w:cs="Arial" w:eastAsia="Arial" w:hAnsi="Arial"/>
          <w:sz w:val="18"/>
          <w:szCs w:val="18"/>
          <w:b w:val="1"/>
          <w:bCs w:val="1"/>
          <w:color w:val="auto"/>
        </w:rPr>
        <w:t>Tenant Delays</w:t>
      </w:r>
      <w:r>
        <w:rPr>
          <w:rFonts w:ascii="Arial" w:cs="Arial" w:eastAsia="Arial" w:hAnsi="Arial"/>
          <w:sz w:val="18"/>
          <w:szCs w:val="18"/>
          <w:color w:val="auto"/>
        </w:rPr>
        <w:t>,” “</w:t>
      </w:r>
      <w:r>
        <w:rPr>
          <w:rFonts w:ascii="Arial" w:cs="Arial" w:eastAsia="Arial" w:hAnsi="Arial"/>
          <w:sz w:val="18"/>
          <w:szCs w:val="18"/>
          <w:b w:val="1"/>
          <w:bCs w:val="1"/>
          <w:color w:val="auto"/>
        </w:rPr>
        <w:t>Tenant Improvement</w:t>
      </w:r>
      <w:r>
        <w:rPr>
          <w:rFonts w:ascii="Arial" w:cs="Arial" w:eastAsia="Arial" w:hAnsi="Arial"/>
          <w:sz w:val="18"/>
          <w:szCs w:val="18"/>
          <w:color w:val="auto"/>
        </w:rPr>
        <w:t xml:space="preserve"> </w:t>
      </w:r>
      <w:r>
        <w:rPr>
          <w:rFonts w:ascii="Arial" w:cs="Arial" w:eastAsia="Arial" w:hAnsi="Arial"/>
          <w:sz w:val="18"/>
          <w:szCs w:val="18"/>
          <w:b w:val="1"/>
          <w:bCs w:val="1"/>
          <w:color w:val="auto"/>
        </w:rPr>
        <w:t>Work Readiness Condition</w:t>
      </w:r>
      <w:r>
        <w:rPr>
          <w:rFonts w:ascii="Arial" w:cs="Arial" w:eastAsia="Arial" w:hAnsi="Arial"/>
          <w:sz w:val="18"/>
          <w:szCs w:val="18"/>
          <w:color w:val="auto"/>
        </w:rPr>
        <w:t>” shall have the meanings set forth for such terms in the Work Letter. If Tenant does not elect to void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10 business days of the lapse of such 270 day period, such right to void this Lease shall be waived and this Lease shall remain in full force and effect.</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earlier of: (i) the date Landlord Delivers the Premises to Tenant; and (ii) the date Landlord could have Delivered the Premises but for Tenant Delays.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shall be the earlier of (i) the date that is 12 months after the Commencement Date, and (ii) the date that Tenant’s Work is Substantially Completed (as defined in the Work Letter); provided, however, that the Rent Commencement Date shall be delayed 1 day for each day after the Commencement Date that (a) a Government Mandate (as defined below) that restricts construction activities in San Diego county is in effect to the extent that such Government Mandate precludes such construction of Tenant’s Work, or (b) the issuance of any Permits (as defined below) required for the design and/or construction of Tenant’s Work is delayed beyond the Standard Issuance Period (as defined below) (except to the extent that such delays arise due to Tenant’s failure to provide the City (as defined below) with information requested from Tenant by the City). For avoidance of doubt,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9" w:name="page140"/>
    <w:bookmarkEnd w:id="139"/>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the event there is a delay as the result of both subsections (a) and (b) in the prior sentence, such daily delays shall run concurrently and not consecutively.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on the first page of this Lease and the Extension Term which Tenant may elect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hereof.</w:t>
      </w:r>
    </w:p>
    <w:p>
      <w:pPr>
        <w:spacing w:after="0" w:line="20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Notwithstanding the foregoing, Landlord and Tenant agree that if any Governmental Authority having jurisdiction of the Project, as a result of the COVID-19 outbreak in the United States declares or implements any order or mandate that restricts construction activities in San Diego county (any such order or mandate, a “</w:t>
      </w:r>
      <w:r>
        <w:rPr>
          <w:rFonts w:ascii="Arial" w:cs="Arial" w:eastAsia="Arial" w:hAnsi="Arial"/>
          <w:sz w:val="18"/>
          <w:szCs w:val="18"/>
          <w:b w:val="1"/>
          <w:bCs w:val="1"/>
          <w:color w:val="auto"/>
        </w:rPr>
        <w:t>Government Mandate</w:t>
      </w:r>
      <w:r>
        <w:rPr>
          <w:rFonts w:ascii="Arial" w:cs="Arial" w:eastAsia="Arial" w:hAnsi="Arial"/>
          <w:sz w:val="18"/>
          <w:szCs w:val="18"/>
          <w:color w:val="auto"/>
        </w:rPr>
        <w:t>”), then, to the extent such Government Mandate precludes construction of the Building Shell, the Target Commencement Date shall be delayed 1 day for each day that such a Government Mandate remains in effect and continues to preclude such construction of the Building Shell.</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18"/>
          <w:szCs w:val="18"/>
          <w:color w:val="auto"/>
        </w:rPr>
        <w:t>Landlord and Tenant further acknowledge and agree that (i) as of the Effective Date, the City of San Diego (the “</w:t>
      </w:r>
      <w:r>
        <w:rPr>
          <w:rFonts w:ascii="Arial" w:cs="Arial" w:eastAsia="Arial" w:hAnsi="Arial"/>
          <w:sz w:val="18"/>
          <w:szCs w:val="18"/>
          <w:b w:val="1"/>
          <w:bCs w:val="1"/>
          <w:color w:val="auto"/>
        </w:rPr>
        <w:t>City</w:t>
      </w:r>
      <w:r>
        <w:rPr>
          <w:rFonts w:ascii="Arial" w:cs="Arial" w:eastAsia="Arial" w:hAnsi="Arial"/>
          <w:sz w:val="18"/>
          <w:szCs w:val="18"/>
          <w:color w:val="auto"/>
        </w:rPr>
        <w:t>”) is routinely taking longer to issue the permits and approvals (collectively, “</w:t>
      </w:r>
      <w:r>
        <w:rPr>
          <w:rFonts w:ascii="Arial" w:cs="Arial" w:eastAsia="Arial" w:hAnsi="Arial"/>
          <w:sz w:val="18"/>
          <w:szCs w:val="18"/>
          <w:b w:val="1"/>
          <w:bCs w:val="1"/>
          <w:color w:val="auto"/>
        </w:rPr>
        <w:t>Permits</w:t>
      </w:r>
      <w:r>
        <w:rPr>
          <w:rFonts w:ascii="Arial" w:cs="Arial" w:eastAsia="Arial" w:hAnsi="Arial"/>
          <w:sz w:val="18"/>
          <w:szCs w:val="18"/>
          <w:color w:val="auto"/>
        </w:rPr>
        <w:t>”) required for the design and construction of Building Shell than the timeframes contemplated by Landlord in the development of the schedule for Landlord’s construction of the Building Shell (the “</w:t>
      </w:r>
      <w:r>
        <w:rPr>
          <w:rFonts w:ascii="Arial" w:cs="Arial" w:eastAsia="Arial" w:hAnsi="Arial"/>
          <w:sz w:val="18"/>
          <w:szCs w:val="18"/>
          <w:b w:val="1"/>
          <w:bCs w:val="1"/>
          <w:color w:val="auto"/>
        </w:rPr>
        <w:t>Standard</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 Period</w:t>
      </w:r>
      <w:r>
        <w:rPr>
          <w:rFonts w:ascii="Arial" w:cs="Arial" w:eastAsia="Arial" w:hAnsi="Arial"/>
          <w:sz w:val="18"/>
          <w:szCs w:val="18"/>
          <w:color w:val="auto"/>
        </w:rPr>
        <w:t>”), and (ii) to the extent the issuance of any Permits required for the design and/or construction of the Building Shell is</w:t>
      </w:r>
      <w:r>
        <w:rPr>
          <w:rFonts w:ascii="Arial" w:cs="Arial" w:eastAsia="Arial" w:hAnsi="Arial"/>
          <w:sz w:val="18"/>
          <w:szCs w:val="18"/>
          <w:b w:val="1"/>
          <w:bCs w:val="1"/>
          <w:color w:val="auto"/>
        </w:rPr>
        <w:t xml:space="preserve"> </w:t>
      </w:r>
      <w:r>
        <w:rPr>
          <w:rFonts w:ascii="Arial" w:cs="Arial" w:eastAsia="Arial" w:hAnsi="Arial"/>
          <w:sz w:val="18"/>
          <w:szCs w:val="18"/>
          <w:color w:val="auto"/>
        </w:rPr>
        <w:t>delayed beyond the Standard Issuance Period (except for delays due to Landlord’s failure to timely provide the City with information requested from Landlord by the City (except to the extent that such delays arise due to Tenant’s failure to provide Landlord information requested from Tenant by Landlord)), then the Target Commencement Date shall be delayed 1 day for each day following the expiration of the Standard Issuance Period that the City fails to issue any such Permits (through and including the date that such Permits are issued by the City).</w:t>
      </w:r>
    </w:p>
    <w:p>
      <w:pPr>
        <w:spacing w:after="0" w:line="20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Notwithstanding anything to the contrary contained in this Lease, Tenant and Landlord acknowledge and agree that as of the Effective Date, Landlord does not own the Project and that the effectiveness of this Lease and the delivery of the Premises to Tenant is conditioned upon Landlord acquiring fee title to the Project or entering into a master lease to become the master lessee of the Project pursuant to the existing purchase and sale agreement (as the same may be amended) between Landlord and the current owner of the Project (“</w:t>
      </w:r>
      <w:r>
        <w:rPr>
          <w:rFonts w:ascii="Arial" w:cs="Arial" w:eastAsia="Arial" w:hAnsi="Arial"/>
          <w:sz w:val="18"/>
          <w:szCs w:val="18"/>
          <w:b w:val="1"/>
          <w:bCs w:val="1"/>
          <w:color w:val="auto"/>
        </w:rPr>
        <w:t>Condition Precedent</w:t>
      </w:r>
      <w:r>
        <w:rPr>
          <w:rFonts w:ascii="Arial" w:cs="Arial" w:eastAsia="Arial" w:hAnsi="Arial"/>
          <w:sz w:val="18"/>
          <w:szCs w:val="18"/>
          <w:color w:val="auto"/>
        </w:rPr>
        <w:t>”). Neither Landlord nor Tenant shall have any liability whatsoever to each other relating to or arising from Landlord’s inability or failure for any reason to cause the Condition Precedent to be satisfied. If the Condition Precedent is not satisfied within 60 days after the Effective Date, then this Lease may be terminated by Landlord or Tenant by delivery of written notice to the other delivered on or before the date that is 10 days after the expiration of such 60 day period. If this Lease terminates pursuant to the immediately preceding sentence, neither Landlord nor Tenant shall have any further rights, duties or obligations under this Lease. Landlord represents and warrants that if the Condition Precedent is satisfied, Landlord will be the fee simple owner of the Project or the master lessee of the Project with the authority and ability to perform under this Lease and deliver the Premises as contemplated under this Lease.</w:t>
      </w:r>
    </w:p>
    <w:p>
      <w:pPr>
        <w:spacing w:after="0" w:line="205"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In accordance with and subject to the terms of the Work Letter, Landlord shall cause the Building Shell to be constructed in a good and workmanlike manner, in accordance with applicable Legal Requirements, the Shell Documents, and the Project Permits, subject to Minor Shell Variations (as such terms are defined in the Work Letter).</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 xml:space="preserve">Except as set forth in the Work Letter (including, without limitation,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of the Work Letter): (i) Tenant shall accept the Premises in their condition as of the Commencement Date; (ii) Landlord shall have no obligation for any defects in the Premises; and (iii) Tenant’s taking possession of the Premises shall be conclusive evidence that Tenant accepts the Premises and that the Premises were in good condition at the time possession was taken.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4</w:t>
      </w:r>
    </w:p>
    <w:p>
      <w:pPr>
        <w:spacing w:after="0" w:line="1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including all exhibits hereto, constitutes the complete agreement of Landlord and Tenant with respect to the subject matter hereof and supersedes any and all prior representations, inducements, promises, agreements, understandings and negotiations which are not contained herein. Each party in executing this Lease does so in reliance upon the other party’s representations, warranties, acknowledgments and agreements contained herein.</w:t>
      </w:r>
    </w:p>
    <w:p>
      <w:pPr>
        <w:spacing w:after="0" w:line="181" w:lineRule="exact"/>
        <w:rPr>
          <w:sz w:val="20"/>
          <w:szCs w:val="20"/>
          <w:color w:val="auto"/>
        </w:rPr>
      </w:pPr>
    </w:p>
    <w:p>
      <w:pPr>
        <w:ind w:left="1660" w:hanging="788"/>
        <w:spacing w:after="0"/>
        <w:tabs>
          <w:tab w:leader="none" w:pos="166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39" w:lineRule="auto"/>
        <w:tabs>
          <w:tab w:leader="none" w:pos="1731"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Base Rent for the month in which the Rent Commencement Date occurs (or, if the Rent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does not occur on the first day of a calendar month, Base Rent for the first full calendar month following the Rent Commencement Date) and the Security Deposit shall be due and payable within 10 days after the Condition Precedent is satisfied. Tenant shall pay to Landlord in advance, without demand, abatement, deduction or set-off,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or via federally insured wire transfer (including ACH) pursuant to the wire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20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Notwithstanding anything herein to the contrary, so long as Tenant is not then in default under this Lease (beyond any applicable notice and cure period), commencing on the first day of the second full calendar month after the Rent Commencement Date through the expiration of the twelfth full month after the Rent Commencement Date (the “</w:t>
      </w:r>
      <w:r>
        <w:rPr>
          <w:rFonts w:ascii="Arial" w:cs="Arial" w:eastAsia="Arial" w:hAnsi="Arial"/>
          <w:sz w:val="18"/>
          <w:szCs w:val="18"/>
          <w:b w:val="1"/>
          <w:bCs w:val="1"/>
          <w:color w:val="auto"/>
        </w:rPr>
        <w:t>Abatement Period</w:t>
      </w:r>
      <w:r>
        <w:rPr>
          <w:rFonts w:ascii="Arial" w:cs="Arial" w:eastAsia="Arial" w:hAnsi="Arial"/>
          <w:sz w:val="18"/>
          <w:szCs w:val="18"/>
          <w:color w:val="auto"/>
        </w:rPr>
        <w:t>”), Tenant shall not be required to pay Base Rent. Tenant shall resume paying Base Rent with respect to the Premises on the day immediately following the expiration of the Abatement Period. For the avoidance of doubt, Tenant shall continue to pay Operating Expenses and all other amounts due under the Lease with respect to 100% of the Premises during the Abatement Period.</w:t>
      </w:r>
    </w:p>
    <w:p>
      <w:pPr>
        <w:spacing w:after="0" w:line="183" w:lineRule="exact"/>
        <w:rPr>
          <w:sz w:val="20"/>
          <w:szCs w:val="20"/>
          <w:color w:val="auto"/>
        </w:rPr>
      </w:pPr>
    </w:p>
    <w:p>
      <w:pPr>
        <w:jc w:val="both"/>
        <w:ind w:firstLine="872"/>
        <w:spacing w:after="0" w:line="244" w:lineRule="auto"/>
        <w:tabs>
          <w:tab w:leader="none" w:pos="1731"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commencing on the Rent Commencement Date, 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6" w:lineRule="exact"/>
        <w:rPr>
          <w:sz w:val="20"/>
          <w:szCs w:val="20"/>
          <w:color w:val="auto"/>
        </w:rPr>
      </w:pPr>
    </w:p>
    <w:p>
      <w:pPr>
        <w:ind w:left="1660" w:hanging="788"/>
        <w:spacing w:after="0"/>
        <w:tabs>
          <w:tab w:leader="none" w:pos="166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2" w:lineRule="auto"/>
        <w:tabs>
          <w:tab w:leader="none" w:pos="1731"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Annual Adjustments</w:t>
      </w:r>
      <w:r>
        <w:rPr>
          <w:rFonts w:ascii="Arial" w:cs="Arial" w:eastAsia="Arial" w:hAnsi="Arial"/>
          <w:sz w:val="18"/>
          <w:szCs w:val="18"/>
          <w:color w:val="auto"/>
        </w:rPr>
        <w:t>. Base Rent shall be increased on each annual anniversary of the Rent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if the Rent Commencement Date occurs on a day other than the first day of a calendar month, then Base Rent shall be increased on each annual anniversary of the first day of the first full calendar month immediately after the Rent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5</w:t>
      </w:r>
    </w:p>
    <w:p>
      <w:pPr>
        <w:spacing w:after="0" w:line="17" w:lineRule="exact"/>
        <w:rPr>
          <w:sz w:val="20"/>
          <w:szCs w:val="20"/>
          <w:color w:val="auto"/>
        </w:rPr>
      </w:pPr>
    </w:p>
    <w:p>
      <w:pPr>
        <w:jc w:val="both"/>
        <w:ind w:firstLine="872"/>
        <w:spacing w:after="0" w:line="236" w:lineRule="auto"/>
        <w:tabs>
          <w:tab w:leader="none" w:pos="1731"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Additional Tenant Improvement Allowance</w:t>
      </w:r>
      <w:r>
        <w:rPr>
          <w:rFonts w:ascii="Arial" w:cs="Arial" w:eastAsia="Arial" w:hAnsi="Arial"/>
          <w:sz w:val="18"/>
          <w:szCs w:val="18"/>
          <w:color w:val="auto"/>
        </w:rPr>
        <w:t>. In addition to the Tenant Improvement Allowance and the Warm Shell</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(as such terms are defined in the Work Letter), Landlord shall, subject to the terms of the Work Letter, make available to Tenant the Additional Tenant Improvement Allowance (as defined in the Work Letter). Commencing on the Rent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7% per annum over the Base Term, which interest shall begin to accrue on the date that Landlord first disburses such Additional Tenant Improvement Allowance or any portion(s) thereof (“</w:t>
      </w:r>
      <w:r>
        <w:rPr>
          <w:rFonts w:ascii="Arial" w:cs="Arial" w:eastAsia="Arial" w:hAnsi="Arial"/>
          <w:sz w:val="18"/>
          <w:szCs w:val="18"/>
          <w:b w:val="1"/>
          <w:bCs w:val="1"/>
          <w:color w:val="auto"/>
        </w:rPr>
        <w:t>TI Rent</w:t>
      </w:r>
      <w:r>
        <w:rPr>
          <w:rFonts w:ascii="Arial" w:cs="Arial" w:eastAsia="Arial" w:hAnsi="Arial"/>
          <w:sz w:val="18"/>
          <w:szCs w:val="18"/>
          <w:color w:val="auto"/>
        </w:rPr>
        <w:t>”). Any TI Rent remaining unpaid as of the expiration or earlier termination of this Lease shall be paid to Landlord in a lump sum at the expiration or earlier termination of this Lease.</w:t>
      </w:r>
    </w:p>
    <w:p>
      <w:pPr>
        <w:spacing w:after="0" w:line="186" w:lineRule="exact"/>
        <w:rPr>
          <w:sz w:val="20"/>
          <w:szCs w:val="20"/>
          <w:color w:val="auto"/>
        </w:rPr>
      </w:pPr>
    </w:p>
    <w:p>
      <w:pPr>
        <w:jc w:val="both"/>
        <w:ind w:firstLine="872"/>
        <w:spacing w:after="0" w:line="244" w:lineRule="auto"/>
        <w:tabs>
          <w:tab w:leader="none" w:pos="1662"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 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Commencing on the Rent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387"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costs and expenses of any kind or description whatsoever incurred or accrued each calendar year by Landlord with respect to the Project, including, without duplication, (i)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(ii) insurance, (iii) capital repairs, improvements and replacements amortized over the lesser of 15 years and the useful life of such capital repairs, improvements and replacements, and (iv) so long as the Project continues to be self-managed by Tenant, the costs of Landlord’s third party property manager (not to exceed 1% of Base Rent) or, if there is no third party property manager, administration rent in the amount of 1% of Base Rent (provided that during the Abatement Period, Tenant shall nonetheless be required to pay administration rent each month equal to the amount of the administration rent that Tenant would have been required to pay in the absence of there being an Abatement Period), excluding only:</w:t>
      </w:r>
    </w:p>
    <w:p>
      <w:pPr>
        <w:spacing w:after="0" w:line="202" w:lineRule="exact"/>
        <w:rPr>
          <w:sz w:val="20"/>
          <w:szCs w:val="20"/>
          <w:color w:val="auto"/>
        </w:rPr>
      </w:pPr>
    </w:p>
    <w:p>
      <w:pPr>
        <w:jc w:val="both"/>
        <w:ind w:firstLine="872"/>
        <w:spacing w:after="0"/>
        <w:tabs>
          <w:tab w:leader="none" w:pos="173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acquisition and original construction costs of the Project, and the cost of Landlord’s Work (including any renovation of the Project prior to the date of Substantial Completion included as part of Landlord’s Work), and costs of correcting defects in such original construction or renovation;</w:t>
      </w:r>
    </w:p>
    <w:p>
      <w:pPr>
        <w:spacing w:after="0" w:line="202" w:lineRule="exact"/>
        <w:rPr>
          <w:rFonts w:ascii="Arial" w:cs="Arial" w:eastAsia="Arial" w:hAnsi="Arial"/>
          <w:sz w:val="18"/>
          <w:szCs w:val="18"/>
          <w:color w:val="auto"/>
        </w:rPr>
      </w:pPr>
    </w:p>
    <w:p>
      <w:pPr>
        <w:ind w:left="1740" w:hanging="868"/>
        <w:spacing w:after="0"/>
        <w:tabs>
          <w:tab w:leader="none" w:pos="17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211" w:lineRule="exact"/>
        <w:rPr>
          <w:rFonts w:ascii="Arial" w:cs="Arial" w:eastAsia="Arial" w:hAnsi="Arial"/>
          <w:sz w:val="18"/>
          <w:szCs w:val="18"/>
          <w:color w:val="auto"/>
        </w:rPr>
      </w:pPr>
    </w:p>
    <w:p>
      <w:pPr>
        <w:jc w:val="both"/>
        <w:ind w:firstLine="872"/>
        <w:spacing w:after="0"/>
        <w:tabs>
          <w:tab w:leader="none" w:pos="172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interest, principal payments of any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202" w:lineRule="exact"/>
        <w:rPr>
          <w:rFonts w:ascii="Arial" w:cs="Arial" w:eastAsia="Arial" w:hAnsi="Arial"/>
          <w:sz w:val="18"/>
          <w:szCs w:val="18"/>
          <w:color w:val="auto"/>
        </w:rPr>
      </w:pPr>
    </w:p>
    <w:p>
      <w:pPr>
        <w:ind w:left="1740" w:hanging="868"/>
        <w:spacing w:after="0"/>
        <w:tabs>
          <w:tab w:leader="none" w:pos="17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are includable in Operating Expenses);</w:t>
      </w:r>
    </w:p>
    <w:p>
      <w:pPr>
        <w:spacing w:after="0" w:line="211" w:lineRule="exact"/>
        <w:rPr>
          <w:rFonts w:ascii="Arial" w:cs="Arial" w:eastAsia="Arial" w:hAnsi="Arial"/>
          <w:sz w:val="18"/>
          <w:szCs w:val="18"/>
          <w:color w:val="auto"/>
        </w:rPr>
      </w:pPr>
    </w:p>
    <w:p>
      <w:pPr>
        <w:jc w:val="both"/>
        <w:ind w:firstLine="872"/>
        <w:spacing w:after="0" w:line="237" w:lineRule="auto"/>
        <w:tabs>
          <w:tab w:leader="none" w:pos="173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(i) personnel of Landlord or its agents or contractors above the position of the person, regardless of title, who has day-to-day management responsibility for the Project or (ii) officers and employees of Landlord or its affiliates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6</w:t>
      </w:r>
    </w:p>
    <w:p>
      <w:pPr>
        <w:spacing w:after="0" w:line="17" w:lineRule="exact"/>
        <w:rPr>
          <w:sz w:val="20"/>
          <w:szCs w:val="20"/>
          <w:color w:val="auto"/>
        </w:rPr>
      </w:pPr>
    </w:p>
    <w:p>
      <w:pPr>
        <w:ind w:firstLine="872"/>
        <w:spacing w:after="0" w:line="246" w:lineRule="auto"/>
        <w:tabs>
          <w:tab w:leader="none" w:pos="16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96" w:lineRule="exact"/>
        <w:rPr>
          <w:rFonts w:ascii="Arial" w:cs="Arial" w:eastAsia="Arial" w:hAnsi="Arial"/>
          <w:sz w:val="18"/>
          <w:szCs w:val="18"/>
          <w:color w:val="auto"/>
        </w:rPr>
      </w:pPr>
    </w:p>
    <w:p>
      <w:pPr>
        <w:ind w:firstLine="872"/>
        <w:spacing w:after="0" w:line="246" w:lineRule="auto"/>
        <w:tabs>
          <w:tab w:leader="none" w:pos="17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costs and expenses, including legal fees, incurred in connection with negotiations or disputes with employees, consultants, management agents, purchasers or mortgagees of the Project;</w:t>
      </w:r>
    </w:p>
    <w:p>
      <w:pPr>
        <w:spacing w:after="0" w:line="196" w:lineRule="exact"/>
        <w:rPr>
          <w:rFonts w:ascii="Arial" w:cs="Arial" w:eastAsia="Arial" w:hAnsi="Arial"/>
          <w:sz w:val="18"/>
          <w:szCs w:val="18"/>
          <w:color w:val="auto"/>
        </w:rPr>
      </w:pPr>
    </w:p>
    <w:p>
      <w:pPr>
        <w:ind w:firstLine="872"/>
        <w:spacing w:after="0" w:line="246" w:lineRule="auto"/>
        <w:tabs>
          <w:tab w:leader="none" w:pos="17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of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872"/>
        <w:spacing w:after="0"/>
        <w:tabs>
          <w:tab w:leader="none" w:pos="16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or any other payment and/or to file any tax or informational returns when due, or from Landlord’s failure to make any payment of Taxes or any other payment required to be made by Landlord hereunder before delinquency;</w:t>
      </w:r>
    </w:p>
    <w:p>
      <w:pPr>
        <w:spacing w:after="0" w:line="202" w:lineRule="exact"/>
        <w:rPr>
          <w:rFonts w:ascii="Arial" w:cs="Arial" w:eastAsia="Arial" w:hAnsi="Arial"/>
          <w:sz w:val="18"/>
          <w:szCs w:val="18"/>
          <w:color w:val="auto"/>
        </w:rPr>
      </w:pPr>
    </w:p>
    <w:p>
      <w:pPr>
        <w:jc w:val="both"/>
        <w:ind w:firstLine="872"/>
        <w:spacing w:after="0"/>
        <w:tabs>
          <w:tab w:leader="none" w:pos="16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98" w:lineRule="exact"/>
        <w:rPr>
          <w:rFonts w:ascii="Arial" w:cs="Arial" w:eastAsia="Arial" w:hAnsi="Arial"/>
          <w:sz w:val="18"/>
          <w:szCs w:val="18"/>
          <w:color w:val="auto"/>
        </w:rPr>
      </w:pPr>
    </w:p>
    <w:p>
      <w:pPr>
        <w:ind w:left="1720" w:hanging="848"/>
        <w:spacing w:after="0"/>
        <w:tabs>
          <w:tab w:leader="none" w:pos="1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or sculptures, or holiday decorations maintained at</w:t>
      </w:r>
    </w:p>
    <w:p>
      <w:pPr>
        <w:spacing w:after="0"/>
        <w:rPr>
          <w:rFonts w:ascii="Arial" w:cs="Arial" w:eastAsia="Arial" w:hAnsi="Arial"/>
          <w:sz w:val="18"/>
          <w:szCs w:val="18"/>
          <w:color w:val="auto"/>
        </w:rPr>
      </w:pPr>
      <w:r>
        <w:rPr>
          <w:rFonts w:ascii="Arial" w:cs="Arial" w:eastAsia="Arial" w:hAnsi="Arial"/>
          <w:sz w:val="18"/>
          <w:szCs w:val="18"/>
          <w:color w:val="auto"/>
        </w:rPr>
        <w:t>the Project;</w:t>
      </w:r>
    </w:p>
    <w:p>
      <w:pPr>
        <w:spacing w:after="0" w:line="211" w:lineRule="exact"/>
        <w:rPr>
          <w:rFonts w:ascii="Arial" w:cs="Arial" w:eastAsia="Arial" w:hAnsi="Arial"/>
          <w:sz w:val="18"/>
          <w:szCs w:val="18"/>
          <w:color w:val="auto"/>
        </w:rPr>
      </w:pPr>
    </w:p>
    <w:p>
      <w:pPr>
        <w:ind w:left="1680" w:hanging="808"/>
        <w:spacing w:after="0"/>
        <w:tabs>
          <w:tab w:leader="none" w:pos="1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costs incurred in the sale, financing, refinancing, leasing, marketing, advertising or publicity of the Project;</w:t>
      </w:r>
    </w:p>
    <w:p>
      <w:pPr>
        <w:spacing w:after="0" w:line="211" w:lineRule="exact"/>
        <w:rPr>
          <w:rFonts w:ascii="Arial" w:cs="Arial" w:eastAsia="Arial" w:hAnsi="Arial"/>
          <w:sz w:val="18"/>
          <w:szCs w:val="18"/>
          <w:color w:val="auto"/>
        </w:rPr>
      </w:pPr>
    </w:p>
    <w:p>
      <w:pPr>
        <w:ind w:firstLine="872"/>
        <w:spacing w:after="0" w:line="246" w:lineRule="auto"/>
        <w:tabs>
          <w:tab w:leader="none" w:pos="17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96" w:lineRule="exact"/>
        <w:rPr>
          <w:rFonts w:ascii="Arial" w:cs="Arial" w:eastAsia="Arial" w:hAnsi="Arial"/>
          <w:sz w:val="18"/>
          <w:szCs w:val="18"/>
          <w:color w:val="auto"/>
        </w:rPr>
      </w:pPr>
    </w:p>
    <w:p>
      <w:pPr>
        <w:ind w:left="1740" w:hanging="868"/>
        <w:spacing w:after="0"/>
        <w:tabs>
          <w:tab w:leader="none" w:pos="17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costs, fines or penalties resulting from the gross negligence or willful misconduct of Landlord;</w:t>
      </w:r>
    </w:p>
    <w:p>
      <w:pPr>
        <w:spacing w:after="0" w:line="211" w:lineRule="exact"/>
        <w:rPr>
          <w:rFonts w:ascii="Arial" w:cs="Arial" w:eastAsia="Arial" w:hAnsi="Arial"/>
          <w:sz w:val="18"/>
          <w:szCs w:val="18"/>
          <w:color w:val="auto"/>
        </w:rPr>
      </w:pPr>
    </w:p>
    <w:p>
      <w:pPr>
        <w:ind w:firstLine="872"/>
        <w:spacing w:after="0" w:line="246" w:lineRule="auto"/>
        <w:tabs>
          <w:tab w:leader="none" w:pos="17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any costs for Structural Items which are the responsibility of Landlord, at Landlord’s sole expense (and not as an Operating Expense),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below;</w:t>
      </w:r>
    </w:p>
    <w:p>
      <w:pPr>
        <w:spacing w:after="0" w:line="196" w:lineRule="exact"/>
        <w:rPr>
          <w:rFonts w:ascii="Arial" w:cs="Arial" w:eastAsia="Arial" w:hAnsi="Arial"/>
          <w:sz w:val="18"/>
          <w:szCs w:val="18"/>
          <w:color w:val="auto"/>
        </w:rPr>
      </w:pPr>
    </w:p>
    <w:p>
      <w:pPr>
        <w:ind w:left="1740" w:hanging="868"/>
        <w:spacing w:after="0"/>
        <w:tabs>
          <w:tab w:leader="none" w:pos="17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Operating Expense reserves (other than reserves for Taxes for the then-current year);</w:t>
      </w:r>
    </w:p>
    <w:p>
      <w:pPr>
        <w:spacing w:after="0" w:line="211" w:lineRule="exact"/>
        <w:rPr>
          <w:rFonts w:ascii="Arial" w:cs="Arial" w:eastAsia="Arial" w:hAnsi="Arial"/>
          <w:sz w:val="18"/>
          <w:szCs w:val="18"/>
          <w:color w:val="auto"/>
        </w:rPr>
      </w:pPr>
    </w:p>
    <w:p>
      <w:pPr>
        <w:ind w:firstLine="872"/>
        <w:spacing w:after="0" w:line="246" w:lineRule="auto"/>
        <w:tabs>
          <w:tab w:leader="none" w:pos="173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any costs incurred to remove, study, test or remediate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or about the Building or the Project for which Tenant is not responsible under this Lease;</w:t>
      </w:r>
    </w:p>
    <w:p>
      <w:pPr>
        <w:spacing w:after="0" w:line="196" w:lineRule="exact"/>
        <w:rPr>
          <w:rFonts w:ascii="Arial" w:cs="Arial" w:eastAsia="Arial" w:hAnsi="Arial"/>
          <w:sz w:val="18"/>
          <w:szCs w:val="18"/>
          <w:color w:val="auto"/>
        </w:rPr>
      </w:pPr>
    </w:p>
    <w:p>
      <w:pPr>
        <w:ind w:firstLine="872"/>
        <w:spacing w:after="0" w:line="246" w:lineRule="auto"/>
        <w:tabs>
          <w:tab w:leader="none" w:pos="169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costs reimbursable to Landlord under any warranty issued to Landlord for the Building or Project or any portion thereof (including warranties issued in connection with Landlord’s Work);</w:t>
      </w:r>
    </w:p>
    <w:p>
      <w:pPr>
        <w:spacing w:after="0" w:line="196" w:lineRule="exact"/>
        <w:rPr>
          <w:rFonts w:ascii="Arial" w:cs="Arial" w:eastAsia="Arial" w:hAnsi="Arial"/>
          <w:sz w:val="18"/>
          <w:szCs w:val="18"/>
          <w:color w:val="auto"/>
        </w:rPr>
      </w:pPr>
    </w:p>
    <w:p>
      <w:pPr>
        <w:ind w:left="1720" w:hanging="848"/>
        <w:spacing w:after="0"/>
        <w:tabs>
          <w:tab w:leader="none" w:pos="1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brokerage commissions; and</w:t>
      </w:r>
    </w:p>
    <w:p>
      <w:pPr>
        <w:spacing w:after="0" w:line="207" w:lineRule="exact"/>
        <w:rPr>
          <w:rFonts w:ascii="Arial" w:cs="Arial" w:eastAsia="Arial" w:hAnsi="Arial"/>
          <w:sz w:val="18"/>
          <w:szCs w:val="18"/>
          <w:color w:val="auto"/>
        </w:rPr>
      </w:pPr>
    </w:p>
    <w:p>
      <w:pPr>
        <w:ind w:left="1680" w:hanging="808"/>
        <w:spacing w:after="0"/>
        <w:tabs>
          <w:tab w:leader="none" w:pos="16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w:t>
      </w:r>
    </w:p>
    <w:p>
      <w:pPr>
        <w:spacing w:after="0"/>
        <w:rPr>
          <w:rFonts w:ascii="Arial" w:cs="Arial" w:eastAsia="Arial" w:hAnsi="Arial"/>
          <w:sz w:val="18"/>
          <w:szCs w:val="18"/>
          <w:color w:val="auto"/>
        </w:rPr>
      </w:pPr>
      <w:r>
        <w:rPr>
          <w:rFonts w:ascii="Arial" w:cs="Arial" w:eastAsia="Arial" w:hAnsi="Arial"/>
          <w:sz w:val="18"/>
          <w:szCs w:val="18"/>
          <w:color w:val="auto"/>
        </w:rPr>
        <w:t>Tenant.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In addition, notwithstanding anything to the contrary contained in this Lease, Operating Expenses incurred or accrued by Landlord with respect to any capital improvements which are reasonably expected by Landlord to reduce overall Operating Expenses (for example, without limitation, by reducing energy usage at the Project) (the “</w:t>
      </w:r>
      <w:r>
        <w:rPr>
          <w:rFonts w:ascii="Arial" w:cs="Arial" w:eastAsia="Arial" w:hAnsi="Arial"/>
          <w:sz w:val="18"/>
          <w:szCs w:val="18"/>
          <w:b w:val="1"/>
          <w:bCs w:val="1"/>
          <w:color w:val="auto"/>
        </w:rPr>
        <w:t>Energy Savings Costs</w:t>
      </w:r>
      <w:r>
        <w:rPr>
          <w:rFonts w:ascii="Arial" w:cs="Arial" w:eastAsia="Arial" w:hAnsi="Arial"/>
          <w:sz w:val="18"/>
          <w:szCs w:val="18"/>
          <w:color w:val="auto"/>
        </w:rPr>
        <w:t>”) shall be amortized over a period of years equal to the lesser of (A) 15 years, (B) the useful life of such capital items, or (C) the quotient of (i) the Energy Savings Costs, divided by (ii) the annual amount of Operating Expenses reasonably expected by Landlord to be saved as a result of such capital improvements.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7</w:t>
      </w:r>
    </w:p>
    <w:p>
      <w:pPr>
        <w:spacing w:after="0" w:line="17"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17"/>
          <w:szCs w:val="17"/>
          <w:color w:val="auto"/>
        </w:rPr>
        <w:t>Within 90 days after the end of each calendar year (or such longer period as may be reasonably required), Landlord shall furnish to Tenant a statement (an “</w:t>
      </w:r>
      <w:r>
        <w:rPr>
          <w:rFonts w:ascii="Arial" w:cs="Arial" w:eastAsia="Arial" w:hAnsi="Arial"/>
          <w:sz w:val="17"/>
          <w:szCs w:val="17"/>
          <w:b w:val="1"/>
          <w:bCs w:val="1"/>
          <w:color w:val="auto"/>
        </w:rPr>
        <w:t>Annual Statement</w:t>
      </w:r>
      <w:r>
        <w:rPr>
          <w:rFonts w:ascii="Arial" w:cs="Arial" w:eastAsia="Arial" w:hAnsi="Arial"/>
          <w:sz w:val="17"/>
          <w:szCs w:val="17"/>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199"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The Annual Statement shall be final and binding upon Tenant unless Tenant, within 120 days after Tenant’s receipt thereof, shall contest any item therein by giving written notice to Landlord, specifying each item contested and the reason therefor. If, during such 120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8"/>
          <w:szCs w:val="18"/>
          <w:b w:val="1"/>
          <w:bCs w:val="1"/>
          <w:color w:val="auto"/>
        </w:rPr>
        <w:t>Expense Information</w:t>
      </w:r>
      <w:r>
        <w:rPr>
          <w:rFonts w:ascii="Arial" w:cs="Arial" w:eastAsia="Arial" w:hAnsi="Arial"/>
          <w:sz w:val="18"/>
          <w:szCs w:val="18"/>
          <w:color w:val="auto"/>
        </w:rPr>
        <w:t>”). If after Tenant’s review of such Expense Information, Landlord and Tenant cannot agree upon the amount of Tenant’s Share of Operating Expenses, then Tenant shall have the right to have an independent regionally or nationally recognized public accounting firm selected by Tenant,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8"/>
          <w:szCs w:val="18"/>
          <w:b w:val="1"/>
          <w:bCs w:val="1"/>
          <w:color w:val="auto"/>
        </w:rPr>
        <w:t>Independent Review</w:t>
      </w:r>
      <w:r>
        <w:rPr>
          <w:rFonts w:ascii="Arial" w:cs="Arial" w:eastAsia="Arial" w:hAnsi="Arial"/>
          <w:sz w:val="18"/>
          <w:szCs w:val="18"/>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w:t>
      </w:r>
    </w:p>
    <w:p>
      <w:pPr>
        <w:spacing w:after="0" w:line="191"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Base Rent, Tenant’s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54" w:lineRule="exact"/>
        <w:rPr>
          <w:sz w:val="20"/>
          <w:szCs w:val="20"/>
          <w:color w:val="auto"/>
        </w:rPr>
      </w:pPr>
    </w:p>
    <w:p>
      <w:pPr>
        <w:jc w:val="both"/>
        <w:ind w:firstLine="872"/>
        <w:spacing w:after="0" w:line="239" w:lineRule="auto"/>
        <w:tabs>
          <w:tab w:leader="none" w:pos="1662"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Tenant shall deposit with Landlord, within 10 days after the Condition Precedent has been satisfied,</w:t>
      </w:r>
      <w:r>
        <w:rPr>
          <w:rFonts w:ascii="Arial" w:cs="Arial" w:eastAsia="Arial" w:hAnsi="Arial"/>
          <w:sz w:val="18"/>
          <w:szCs w:val="18"/>
          <w:b w:val="1"/>
          <w:bCs w:val="1"/>
          <w:color w:val="auto"/>
        </w:rPr>
        <w:t xml:space="preserve"> </w:t>
      </w:r>
      <w:r>
        <w:rPr>
          <w:rFonts w:ascii="Arial" w:cs="Arial" w:eastAsia="Arial" w:hAnsi="Arial"/>
          <w:sz w:val="18"/>
          <w:szCs w:val="18"/>
          <w:color w:val="auto"/>
        </w:rPr>
        <w:t>a security deposit (the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(i) in form and substance reasonably satisfactory to Landlord, (ii) naming Landlord as beneficiary, (iii) expressly allowing Landlord to draw upon it at any time from time to time by delivering to the issuer notice that Landlord is entitled to draw thereunder pursuant to the terms of this Lease, (iv) issued by an FDIC-insured financial institution reasonably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8</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includes the right to use the Security Deposit to pay future rent damages following the termination of this Lease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below. If Landlord draws down on the Letter of Credit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then Tenant shall, within 10 business days of written demand, deliver a replacement Letter of Credit or an amendment to the existing Letter of Credit reasonably acceptable to Landlord which restores the Letter of Credit to the full amount of the Security Deposit set forth on Page 1 of this Lease.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21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Landlord’s obligation respecting the Security Deposit is that of a debtor, not a trustee, and no interest shall accrue thereon.</w:t>
      </w:r>
    </w:p>
    <w:p>
      <w:pPr>
        <w:spacing w:after="0" w:line="183" w:lineRule="exact"/>
        <w:rPr>
          <w:sz w:val="20"/>
          <w:szCs w:val="20"/>
          <w:color w:val="auto"/>
        </w:rPr>
      </w:pPr>
    </w:p>
    <w:p>
      <w:pPr>
        <w:jc w:val="both"/>
        <w:ind w:firstLine="872"/>
        <w:spacing w:after="0" w:line="237" w:lineRule="auto"/>
        <w:tabs>
          <w:tab w:leader="none" w:pos="1662"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The Premises shall be used solely for the Permitted Use set forth in the basic lease provisions on page 1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in compliance with the site development permit applicable to the Project and 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(collectively, “</w:t>
      </w:r>
      <w:r>
        <w:rPr>
          <w:rFonts w:ascii="Arial" w:cs="Arial" w:eastAsia="Arial" w:hAnsi="Arial"/>
          <w:sz w:val="18"/>
          <w:szCs w:val="18"/>
          <w:b w:val="1"/>
          <w:bCs w:val="1"/>
          <w:color w:val="auto"/>
        </w:rPr>
        <w:t>Legal 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xml:space="preserve">”). Tenant shall, upon 10 days’ written notice from Landlord, discontinue any use of the Premises which is declared by any Governmental Authority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to be a violation of a Legal Requirement; provided, however, that Tenant may continue the use in question if Tenant is contesting the same with the applicable Governmental Authority and Tenant is permitted under Legal Requirements to continue the use in question while the matter is being contested. Tenant shall not permit any part of the Premises to be used as a “place of public accommodation”, as defined in the ADA or any similar legal requirement. Tenant will use the Premises in a careful, safe and proper manner and will not commit or permit waste, overload the floor or structure of the Premises, conduct any auction, liquidation, or going out of business sale on the Premises, or use the Premises for any unlawful purpose. Tenant shall not place any machinery or equipment which will overload the floor in or upon the Premises or transport or move such items in the Project elevators without the prior written consent of Landlord, which consent shall not be unreasonably withheld, conditioned or delayed.</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9</w:t>
      </w:r>
    </w:p>
    <w:p>
      <w:pPr>
        <w:spacing w:after="0" w:line="1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Landlord, at its sole expense, shall be responsible, subject to the terms of the Work Letter, (i) for the compliance of the Building Shell with Legal Requirements (including the ADA) as of the date of Substantial Completion of Landlord’s Work, and (ii) for the compliance of the balance of Landlord’s Work with Legal Requirements (including the ADA) as of the date the applicable portion of Landlord’s Work is substantially completed. Following the date of Substantial Completion of Landlord’s Work, Landlord shall, as an Operating Expense (to the extent such Legal Requirement is generally applicable to similar buildings in the area in which the Project is located) and at Tenant’s expense (to the extent such Legal Requirement is triggered by reason of Tenant’s particular use of the Premises, Tenant’s Work and/or Tenant’s Alterations) make any alterations or modifications to the exterior portions of the Project that are required by Legal Requirements. Except as provided in the 2 immediately preceding sentences, Tenant, at its sole expense, shall make any alterations or modifications to the Premises that are required by Legal Requirements (including, without limitation, compliance of the Premises with the ADA) related to Tenant’s particular use or occupancy of the Premises, Tenant’s Work and/or Tenant’s Alterations.</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Tenant acknowledges that Landlord, at its sole expense, may, but shall not be obligated to, seek to obtain Leadership in Energy and Environmental Design (LEED), WELL Building Standard, or other similar “green” certification with respect to the Project and/or the Premises, and Tenant, without expense to Tenant, agrees to reasonably cooperate with Landlord, and to provide such information and/or documentation as Landlord may reasonably request, in connection therewith; provided, however, the Target Commencement Date, shall not be extended in connection with such certification.</w:t>
      </w:r>
    </w:p>
    <w:p>
      <w:pPr>
        <w:spacing w:after="0" w:line="180" w:lineRule="exact"/>
        <w:rPr>
          <w:sz w:val="20"/>
          <w:szCs w:val="20"/>
          <w:color w:val="auto"/>
        </w:rPr>
      </w:pPr>
    </w:p>
    <w:p>
      <w:pPr>
        <w:jc w:val="both"/>
        <w:ind w:firstLine="872"/>
        <w:spacing w:after="0" w:line="237" w:lineRule="auto"/>
        <w:tabs>
          <w:tab w:leader="none" w:pos="1662"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the 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if such occupancy shall continue for more than 30 days, Tenant shall be responsible for all damages suffered by Landlord resulting from or occasioned by Tenant’s holding over, including consequential damages; provided, however, that if Tenant delivers a written inquiry to Landlord within 30 days prior to the expiration or earlier termination of the Term, Landlord will notify Tenant whether the potential exists for consequential damages.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85" w:lineRule="exact"/>
        <w:rPr>
          <w:rFonts w:ascii="Arial" w:cs="Arial" w:eastAsia="Arial" w:hAnsi="Arial"/>
          <w:sz w:val="18"/>
          <w:szCs w:val="18"/>
          <w:color w:val="auto"/>
        </w:rPr>
      </w:pPr>
    </w:p>
    <w:p>
      <w:pPr>
        <w:ind w:left="1660" w:hanging="788"/>
        <w:spacing w:after="0"/>
        <w:tabs>
          <w:tab w:leader="none" w:pos="166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34" w:lineRule="exact"/>
        <w:rPr>
          <w:sz w:val="20"/>
          <w:szCs w:val="20"/>
          <w:color w:val="auto"/>
        </w:rPr>
      </w:pPr>
    </w:p>
    <w:p>
      <w:pPr>
        <w:jc w:val="both"/>
        <w:ind w:firstLine="872"/>
        <w:spacing w:after="0" w:line="234" w:lineRule="auto"/>
        <w:tabs>
          <w:tab w:leader="none" w:pos="1731" w:val="left"/>
        </w:tabs>
        <w:numPr>
          <w:ilvl w:val="1"/>
          <w:numId w:val="241"/>
        </w:numPr>
        <w:rPr>
          <w:rFonts w:ascii="Arial" w:cs="Arial" w:eastAsia="Arial" w:hAnsi="Arial"/>
          <w:sz w:val="18"/>
          <w:szCs w:val="18"/>
          <w:color w:val="auto"/>
        </w:rPr>
      </w:pPr>
      <w:r>
        <w:rPr>
          <w:rFonts w:ascii="Arial" w:cs="Arial" w:eastAsia="Arial" w:hAnsi="Arial"/>
          <w:sz w:val="18"/>
          <w:szCs w:val="18"/>
          <w:color w:val="auto"/>
        </w:rPr>
        <w:t>Landlord shall pay, as part of Operating Expenses, all taxes, levies, fees, assessments and governmental charges of any kind, 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w:t>
      </w:r>
    </w:p>
    <w:p>
      <w:pPr>
        <w:spacing w:after="0" w:line="4" w:lineRule="exact"/>
        <w:rPr>
          <w:rFonts w:ascii="Arial" w:cs="Arial" w:eastAsia="Arial" w:hAnsi="Arial"/>
          <w:sz w:val="18"/>
          <w:szCs w:val="18"/>
          <w:color w:val="auto"/>
        </w:rPr>
      </w:pPr>
    </w:p>
    <w:p>
      <w:pPr>
        <w:ind w:firstLine="8"/>
        <w:spacing w:after="0" w:line="246" w:lineRule="auto"/>
        <w:tabs>
          <w:tab w:leader="none" w:pos="32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assessed or imposed by, or at the direction of, or resulting from Legal Requirements, or interpretations thereof, promulgated by any Governmental Authority, or (v)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10</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Taxes shall not include any penalties for late payment of Taxes, unless due to any late payment of Rent by Tenant.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within 10 days after written demand from Landlord.</w:t>
      </w:r>
    </w:p>
    <w:p>
      <w:pPr>
        <w:spacing w:after="0" w:line="204" w:lineRule="exact"/>
        <w:rPr>
          <w:sz w:val="20"/>
          <w:szCs w:val="20"/>
          <w:color w:val="auto"/>
        </w:rPr>
      </w:pPr>
    </w:p>
    <w:p>
      <w:pPr>
        <w:jc w:val="both"/>
        <w:ind w:firstLine="872"/>
        <w:spacing w:after="0" w:line="235" w:lineRule="auto"/>
        <w:tabs>
          <w:tab w:leader="none" w:pos="17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Except during the last 2 years of the Term, the terms of this </w:t>
      </w:r>
      <w:r>
        <w:rPr>
          <w:rFonts w:ascii="Arial" w:cs="Arial" w:eastAsia="Arial" w:hAnsi="Arial"/>
          <w:sz w:val="18"/>
          <w:szCs w:val="18"/>
          <w:u w:val="single" w:color="auto"/>
          <w:color w:val="auto"/>
        </w:rPr>
        <w:t>Section 9(b)</w:t>
      </w:r>
      <w:r>
        <w:rPr>
          <w:rFonts w:ascii="Arial" w:cs="Arial" w:eastAsia="Arial" w:hAnsi="Arial"/>
          <w:sz w:val="18"/>
          <w:szCs w:val="18"/>
          <w:color w:val="auto"/>
        </w:rPr>
        <w:t xml:space="preserve"> shall apply. Following the Rent Commencement Date and Landlord’s receipt of the tax bill for the tax year in question, Landlord shall, upon written request from Tenant, notify Tenant in writing whether or not Landlord intends to appeal the Taxes for the Project for such tax year occurring in whole or in part during the Term. If Landlord has not elected to appeal, Tenant shall have the right, upon prior written notice thereof delivered to Landlord not later than 30 days prior to the last day of the period permitted to appeal such assessment and/or bill, to require Landlord to petition (i) for a reduction of the assessed valuation of the Project, (ii) for a refund of Taxes, and/or (iii) for such other relief in connection with a claim challenging the validity and/or applicability of any Tax (each, a “</w:t>
      </w:r>
      <w:r>
        <w:rPr>
          <w:rFonts w:ascii="Arial" w:cs="Arial" w:eastAsia="Arial" w:hAnsi="Arial"/>
          <w:sz w:val="18"/>
          <w:szCs w:val="18"/>
          <w:b w:val="1"/>
          <w:bCs w:val="1"/>
          <w:color w:val="auto"/>
        </w:rPr>
        <w:t>Tax Protest</w:t>
      </w:r>
      <w:r>
        <w:rPr>
          <w:rFonts w:ascii="Arial" w:cs="Arial" w:eastAsia="Arial" w:hAnsi="Arial"/>
          <w:sz w:val="18"/>
          <w:szCs w:val="18"/>
          <w:color w:val="auto"/>
        </w:rPr>
        <w:t>”), the costs of which (including, without limitation, appraisal fees, court costs, reasonable attorneys’ fees, accountants’ fees, fees and expenses of Landlord’s managing agent and the cost to comply with the requirements of any mortgagee) shall be paid in full by Tenant within 10 business days after written notice from Landlord; provided, however, that Landlord shall not be required to make any such Tax Protest if Landlord determines in its good faith, commercially reasonable judgment that such requested Tax Protest is not reasonable (in consideration of, among other factors, the materiality of such requested petition and/or the related claim and the likelihood of success in such matter) or in keeping with the prudent management and/or operation of the Project. If Landlord contests the Taxes for any tax year and such contest results in an increase in Taxes for such tax year, then, Landlord shall have the right to bill Tenant for any prior underpayments of Taxes. If Landlord receives a refund of any portion of the Taxes that were included in the Taxes paid by Tenant, then Landlord, within 30 days after receipt, shall reimburse Tenant for such refunded taxes to the extent paid by Tenant, less any expenses that Landlord reasonably incurred to obtain the refund (including without limitation, appraisal fees, court costs, reasonable attorneys’ fees, accountants’ fees, and fees and expenses of Landlord’s managing agent), if and to the extent not previously paid by Tenant.</w:t>
      </w:r>
    </w:p>
    <w:p>
      <w:pPr>
        <w:spacing w:after="0" w:line="191" w:lineRule="exact"/>
        <w:rPr>
          <w:sz w:val="20"/>
          <w:szCs w:val="20"/>
          <w:color w:val="auto"/>
        </w:rPr>
      </w:pPr>
    </w:p>
    <w:p>
      <w:pPr>
        <w:jc w:val="both"/>
        <w:ind w:firstLine="872"/>
        <w:spacing w:after="0" w:line="244" w:lineRule="auto"/>
        <w:tabs>
          <w:tab w:leader="none" w:pos="1762"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all applicable Legal Requirements, Force Majeure or a Taking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 shall have the right, at no additional cost during the Term, to use all of the parking at the Project, which is equal to approximately 493 parking spaces, as reflected on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hereto. Tenant shall have the right, at Tenant’s discretion and at Tenant’s cost, to designate parking spaces as reserved or non-reserved. Landlord shall not be responsible for enforcing Tenant’s parking rights against any third parties.</w:t>
      </w:r>
    </w:p>
    <w:p>
      <w:pPr>
        <w:spacing w:after="0" w:line="176" w:lineRule="exact"/>
        <w:rPr>
          <w:rFonts w:ascii="Arial" w:cs="Arial" w:eastAsia="Arial" w:hAnsi="Arial"/>
          <w:sz w:val="18"/>
          <w:szCs w:val="18"/>
          <w:color w:val="auto"/>
        </w:rPr>
      </w:pPr>
    </w:p>
    <w:p>
      <w:pPr>
        <w:jc w:val="both"/>
        <w:ind w:firstLine="872"/>
        <w:spacing w:after="0" w:line="244" w:lineRule="auto"/>
        <w:tabs>
          <w:tab w:leader="none" w:pos="1762"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 Commencing on the Commencement Date, Tenant shall arrange for the provision of water,</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electricity, heat, light, power, sewer, and other utilities (including gas and fire sprinklers to the extent the Project is plumbed for such services), refuse and trash collection and janitorial services (collectively, “</w:t>
      </w:r>
      <w:r>
        <w:rPr>
          <w:rFonts w:ascii="Arial" w:cs="Arial" w:eastAsia="Arial" w:hAnsi="Arial"/>
          <w:sz w:val="18"/>
          <w:szCs w:val="18"/>
          <w:b w:val="1"/>
          <w:bCs w:val="1"/>
          <w:color w:val="auto"/>
        </w:rPr>
        <w:t>Utilities</w:t>
      </w:r>
      <w:r>
        <w:rPr>
          <w:rFonts w:ascii="Arial" w:cs="Arial" w:eastAsia="Arial" w:hAnsi="Arial"/>
          <w:sz w:val="18"/>
          <w:szCs w:val="18"/>
          <w:color w:val="auto"/>
        </w:rPr>
        <w:t>”) to the Premises. Tenant shall pay for all Utilities used on the Premises, all maintenance charges for Utilities, and any storm sewer charges or other similar charges for Utilities imposed by any Governmental Authority or Utility provider, and any taxes, penalties, surcharges or similar</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11</w:t>
      </w:r>
    </w:p>
    <w:p>
      <w:pPr>
        <w:spacing w:after="0" w:line="1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charges thereon. No interruption or failure of Utilities, from any cause whatsoever, shall result in eviction or constructive eviction of Tenant, termination of this Lease or the abatement of Rent.</w:t>
      </w:r>
    </w:p>
    <w:p>
      <w:pPr>
        <w:spacing w:after="0" w:line="19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and (ii) such Service Interruption continues for more than 3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HVAC service, water, sewer and electricity, but in each case only to the extent that Landlord has an obligation to provide same to Tenant under this Lease.</w:t>
      </w:r>
    </w:p>
    <w:p>
      <w:pPr>
        <w:spacing w:after="0" w:line="192" w:lineRule="exact"/>
        <w:rPr>
          <w:sz w:val="20"/>
          <w:szCs w:val="20"/>
          <w:color w:val="auto"/>
        </w:rPr>
      </w:pPr>
    </w:p>
    <w:p>
      <w:pPr>
        <w:jc w:val="both"/>
        <w:ind w:firstLine="872"/>
        <w:spacing w:after="0" w:line="236" w:lineRule="auto"/>
        <w:tabs>
          <w:tab w:leader="none" w:pos="176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Any alterations, additions, or improvements made to the Premises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8"/>
          <w:szCs w:val="18"/>
          <w:u w:val="single" w:color="auto"/>
          <w:color w:val="auto"/>
        </w:rPr>
        <w:t>Section 14</w:t>
      </w:r>
      <w:r>
        <w:rPr>
          <w:rFonts w:ascii="Arial" w:cs="Arial" w:eastAsia="Arial" w:hAnsi="Arial"/>
          <w:sz w:val="18"/>
          <w:szCs w:val="18"/>
          <w:color w:val="auto"/>
        </w:rPr>
        <w:t>) (“</w:t>
      </w:r>
      <w:r>
        <w:rPr>
          <w:rFonts w:ascii="Arial" w:cs="Arial" w:eastAsia="Arial" w:hAnsi="Arial"/>
          <w:sz w:val="18"/>
          <w:szCs w:val="18"/>
          <w:b w:val="1"/>
          <w:bCs w:val="1"/>
          <w:color w:val="auto"/>
        </w:rPr>
        <w:t>Alterations</w:t>
      </w:r>
      <w:r>
        <w:rPr>
          <w:rFonts w:ascii="Arial" w:cs="Arial" w:eastAsia="Arial" w:hAnsi="Arial"/>
          <w:sz w:val="18"/>
          <w:szCs w:val="18"/>
          <w:color w:val="auto"/>
        </w:rPr>
        <w:t>”) shall be subject to Landlord’s prior written consent, which shall not be unreasonably withheld, conditioned or delayed (provided that such consent may be given or withheld in Landlord’s sole discretion if such Alteration adversely affects the structure or Building Systems or would materially reduce the value of the then-existing improvements). Tenant may construct nonstructural Alterations in the Premises without Landlord’s prior approval if the aggregate cost of all such work in any 12 month period does not exceed $500,000.00 (a “</w:t>
      </w:r>
      <w:r>
        <w:rPr>
          <w:rFonts w:ascii="Arial" w:cs="Arial" w:eastAsia="Arial" w:hAnsi="Arial"/>
          <w:sz w:val="18"/>
          <w:szCs w:val="18"/>
          <w:b w:val="1"/>
          <w:bCs w:val="1"/>
          <w:color w:val="auto"/>
        </w:rPr>
        <w:t>Notice-Only Alteration</w:t>
      </w:r>
      <w:r>
        <w:rPr>
          <w:rFonts w:ascii="Arial" w:cs="Arial" w:eastAsia="Arial" w:hAnsi="Arial"/>
          <w:sz w:val="18"/>
          <w:szCs w:val="18"/>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10 business days in advance of any proposed construction. If Landlord approves any Alterations, Landlord may impose such commercially reasonable conditions on Tenant in connection with the commencement, performance and completion of such Alterations as Landlord may deem appropriate in Landlord’s sole and absolute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Landlord shall use reasonable efforts to respond to Tenant’s written request for consent to any Alterations within 15 days after Landlord’s receipt of such request along with all documentation required to be delivered hereunder. If Landlord fails to respond within such 15 day period, then Tenant shall provide Landlord with a second written notice stating in bold and all caps 12 point font that Landlord’s failure to respond to Tenant’s Alteration request within 5 business days after Landlord’s receipt of the second notice shall be deemed approval by Landlord, and if Landlord does not respond within such 5 business day period, then Landlord shall be deemed to have approved such Alteration request. Tenant shall cause, at its sole cost and expense, all Alterations to comply with insurance requirements and with Legal Requirements and shall implement at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12</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its sole cost and expense any alteration or modification required by Legal Requirements as a result of any Alterations. Tenant shall pay to Landlord, as Additional Rent, within 10 days of receipt of written demand from Landlord, an amount equal to 3% of all charges incurred by Tenant or its contractors or agents in connection with any Alteration to cover Landlord’s overhead and expenses for plan review, coordination, scheduling and supervision. Landlord may post on and about the Premises notices of non-responsibility pursuant to applicable law in connection with any Alterations. Tenant shall reimburse Landlord for, and indemnify and hold Landlord harmless from, any expense incurred by Landlord by reason of faulty work done by Tenant or its contractors, delays caused by such work, or inadequate cleanup.</w:t>
      </w:r>
    </w:p>
    <w:p>
      <w:pPr>
        <w:spacing w:after="0" w:line="205"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Tenant shall cause all Alterations to be completed free and clear of liens, and shall provide (and cause each contractor or subcontractor to provide) certificates of insurance for workers’ compensation and other coverage in amounts and from an insurance company reasonably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 if available.</w:t>
      </w:r>
    </w:p>
    <w:p>
      <w:pPr>
        <w:spacing w:after="0" w:line="205"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reimbursement from Tenant for its actual, reasonable out-of-pocket costs incurred in connection with the preparation and negotiation of each such waiver of lien.</w:t>
      </w:r>
    </w:p>
    <w:p>
      <w:pPr>
        <w:spacing w:after="0" w:line="191"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and any items agreed by Landlord and Tenant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 Installations, any personal property or equipment of Tenant that may be removed without material damage to the Premises, and (z) “</w:t>
      </w:r>
      <w:r>
        <w:rPr>
          <w:rFonts w:ascii="Arial" w:cs="Arial" w:eastAsia="Arial" w:hAnsi="Arial"/>
          <w:sz w:val="18"/>
          <w:szCs w:val="18"/>
          <w:b w:val="1"/>
          <w:bCs w:val="1"/>
          <w:color w:val="auto"/>
        </w:rPr>
        <w:t>Installations</w:t>
      </w:r>
      <w:r>
        <w:rPr>
          <w:rFonts w:ascii="Arial" w:cs="Arial" w:eastAsia="Arial" w:hAnsi="Arial"/>
          <w:sz w:val="18"/>
          <w:szCs w:val="18"/>
          <w:color w:val="auto"/>
        </w:rPr>
        <w:t>” means all property of any kind paid for with the Warm Up/TI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80" w:lineRule="exact"/>
        <w:rPr>
          <w:sz w:val="20"/>
          <w:szCs w:val="20"/>
          <w:color w:val="auto"/>
        </w:rPr>
      </w:pPr>
    </w:p>
    <w:p>
      <w:pPr>
        <w:jc w:val="both"/>
        <w:ind w:firstLine="872"/>
        <w:spacing w:after="0" w:line="244" w:lineRule="auto"/>
        <w:tabs>
          <w:tab w:leader="none" w:pos="1762"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shall, at Landlord’s sole expense (and not as an Operating Expense), be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capital repairs and replacements of the roof (not including the roof membrane), exterior walls and foundation of the Building (“</w:t>
      </w:r>
      <w:r>
        <w:rPr>
          <w:rFonts w:ascii="Arial" w:cs="Arial" w:eastAsia="Arial" w:hAnsi="Arial"/>
          <w:sz w:val="18"/>
          <w:szCs w:val="18"/>
          <w:b w:val="1"/>
          <w:bCs w:val="1"/>
          <w:color w:val="auto"/>
        </w:rPr>
        <w:t>Structural</w:t>
      </w:r>
      <w:r>
        <w:rPr>
          <w:rFonts w:ascii="Arial" w:cs="Arial" w:eastAsia="Arial" w:hAnsi="Arial"/>
          <w:sz w:val="18"/>
          <w:szCs w:val="18"/>
          <w:color w:val="auto"/>
        </w:rPr>
        <w:t xml:space="preserve"> </w:t>
      </w:r>
      <w:r>
        <w:rPr>
          <w:rFonts w:ascii="Arial" w:cs="Arial" w:eastAsia="Arial" w:hAnsi="Arial"/>
          <w:sz w:val="18"/>
          <w:szCs w:val="18"/>
          <w:b w:val="1"/>
          <w:bCs w:val="1"/>
          <w:color w:val="auto"/>
        </w:rPr>
        <w:t>Items</w:t>
      </w:r>
      <w:r>
        <w:rPr>
          <w:rFonts w:ascii="Arial" w:cs="Arial" w:eastAsia="Arial" w:hAnsi="Arial"/>
          <w:sz w:val="18"/>
          <w:szCs w:val="18"/>
          <w:color w:val="auto"/>
        </w:rPr>
        <w:t>”) unless the need for such repairs or replacements is caused by Tenant or any Tenant Parties, in which case Tenant shall bear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cost to repair or replace such Structural Items. Landlord shall, as an Operating Expense, be responsible for the routine maintenance and repair of such Structural Items. Landlord, as an Operating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13</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Expense, shall maintain, repair and replace the roof membrane and all of the Building exterior, the parking areas of the Project and other areas of the Project outside the Building, in good repair, reasonable wear and tear and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8"/>
          <w:szCs w:val="18"/>
          <w:b w:val="1"/>
          <w:bCs w:val="1"/>
          <w:color w:val="auto"/>
        </w:rPr>
        <w:t>Tenant Parties</w:t>
      </w:r>
      <w:r>
        <w:rPr>
          <w:rFonts w:ascii="Arial" w:cs="Arial" w:eastAsia="Arial" w:hAnsi="Arial"/>
          <w:sz w:val="18"/>
          <w:szCs w:val="18"/>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Landlord shall, except in case of emergency, give Tenant 7 days advance written notice of any planned stoppage of Building Systems services for routine maintenance, repairs, alterations or improvements. Landlord shall use reasonable efforts to minimize interference with Tenant’s operations in the Premises during such planned stoppages of Building Systems and shall use reasonable efforts to coordinate such planned stoppages in advance (except in the case of an emergency) with Tenant. Tenant shall promptly give Landlord written notice of any repair required by Landlord pursuant to this Section, after which Landlord shall make a commercially reasonable effort to effect such repair within a reasonable period of time taking into account the nature of the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subject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91" w:lineRule="exact"/>
        <w:rPr>
          <w:sz w:val="20"/>
          <w:szCs w:val="20"/>
          <w:color w:val="auto"/>
        </w:rPr>
      </w:pPr>
    </w:p>
    <w:p>
      <w:pPr>
        <w:jc w:val="both"/>
        <w:ind w:firstLine="872"/>
        <w:spacing w:after="0" w:line="239" w:lineRule="auto"/>
        <w:tabs>
          <w:tab w:leader="none" w:pos="1762"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at its expense, shall repair, replace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in good condition all portions of the Premises, including, without limitation, entries, doors, ceilings, interior windows, interior walls, the interior side of demising walls, and the building systems serving the Premises, including HVAC, plumbing, fire sprinklers, elevators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xml:space="preserve">”). Should Tenant fail to make any such repair or replacement or fail to maintain the Premises, Landlord shall give Tenant notice of such failure. If Tenant fails to commence cure of such failure within 10 days after Tenant’s receipt of Landlord’s written notice, and thereafter diligently prosecute such cure to completion, Landlord may perform such work and shall be reimbursed by Tenant within 10 days after written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 the full uninsured cost of any repair or replacement to any part of the Project that results from damage caused by Tenant or any Tenant Party.</w:t>
      </w:r>
    </w:p>
    <w:p>
      <w:pPr>
        <w:spacing w:after="0" w:line="20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 xml:space="preserve">Notwithstanding anything to the contrary contained in this Lease, as of the Commencement Date, the maintenance and repair obligations for the Premises shall be allocated between Landlord and Tenant as set forth on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hereto. The maintenance obligations allocated to Tenant pursuant to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Maintenance Obligations</w:t>
      </w:r>
      <w:r>
        <w:rPr>
          <w:rFonts w:ascii="Arial" w:cs="Arial" w:eastAsia="Arial" w:hAnsi="Arial"/>
          <w:sz w:val="18"/>
          <w:szCs w:val="18"/>
          <w:color w:val="auto"/>
        </w:rPr>
        <w:t>”) shall be performed by Tenant at Tenant’s sole cost and expense. The Tenant Maintenance Obligations shall include the procurement and maintenance of contracts for and with contractors reasonably acceptable to Landlord. Notwithstanding anything to the contrary contained herein, the scope of work of any such contracts entered into by Tenant pursuant to this paragraph shall, at a minimum, comply with manufacturer’s recommended maintenance procedures for the optimal performance of the applicable equipment. Landlord shall, notwithstanding anything to the contrary contained in this Lease, have no obligation to perform any Tenant Maintenance Obligations. The Tenant Maintenance Obligations shall not include the right or obligation on the part of Tenant to make any structural and/or capital repairs or improvements to the Project, and Landlord shall, during any period that Tenant is responsible for the Tenant Maintenance Obligations, continue, as part of Operating Expenses, to be responsible, as provided in the immediately preceding paragraph, for capital repairs and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14</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replacements required to be made to the Project. If Tenant fails to maintain any portion of the Premises for which Tenant is responsible as part of the Tenant Maintenance Obligations in a manner reasonably acceptable to Landlord within the requirements of this Lease, Landlord shall have the right, but not the obligation, to provide Tenant with written notice thereof and to assume those Tenant Maintenance Obligations that are consistent with duties performed by Landlord or affiliates of Landlord at other landlord-managed single-tenant projects in the San Diego area, if Tenant does not cure Tenant’s failure within 30 days after receipt of such notice. Landlord shall identify the Tenant Maintenance Obligations to be assumed by Landlord in such notice. Notwithstanding anything to the contrary contained herein, if at any time during the Term Landlord assumes such Tenant Maintenance Obligations pursuant to the immediately preceding sentence, the administration rent (or, if applicable, the costs of Landlord’s third party manager) shall be increased to 3% of Base Rent.</w:t>
      </w:r>
    </w:p>
    <w:p>
      <w:pPr>
        <w:spacing w:after="0" w:line="20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Tenant shall cause any vendors and other service providers providing regular service at the Project (including, service providers hired by Tenant to perform services with respect to the Building Systems or to perform janitorial services with respect to the Premises) hired by Tenant to perform services at the Premises or the Project to maintain in effect workers’ compensation insurance as required by Legal Requirements and reasonable commercial general liability insurance with coverage amounts reasonably acceptable to Landlord. Tenant shall cause such vendors and service providers to name Landlord and Alexandria Real Estate Equities, Inc. as additional insureds under such policies and shall provide Landlord with certificates of insurance evidencing the required coverages (and showing Landlord and Alexandria Real Estate Equities, Inc. as additional insureds under such policies) prior to the applicable vendor or service provider providing any services to Tenant at the Project.</w:t>
      </w:r>
    </w:p>
    <w:p>
      <w:pPr>
        <w:spacing w:after="0" w:line="186" w:lineRule="exact"/>
        <w:rPr>
          <w:sz w:val="20"/>
          <w:szCs w:val="20"/>
          <w:color w:val="auto"/>
        </w:rPr>
      </w:pPr>
    </w:p>
    <w:p>
      <w:pPr>
        <w:jc w:val="both"/>
        <w:ind w:firstLine="872"/>
        <w:spacing w:after="0" w:line="238" w:lineRule="auto"/>
        <w:tabs>
          <w:tab w:leader="none" w:pos="1762"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 Premises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Project for work claimed to have been done for, or materials claimed to have been furnished to, Tenant within 10 business days after Tenant receives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of Tenant.</w:t>
      </w:r>
    </w:p>
    <w:p>
      <w:pPr>
        <w:spacing w:after="0" w:line="185" w:lineRule="exact"/>
        <w:rPr>
          <w:rFonts w:ascii="Arial" w:cs="Arial" w:eastAsia="Arial" w:hAnsi="Arial"/>
          <w:sz w:val="18"/>
          <w:szCs w:val="18"/>
          <w:color w:val="auto"/>
        </w:rPr>
      </w:pPr>
    </w:p>
    <w:p>
      <w:pPr>
        <w:jc w:val="both"/>
        <w:ind w:firstLine="872"/>
        <w:spacing w:after="0"/>
        <w:tabs>
          <w:tab w:leader="none" w:pos="1762"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Tenant hereby indemnifies and agrees to defend, save and hold Landlord, its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managers, agents, sub-agents, constituent entities and lease signators (collectively, “</w:t>
      </w:r>
      <w:r>
        <w:rPr>
          <w:rFonts w:ascii="Arial" w:cs="Arial" w:eastAsia="Arial" w:hAnsi="Arial"/>
          <w:sz w:val="18"/>
          <w:szCs w:val="18"/>
          <w:b w:val="1"/>
          <w:bCs w:val="1"/>
          <w:color w:val="auto"/>
        </w:rPr>
        <w:t>Landlord Indemnified Parties</w:t>
      </w:r>
      <w:r>
        <w:rPr>
          <w:rFonts w:ascii="Arial" w:cs="Arial" w:eastAsia="Arial" w:hAnsi="Arial"/>
          <w:sz w:val="18"/>
          <w:szCs w:val="18"/>
          <w:color w:val="auto"/>
        </w:rPr>
        <w:t>”) harmless from and against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for injury or death to persons or damage to property occurring within or about the Premises or the Project arising directly or indirectly out of use or occupancy of the Premises or the Project (including, without limitation, any act, omission or neglect by Tenant or any Tenant’s Parties in or about the Premises or at the Project) or a breach or default by Tenant in the performance of any of its obligations hereunder, unless caused by the willful misconduct or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 or Tenant Parties.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15</w:t>
      </w:r>
    </w:p>
    <w:p>
      <w:pPr>
        <w:spacing w:after="0" w:line="17" w:lineRule="exact"/>
        <w:rPr>
          <w:sz w:val="20"/>
          <w:szCs w:val="20"/>
          <w:color w:val="auto"/>
        </w:rPr>
      </w:pPr>
    </w:p>
    <w:p>
      <w:pPr>
        <w:jc w:val="both"/>
        <w:ind w:firstLine="872"/>
        <w:spacing w:after="0" w:line="236" w:lineRule="auto"/>
        <w:tabs>
          <w:tab w:leader="none" w:pos="1762"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 cost of 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$5,000,000 per occurrence for bodily injury and property damage with respect to the Premises. The commercial general liability insurance maintained by Tenant shall include Alexandria Real Estate Equities, Inc., and Landlord, its officers, directors, employees, managers, agents, sub-agents, constituent entities and lease signators (collectively, “</w:t>
      </w:r>
      <w:r>
        <w:rPr>
          <w:rFonts w:ascii="Arial" w:cs="Arial" w:eastAsia="Arial" w:hAnsi="Arial"/>
          <w:sz w:val="18"/>
          <w:szCs w:val="18"/>
          <w:b w:val="1"/>
          <w:bCs w:val="1"/>
          <w:color w:val="auto"/>
        </w:rPr>
        <w:t>Landlord Insured Parties</w:t>
      </w:r>
      <w:r>
        <w:rPr>
          <w:rFonts w:ascii="Arial" w:cs="Arial" w:eastAsia="Arial" w:hAnsi="Arial"/>
          <w:sz w:val="18"/>
          <w:szCs w:val="18"/>
          <w:color w:val="auto"/>
        </w:rPr>
        <w:t>”), as additional insureds; insure on an occurrence and not a claims-made basis; be issued by insurance companies which have a rating of not less than policyholder rating of A-and financial category rating of at least Class VII in “Best’s Insurance Guide”; not contain a hostile fire exclusion; containing contractual liability endorsement coverage; and provide primary coverage to Landlord Insured Parties (any policy issued to Landlord Insured Parties providing duplicate or similar coverage shall be deemed excess over Tenant’s policies, regardless of limits). Tenant shall (i) provide Landlord with 30 days advance written notice of cancellation of such commercial general liability policy, and (ii) request Tenant’s insurer to endeavor to provide 30 days advance written notice to Landlord of cancellation of such commercial general liability policy (or 10 days in the event of a cancellation due to non-payment of premium).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(i) concurrent with Tenant’s delivery to Landlord of a copy of this Lease executed by Tenant, and (ii) prior to each renewal of said insurance. Tenant’s policy may be a “blanket policy” or “umbrella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 If any insurance required to be maintained by Tenant pursuant to this Lease shall be canceled or terminated or shall expire or shall be reduced or materially changed, or Landlord shall receive a notice of nonrenewal of any such insurance and Tenant shall fail to obtain replacement insurance at least 5 days before the expiration of the current coverage, Landlord, at Tenant’s sole expense, may obtain insurance coverage as is required under this Lease. The amount of any such payment by Landlord shall constitute Additional Rent due from Tenant to Landlord immediately upon ten days’ written demand.</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In each instance where insurance is to include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16</w:t>
      </w:r>
    </w:p>
    <w:p>
      <w:pPr>
        <w:spacing w:after="0" w:line="1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83" w:lineRule="exact"/>
        <w:rPr>
          <w:sz w:val="20"/>
          <w:szCs w:val="20"/>
          <w:color w:val="auto"/>
        </w:rPr>
      </w:pPr>
    </w:p>
    <w:p>
      <w:pPr>
        <w:jc w:val="both"/>
        <w:ind w:firstLine="872"/>
        <w:spacing w:after="0" w:line="236" w:lineRule="auto"/>
        <w:tabs>
          <w:tab w:leader="none" w:pos="1762" w:val="left"/>
        </w:tabs>
        <w:numPr>
          <w:ilvl w:val="1"/>
          <w:numId w:val="250"/>
        </w:numPr>
        <w:rPr>
          <w:rFonts w:ascii="Arial" w:cs="Arial" w:eastAsia="Arial" w:hAnsi="Arial"/>
          <w:sz w:val="18"/>
          <w:szCs w:val="18"/>
          <w:color w:val="auto"/>
        </w:rPr>
      </w:pPr>
      <w:r>
        <w:rPr>
          <w:rFonts w:ascii="Arial" w:cs="Arial" w:eastAsia="Arial" w:hAnsi="Arial"/>
          <w:sz w:val="18"/>
          <w:szCs w:val="18"/>
          <w:b w:val="1"/>
          <w:bCs w:val="1"/>
          <w:color w:val="auto"/>
        </w:rPr>
        <w:t>Restoration</w:t>
      </w:r>
      <w:r>
        <w:rPr>
          <w:rFonts w:ascii="Arial" w:cs="Arial" w:eastAsia="Arial" w:hAnsi="Arial"/>
          <w:sz w:val="18"/>
          <w:szCs w:val="18"/>
          <w:color w:val="auto"/>
        </w:rPr>
        <w:t>. If, at any time during the Term, the Project or the Premises are damaged or destroyed by a fire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Landlord shall notify Tenant within 60 days after discovery of such damage as to the amount of time Landlord reasonably estimates it will take to restore the Project or the Premises, as applicable (the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12 months (the “</w:t>
      </w:r>
      <w:r>
        <w:rPr>
          <w:rFonts w:ascii="Arial" w:cs="Arial" w:eastAsia="Arial" w:hAnsi="Arial"/>
          <w:sz w:val="18"/>
          <w:szCs w:val="18"/>
          <w:b w:val="1"/>
          <w:bCs w:val="1"/>
          <w:color w:val="auto"/>
        </w:rPr>
        <w:t>Maximum Restoration Period</w:t>
      </w:r>
      <w:r>
        <w:rPr>
          <w:rFonts w:ascii="Arial" w:cs="Arial" w:eastAsia="Arial" w:hAnsi="Arial"/>
          <w:sz w:val="18"/>
          <w:szCs w:val="18"/>
          <w:color w:val="auto"/>
        </w:rPr>
        <w:t xml:space="preserve">”), Landlord may, in such notice, elect to terminate this Lease as of the date that is 75 days after the date of discovery of such damage or destruction;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on or about the Premises (collectively referred to herein as “</w:t>
      </w:r>
      <w:r>
        <w:rPr>
          <w:rFonts w:ascii="Arial" w:cs="Arial" w:eastAsia="Arial" w:hAnsi="Arial"/>
          <w:sz w:val="18"/>
          <w:szCs w:val="18"/>
          <w:b w:val="1"/>
          <w:bCs w:val="1"/>
          <w:color w:val="auto"/>
        </w:rPr>
        <w:t>Hazardous Materials Clearances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repair or restoration of the Premises is not substantially complete as of the end of the Maximum Restoration Period or, if longer, the Restoration Period,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w:t>
      </w:r>
    </w:p>
    <w:p>
      <w:pPr>
        <w:spacing w:after="0" w:line="4" w:lineRule="exact"/>
        <w:rPr>
          <w:rFonts w:ascii="Arial" w:cs="Arial" w:eastAsia="Arial" w:hAnsi="Arial"/>
          <w:sz w:val="18"/>
          <w:szCs w:val="18"/>
          <w:color w:val="auto"/>
        </w:rPr>
      </w:pPr>
    </w:p>
    <w:p>
      <w:pPr>
        <w:ind w:firstLine="8"/>
        <w:spacing w:after="0" w:line="246" w:lineRule="auto"/>
        <w:tabs>
          <w:tab w:leader="none" w:pos="27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date all required Hazardous Materials Clearances are obtained, but Landlord shall retain any Rent paid and the right to any Rent payable by Tenant prior to such election by Landlord or Tenant.</w:t>
      </w:r>
    </w:p>
    <w:p>
      <w:pPr>
        <w:spacing w:after="0" w:line="19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Tenant, at its expense, shall promptly perform, subject to delays arising from the collection of insurance proceeds, from Force Majeure events or to obtain Hazardous Materials Clearances, all repairs or restoration not required to be done by Landlord. Notwithstanding the foregoing, either Landlord or Tenant may terminate this Lease upon written notice to the other if the Premises are damaged during the last year of the Term and Landlord reasonably estimates that it will take more than the lesser of (a) 2 months or (b) the balance of the remaining Term,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provided that such unavailability of insurance proceeds is not the result of Landlord’s failure to</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17</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maintain the insurance policies required to be maintained by Landlord under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Rent shall be abated from the date all required Hazardous Materials Clearances are obtained until the Premises are repaired and restored, in the proportion which the area of the Premises, if any, which is not usable by Tenant bears to the total area of the Premises. In the event that no Hazardous Materials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this Lease by reason of damage or casualty loss.</w:t>
      </w:r>
    </w:p>
    <w:p>
      <w:pPr>
        <w:spacing w:after="0" w:line="20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180" w:lineRule="exact"/>
        <w:rPr>
          <w:sz w:val="20"/>
          <w:szCs w:val="20"/>
          <w:color w:val="auto"/>
        </w:rPr>
      </w:pPr>
    </w:p>
    <w:p>
      <w:pPr>
        <w:jc w:val="both"/>
        <w:ind w:firstLine="872"/>
        <w:spacing w:after="0" w:line="237" w:lineRule="auto"/>
        <w:tabs>
          <w:tab w:leader="none" w:pos="1762"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w:t>
      </w:r>
      <w:r>
        <w:rPr>
          <w:rFonts w:ascii="Arial" w:cs="Arial" w:eastAsia="Arial" w:hAnsi="Arial"/>
          <w:sz w:val="18"/>
          <w:szCs w:val="18"/>
          <w:b w:val="1"/>
          <w:bCs w:val="1"/>
          <w:color w:val="auto"/>
        </w:rPr>
        <w:t xml:space="preserve"> </w:t>
      </w:r>
      <w:r>
        <w:rPr>
          <w:rFonts w:ascii="Arial" w:cs="Arial" w:eastAsia="Arial" w:hAnsi="Arial"/>
          <w:sz w:val="18"/>
          <w:szCs w:val="18"/>
          <w:color w:val="auto"/>
        </w:rPr>
        <w:t>use under 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xml:space="preserve">”), and the Taking would </w:t>
      </w:r>
      <w:r>
        <w:rPr>
          <w:rFonts w:ascii="Arial" w:cs="Arial" w:eastAsia="Arial" w:hAnsi="Arial"/>
          <w:sz w:val="18"/>
          <w:szCs w:val="18"/>
          <w:b w:val="1"/>
          <w:bCs w:val="1"/>
          <w:color w:val="auto"/>
        </w:rPr>
        <w:t>in</w:t>
      </w:r>
      <w:r>
        <w:rPr>
          <w:rFonts w:ascii="Arial" w:cs="Arial" w:eastAsia="Arial" w:hAnsi="Arial"/>
          <w:sz w:val="18"/>
          <w:szCs w:val="18"/>
          <w:color w:val="auto"/>
        </w:rPr>
        <w:t xml:space="preserve"> Landlord’s reasonable judgment materially interfere with or impair Landlord’s ownership or operation of the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 Tenant to the other,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83" w:lineRule="exact"/>
        <w:rPr>
          <w:rFonts w:ascii="Arial" w:cs="Arial" w:eastAsia="Arial" w:hAnsi="Arial"/>
          <w:sz w:val="18"/>
          <w:szCs w:val="18"/>
          <w:color w:val="auto"/>
        </w:rPr>
      </w:pPr>
    </w:p>
    <w:p>
      <w:pPr>
        <w:ind w:left="1760" w:hanging="888"/>
        <w:spacing w:after="0"/>
        <w:tabs>
          <w:tab w:leader="none" w:pos="176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12" w:lineRule="exact"/>
        <w:rPr>
          <w:sz w:val="20"/>
          <w:szCs w:val="20"/>
          <w:color w:val="auto"/>
        </w:rPr>
      </w:pPr>
    </w:p>
    <w:p>
      <w:pPr>
        <w:jc w:val="both"/>
        <w:ind w:firstLine="872"/>
        <w:spacing w:after="0" w:line="247" w:lineRule="auto"/>
        <w:tabs>
          <w:tab w:leader="none" w:pos="1731"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Landlord will give Tenant notice and an opportunity to cure any failure to pay Rent within 5 days of any such notice not more than twice in any 12 month period and Tenant agrees that such notice shall be in lieu of and not in addition to, or shall be deemed to be, any notice required by law.</w:t>
      </w:r>
    </w:p>
    <w:p>
      <w:pPr>
        <w:spacing w:after="0" w:line="173" w:lineRule="exact"/>
        <w:rPr>
          <w:rFonts w:ascii="Arial" w:cs="Arial" w:eastAsia="Arial" w:hAnsi="Arial"/>
          <w:sz w:val="18"/>
          <w:szCs w:val="18"/>
          <w:color w:val="auto"/>
        </w:rPr>
      </w:pPr>
    </w:p>
    <w:p>
      <w:pPr>
        <w:jc w:val="both"/>
        <w:ind w:firstLine="872"/>
        <w:spacing w:after="0" w:line="253" w:lineRule="auto"/>
        <w:tabs>
          <w:tab w:leader="none" w:pos="1731"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or shall expire or shall be reduced or materially changed, or Landlord shall receive a notice of nonrenewal of any such insurance and Tenant shall fail to obtain replacement insurance at least 5 days before the expiration of the current coverage.</w:t>
      </w:r>
    </w:p>
    <w:p>
      <w:pPr>
        <w:spacing w:after="0" w:line="168" w:lineRule="exact"/>
        <w:rPr>
          <w:rFonts w:ascii="Arial" w:cs="Arial" w:eastAsia="Arial" w:hAnsi="Arial"/>
          <w:sz w:val="18"/>
          <w:szCs w:val="18"/>
          <w:color w:val="auto"/>
        </w:rPr>
      </w:pPr>
    </w:p>
    <w:p>
      <w:pPr>
        <w:ind w:firstLine="872"/>
        <w:spacing w:after="0" w:line="271" w:lineRule="auto"/>
        <w:tabs>
          <w:tab w:leader="none" w:pos="1721"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 Tenant shall not be deemed to have abandoned the Premises if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provides Landlord with reasonable advance notice prior to</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18</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vacating and, at the time of vacating the Premises, (i) Tenant completes Tenant’s obligations under the Decommissioning and HazMat Closure Plan in compliance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(ii) Tenant has obtained the release of the Premises of all Hazardous Materials Clearances and the Premises are free from any residual impact from the Tenant HazMat Operations and provides reasonably detailed documentation to Landlord confirming such matters, (iii) Tenant has made reasonable arrangements with Landlord for the security of the Premises for the balance of the Term, and (iv) Tenant continues during the balance of the Term to satisfy and perform all of Tenant’s obligations under this Lease as they come due.</w:t>
      </w:r>
    </w:p>
    <w:p>
      <w:pPr>
        <w:spacing w:after="0" w:line="183" w:lineRule="exact"/>
        <w:rPr>
          <w:sz w:val="20"/>
          <w:szCs w:val="20"/>
          <w:color w:val="auto"/>
        </w:rPr>
      </w:pPr>
    </w:p>
    <w:p>
      <w:pPr>
        <w:jc w:val="both"/>
        <w:ind w:firstLine="872"/>
        <w:spacing w:after="0" w:line="253" w:lineRule="auto"/>
        <w:tabs>
          <w:tab w:leader="none" w:pos="1731"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interest in this Lease or the Premises except as expressly permitted herein, or Tenant’s interest in this Lease shall be attached, executed upon, or otherwise judicially seized and such action is not released within 90 days of the action.</w:t>
      </w:r>
    </w:p>
    <w:p>
      <w:pPr>
        <w:spacing w:after="0" w:line="168" w:lineRule="exact"/>
        <w:rPr>
          <w:rFonts w:ascii="Arial" w:cs="Arial" w:eastAsia="Arial" w:hAnsi="Arial"/>
          <w:sz w:val="18"/>
          <w:szCs w:val="18"/>
          <w:color w:val="auto"/>
        </w:rPr>
      </w:pPr>
    </w:p>
    <w:p>
      <w:pPr>
        <w:ind w:firstLine="872"/>
        <w:spacing w:after="0" w:line="271" w:lineRule="auto"/>
        <w:tabs>
          <w:tab w:leader="none" w:pos="1731"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within 10 business days after Tenant receives notice that any such lien is filed against the Premises.</w:t>
      </w:r>
    </w:p>
    <w:p>
      <w:pPr>
        <w:spacing w:after="0" w:line="153" w:lineRule="exact"/>
        <w:rPr>
          <w:rFonts w:ascii="Arial" w:cs="Arial" w:eastAsia="Arial" w:hAnsi="Arial"/>
          <w:sz w:val="18"/>
          <w:szCs w:val="18"/>
          <w:color w:val="auto"/>
        </w:rPr>
      </w:pPr>
    </w:p>
    <w:p>
      <w:pPr>
        <w:jc w:val="both"/>
        <w:ind w:firstLine="872"/>
        <w:spacing w:after="0"/>
        <w:tabs>
          <w:tab w:leader="none" w:pos="1681"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84" w:lineRule="exact"/>
        <w:rPr>
          <w:rFonts w:ascii="Arial" w:cs="Arial" w:eastAsia="Arial" w:hAnsi="Arial"/>
          <w:sz w:val="18"/>
          <w:szCs w:val="18"/>
          <w:color w:val="auto"/>
        </w:rPr>
      </w:pPr>
    </w:p>
    <w:p>
      <w:pPr>
        <w:ind w:firstLine="872"/>
        <w:spacing w:after="0" w:line="271" w:lineRule="auto"/>
        <w:tabs>
          <w:tab w:leader="none" w:pos="1731"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business days after a second written notice requesting such document.</w:t>
      </w:r>
    </w:p>
    <w:p>
      <w:pPr>
        <w:spacing w:after="0" w:line="153" w:lineRule="exact"/>
        <w:rPr>
          <w:rFonts w:ascii="Arial" w:cs="Arial" w:eastAsia="Arial" w:hAnsi="Arial"/>
          <w:sz w:val="18"/>
          <w:szCs w:val="18"/>
          <w:color w:val="auto"/>
        </w:rPr>
      </w:pPr>
    </w:p>
    <w:p>
      <w:pPr>
        <w:jc w:val="both"/>
        <w:ind w:firstLine="872"/>
        <w:spacing w:after="0" w:line="239" w:lineRule="auto"/>
        <w:tabs>
          <w:tab w:leader="none" w:pos="1731"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 referred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and, except as otherwise expressly provided herein, such failure shall continue for a period of 30 days after written notice thereof from Landlord to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this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request by Landlord from time to time, Tenant shall provide Landlord with detailed written status reports regarding the status of such cure and the actions being taken by Tenant. Any notice given under this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w:t>
      </w:r>
    </w:p>
    <w:p>
      <w:pPr>
        <w:spacing w:after="0" w:line="183" w:lineRule="exact"/>
        <w:rPr>
          <w:sz w:val="20"/>
          <w:szCs w:val="20"/>
          <w:color w:val="auto"/>
        </w:rPr>
      </w:pPr>
    </w:p>
    <w:p>
      <w:pPr>
        <w:ind w:left="1760" w:hanging="888"/>
        <w:spacing w:after="0"/>
        <w:tabs>
          <w:tab w:leader="none" w:pos="176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7" w:lineRule="auto"/>
        <w:tabs>
          <w:tab w:leader="none" w:pos="1731"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Tenant 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w:t>
      </w:r>
    </w:p>
    <w:p>
      <w:pPr>
        <w:spacing w:after="0" w:line="173" w:lineRule="exact"/>
        <w:rPr>
          <w:rFonts w:ascii="Arial" w:cs="Arial" w:eastAsia="Arial" w:hAnsi="Arial"/>
          <w:sz w:val="18"/>
          <w:szCs w:val="18"/>
          <w:color w:val="auto"/>
        </w:rPr>
      </w:pPr>
    </w:p>
    <w:p>
      <w:pPr>
        <w:ind w:firstLine="872"/>
        <w:spacing w:after="0" w:line="271" w:lineRule="auto"/>
        <w:tabs>
          <w:tab w:leader="none" w:pos="1731"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w:t>
      </w:r>
      <w:r>
        <w:rPr>
          <w:rFonts w:ascii="Arial" w:cs="Arial" w:eastAsia="Arial" w:hAnsi="Arial"/>
          <w:sz w:val="18"/>
          <w:szCs w:val="18"/>
          <w:b w:val="1"/>
          <w:bCs w:val="1"/>
          <w:color w:val="auto"/>
        </w:rPr>
        <w:t xml:space="preserve"> </w:t>
      </w:r>
      <w:r>
        <w:rPr>
          <w:rFonts w:ascii="Arial" w:cs="Arial" w:eastAsia="Arial" w:hAnsi="Arial"/>
          <w:sz w:val="18"/>
          <w:szCs w:val="18"/>
          <w:color w:val="auto"/>
        </w:rPr>
        <w:t>costs not contemplated by this Lease, the exact amount of which will be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19</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86" w:lineRule="exact"/>
        <w:rPr>
          <w:sz w:val="20"/>
          <w:szCs w:val="20"/>
          <w:color w:val="auto"/>
        </w:rPr>
      </w:pPr>
    </w:p>
    <w:p>
      <w:pPr>
        <w:jc w:val="both"/>
        <w:ind w:firstLine="872"/>
        <w:spacing w:after="0" w:line="253" w:lineRule="auto"/>
        <w:tabs>
          <w:tab w:leader="none" w:pos="1721"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in addition to all other rights and remedies provided in this Lease, at law or in equity, the option to pursue any one or more of the following remedies, each and all of which shall be cumulative and nonexclusive, without any notice or demand whatsoever.</w:t>
      </w:r>
    </w:p>
    <w:p>
      <w:pPr>
        <w:spacing w:after="0" w:line="190" w:lineRule="exact"/>
        <w:rPr>
          <w:rFonts w:ascii="Arial" w:cs="Arial" w:eastAsia="Arial" w:hAnsi="Arial"/>
          <w:sz w:val="18"/>
          <w:szCs w:val="18"/>
          <w:color w:val="auto"/>
        </w:rPr>
      </w:pPr>
    </w:p>
    <w:p>
      <w:pPr>
        <w:jc w:val="both"/>
        <w:ind w:left="880" w:firstLine="789"/>
        <w:spacing w:after="0" w:line="237" w:lineRule="auto"/>
        <w:tabs>
          <w:tab w:leader="none" w:pos="248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(except to the extent that any such person has agreed to attorn to Landlord and Landlord has, without any objection to agree to do so, agreed to recognize such other person’s right to occupy all or portion of the Premises pursuant to a separate written agreement) who may be occupying the Premises or any part thereof, without being liable for prosecution or any claim or damages therefor;</w:t>
      </w:r>
    </w:p>
    <w:p>
      <w:pPr>
        <w:spacing w:after="0" w:line="202" w:lineRule="exact"/>
        <w:rPr>
          <w:rFonts w:ascii="Arial" w:cs="Arial" w:eastAsia="Arial" w:hAnsi="Arial"/>
          <w:sz w:val="18"/>
          <w:szCs w:val="18"/>
          <w:color w:val="auto"/>
        </w:rPr>
      </w:pPr>
    </w:p>
    <w:p>
      <w:pPr>
        <w:ind w:left="880" w:right="20" w:firstLine="789"/>
        <w:spacing w:after="0" w:line="246" w:lineRule="auto"/>
        <w:tabs>
          <w:tab w:leader="none" w:pos="252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Upon any termination of this Lease, whether pursuant to the foregoing </w:t>
      </w:r>
      <w:r>
        <w:rPr>
          <w:rFonts w:ascii="Arial" w:cs="Arial" w:eastAsia="Arial" w:hAnsi="Arial"/>
          <w:sz w:val="18"/>
          <w:szCs w:val="18"/>
          <w:u w:val="single" w:color="auto"/>
          <w:color w:val="auto"/>
        </w:rPr>
        <w:t>Section 21(c)(i)</w:t>
      </w:r>
      <w:r>
        <w:rPr>
          <w:rFonts w:ascii="Arial" w:cs="Arial" w:eastAsia="Arial" w:hAnsi="Arial"/>
          <w:sz w:val="18"/>
          <w:szCs w:val="18"/>
          <w:color w:val="auto"/>
        </w:rPr>
        <w:t xml:space="preserve"> or otherwise, Landlord may recover from Tenant the following:</w:t>
      </w:r>
    </w:p>
    <w:p>
      <w:pPr>
        <w:spacing w:after="0" w:line="192" w:lineRule="exact"/>
        <w:rPr>
          <w:rFonts w:ascii="Arial" w:cs="Arial" w:eastAsia="Arial" w:hAnsi="Arial"/>
          <w:sz w:val="18"/>
          <w:szCs w:val="18"/>
          <w:color w:val="auto"/>
        </w:rPr>
      </w:pPr>
    </w:p>
    <w:p>
      <w:pPr>
        <w:ind w:left="3360" w:hanging="894"/>
        <w:spacing w:after="0"/>
        <w:tabs>
          <w:tab w:leader="none" w:pos="336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w:t>
      </w:r>
    </w:p>
    <w:p>
      <w:pPr>
        <w:ind w:left="1740"/>
        <w:spacing w:after="0"/>
        <w:rPr>
          <w:rFonts w:ascii="Arial" w:cs="Arial" w:eastAsia="Arial" w:hAnsi="Arial"/>
          <w:sz w:val="18"/>
          <w:szCs w:val="18"/>
          <w:color w:val="auto"/>
        </w:rPr>
      </w:pPr>
      <w:r>
        <w:rPr>
          <w:rFonts w:ascii="Arial" w:cs="Arial" w:eastAsia="Arial" w:hAnsi="Arial"/>
          <w:sz w:val="18"/>
          <w:szCs w:val="18"/>
          <w:color w:val="auto"/>
        </w:rPr>
        <w:t>termination; plus</w:t>
      </w:r>
    </w:p>
    <w:p>
      <w:pPr>
        <w:spacing w:after="0" w:line="211" w:lineRule="exact"/>
        <w:rPr>
          <w:rFonts w:ascii="Arial" w:cs="Arial" w:eastAsia="Arial" w:hAnsi="Arial"/>
          <w:sz w:val="18"/>
          <w:szCs w:val="18"/>
          <w:color w:val="auto"/>
        </w:rPr>
      </w:pPr>
    </w:p>
    <w:p>
      <w:pPr>
        <w:jc w:val="both"/>
        <w:ind w:left="1740" w:firstLine="726"/>
        <w:spacing w:after="0"/>
        <w:tabs>
          <w:tab w:leader="none" w:pos="3359"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202" w:lineRule="exact"/>
        <w:rPr>
          <w:rFonts w:ascii="Arial" w:cs="Arial" w:eastAsia="Arial" w:hAnsi="Arial"/>
          <w:sz w:val="18"/>
          <w:szCs w:val="18"/>
          <w:color w:val="auto"/>
        </w:rPr>
      </w:pPr>
    </w:p>
    <w:p>
      <w:pPr>
        <w:jc w:val="both"/>
        <w:ind w:left="1740" w:right="20" w:firstLine="726"/>
        <w:spacing w:after="0"/>
        <w:tabs>
          <w:tab w:leader="none" w:pos="3369" w:val="left"/>
        </w:tabs>
        <w:numPr>
          <w:ilvl w:val="2"/>
          <w:numId w:val="25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202" w:lineRule="exact"/>
        <w:rPr>
          <w:rFonts w:ascii="Arial" w:cs="Arial" w:eastAsia="Arial" w:hAnsi="Arial"/>
          <w:sz w:val="18"/>
          <w:szCs w:val="18"/>
          <w:color w:val="auto"/>
        </w:rPr>
      </w:pPr>
    </w:p>
    <w:p>
      <w:pPr>
        <w:jc w:val="both"/>
        <w:ind w:left="1740" w:firstLine="726"/>
        <w:spacing w:after="0" w:line="238" w:lineRule="auto"/>
        <w:tabs>
          <w:tab w:leader="none" w:pos="3369" w:val="left"/>
        </w:tabs>
        <w:numPr>
          <w:ilvl w:val="2"/>
          <w:numId w:val="257"/>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202" w:lineRule="exact"/>
        <w:rPr>
          <w:rFonts w:ascii="Arial" w:cs="Arial" w:eastAsia="Arial" w:hAnsi="Arial"/>
          <w:sz w:val="18"/>
          <w:szCs w:val="18"/>
          <w:color w:val="auto"/>
        </w:rPr>
      </w:pPr>
    </w:p>
    <w:p>
      <w:pPr>
        <w:ind w:left="1740" w:firstLine="726"/>
        <w:spacing w:after="0" w:line="246" w:lineRule="auto"/>
        <w:tabs>
          <w:tab w:leader="none" w:pos="3359" w:val="left"/>
        </w:tabs>
        <w:numPr>
          <w:ilvl w:val="2"/>
          <w:numId w:val="257"/>
        </w:numPr>
        <w:rPr>
          <w:rFonts w:ascii="Arial" w:cs="Arial" w:eastAsia="Arial" w:hAnsi="Arial"/>
          <w:sz w:val="18"/>
          <w:szCs w:val="18"/>
          <w:color w:val="auto"/>
        </w:rPr>
      </w:pPr>
      <w:r>
        <w:rPr>
          <w:rFonts w:ascii="Arial" w:cs="Arial" w:eastAsia="Arial" w:hAnsi="Arial"/>
          <w:sz w:val="18"/>
          <w:szCs w:val="18"/>
          <w:color w:val="auto"/>
        </w:rPr>
        <w:t>At Landlord’s election, such other amounts in addition to or in lieu of the foregoing as may be permitted from time to time by applicable law.</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21(c)(ii)(A)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above, the “</w:t>
      </w:r>
      <w:r>
        <w:rPr>
          <w:rFonts w:ascii="Arial" w:cs="Arial" w:eastAsia="Arial" w:hAnsi="Arial"/>
          <w:sz w:val="18"/>
          <w:szCs w:val="18"/>
          <w:b w:val="1"/>
          <w:bCs w:val="1"/>
          <w:color w:val="auto"/>
        </w:rPr>
        <w:t>worth at the time</w:t>
      </w:r>
      <w:r>
        <w:rPr>
          <w:rFonts w:ascii="Arial" w:cs="Arial" w:eastAsia="Arial" w:hAnsi="Arial"/>
          <w:sz w:val="18"/>
          <w:szCs w:val="18"/>
          <w:color w:val="auto"/>
        </w:rPr>
        <w:t xml:space="preserve"> </w:t>
      </w:r>
      <w:r>
        <w:rPr>
          <w:rFonts w:ascii="Arial" w:cs="Arial" w:eastAsia="Arial" w:hAnsi="Arial"/>
          <w:sz w:val="18"/>
          <w:szCs w:val="18"/>
          <w:b w:val="1"/>
          <w:bCs w:val="1"/>
          <w:color w:val="auto"/>
        </w:rPr>
        <w:t>of award</w:t>
      </w:r>
      <w:r>
        <w:rPr>
          <w:rFonts w:ascii="Arial" w:cs="Arial" w:eastAsia="Arial" w:hAnsi="Arial"/>
          <w:sz w:val="18"/>
          <w:szCs w:val="18"/>
          <w:color w:val="auto"/>
        </w:rPr>
        <w:t>” shall be computed by allowing interest at the Default Rate. As used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21(c)(ii)(C)</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 “</w:t>
      </w:r>
      <w:r>
        <w:rPr>
          <w:rFonts w:ascii="Arial" w:cs="Arial" w:eastAsia="Arial" w:hAnsi="Arial"/>
          <w:sz w:val="18"/>
          <w:szCs w:val="18"/>
          <w:b w:val="1"/>
          <w:bCs w:val="1"/>
          <w:color w:val="auto"/>
        </w:rPr>
        <w:t>worth at the time of</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20</w:t>
      </w:r>
    </w:p>
    <w:p>
      <w:pPr>
        <w:spacing w:after="0" w:line="17"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auto"/>
        </w:rPr>
        <w:t>award</w:t>
      </w:r>
      <w:r>
        <w:rPr>
          <w:rFonts w:ascii="Arial" w:cs="Arial" w:eastAsia="Arial" w:hAnsi="Arial"/>
          <w:sz w:val="18"/>
          <w:szCs w:val="18"/>
          <w:color w:val="auto"/>
        </w:rPr>
        <w:t>” shall be computed by discounting such amount at the discount rate of the Federal Reserve Bank of San Francisco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 plus 1%.</w:t>
      </w:r>
    </w:p>
    <w:p>
      <w:pPr>
        <w:spacing w:after="0" w:line="197" w:lineRule="exact"/>
        <w:rPr>
          <w:sz w:val="20"/>
          <w:szCs w:val="20"/>
          <w:color w:val="auto"/>
        </w:rPr>
      </w:pPr>
    </w:p>
    <w:p>
      <w:pPr>
        <w:jc w:val="both"/>
        <w:ind w:left="880" w:firstLine="789"/>
        <w:spacing w:after="0" w:line="238" w:lineRule="auto"/>
        <w:tabs>
          <w:tab w:leader="none" w:pos="2565" w:val="left"/>
        </w:tabs>
        <w:numPr>
          <w:ilvl w:val="2"/>
          <w:numId w:val="258"/>
        </w:numPr>
        <w:rPr>
          <w:rFonts w:ascii="Arial" w:cs="Arial" w:eastAsia="Arial" w:hAnsi="Arial"/>
          <w:sz w:val="18"/>
          <w:szCs w:val="18"/>
          <w:color w:val="auto"/>
        </w:rPr>
      </w:pPr>
      <w:r>
        <w:rPr>
          <w:rFonts w:ascii="Arial" w:cs="Arial" w:eastAsia="Arial" w:hAnsi="Arial"/>
          <w:sz w:val="18"/>
          <w:szCs w:val="18"/>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202" w:lineRule="exact"/>
        <w:rPr>
          <w:rFonts w:ascii="Arial" w:cs="Arial" w:eastAsia="Arial" w:hAnsi="Arial"/>
          <w:sz w:val="18"/>
          <w:szCs w:val="18"/>
          <w:color w:val="auto"/>
        </w:rPr>
      </w:pPr>
    </w:p>
    <w:p>
      <w:pPr>
        <w:jc w:val="both"/>
        <w:ind w:left="880" w:firstLine="789"/>
        <w:spacing w:after="0" w:line="237" w:lineRule="auto"/>
        <w:tabs>
          <w:tab w:leader="none" w:pos="2575" w:val="left"/>
        </w:tabs>
        <w:numPr>
          <w:ilvl w:val="2"/>
          <w:numId w:val="258"/>
        </w:numPr>
        <w:rPr>
          <w:rFonts w:ascii="Arial" w:cs="Arial" w:eastAsia="Arial" w:hAnsi="Arial"/>
          <w:sz w:val="18"/>
          <w:szCs w:val="18"/>
          <w:color w:val="auto"/>
        </w:rPr>
      </w:pPr>
      <w:r>
        <w:rPr>
          <w:rFonts w:ascii="Arial" w:cs="Arial" w:eastAsia="Arial" w:hAnsi="Arial"/>
          <w:sz w:val="18"/>
          <w:szCs w:val="18"/>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204" w:lineRule="exact"/>
        <w:rPr>
          <w:rFonts w:ascii="Arial" w:cs="Arial" w:eastAsia="Arial" w:hAnsi="Arial"/>
          <w:sz w:val="18"/>
          <w:szCs w:val="18"/>
          <w:color w:val="auto"/>
        </w:rPr>
      </w:pPr>
    </w:p>
    <w:p>
      <w:pPr>
        <w:ind w:left="880" w:firstLine="789"/>
        <w:spacing w:after="0" w:line="246" w:lineRule="auto"/>
        <w:tabs>
          <w:tab w:leader="none" w:pos="2535" w:val="left"/>
        </w:tabs>
        <w:numPr>
          <w:ilvl w:val="2"/>
          <w:numId w:val="258"/>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30(d)</w:t>
      </w:r>
      <w:r>
        <w:rPr>
          <w:rFonts w:ascii="Arial" w:cs="Arial" w:eastAsia="Arial" w:hAnsi="Arial"/>
          <w:sz w:val="18"/>
          <w:szCs w:val="18"/>
          <w:color w:val="auto"/>
        </w:rPr>
        <w:t xml:space="preserve"> hereof, at Tenant’s expense.</w:t>
      </w:r>
    </w:p>
    <w:p>
      <w:pPr>
        <w:spacing w:after="0" w:line="174" w:lineRule="exact"/>
        <w:rPr>
          <w:rFonts w:ascii="Arial" w:cs="Arial" w:eastAsia="Arial" w:hAnsi="Arial"/>
          <w:sz w:val="18"/>
          <w:szCs w:val="18"/>
          <w:color w:val="auto"/>
        </w:rPr>
      </w:pPr>
    </w:p>
    <w:p>
      <w:pPr>
        <w:jc w:val="both"/>
        <w:ind w:firstLine="872"/>
        <w:spacing w:after="0" w:line="236" w:lineRule="auto"/>
        <w:tabs>
          <w:tab w:leader="none" w:pos="1731" w:val="left"/>
        </w:tabs>
        <w:numPr>
          <w:ilvl w:val="1"/>
          <w:numId w:val="259"/>
        </w:numPr>
        <w:rPr>
          <w:rFonts w:ascii="Arial" w:cs="Arial" w:eastAsia="Arial" w:hAnsi="Arial"/>
          <w:sz w:val="18"/>
          <w:szCs w:val="18"/>
          <w:color w:val="auto"/>
        </w:rPr>
      </w:pPr>
      <w:r>
        <w:rPr>
          <w:rFonts w:ascii="Arial" w:cs="Arial" w:eastAsia="Arial" w:hAnsi="Arial"/>
          <w:sz w:val="18"/>
          <w:szCs w:val="18"/>
          <w:b w:val="1"/>
          <w:bCs w:val="1"/>
          <w:color w:val="auto"/>
        </w:rPr>
        <w:t>Effect of Exercise</w:t>
      </w:r>
      <w:r>
        <w:rPr>
          <w:rFonts w:ascii="Arial" w:cs="Arial" w:eastAsia="Arial" w:hAnsi="Arial"/>
          <w:sz w:val="18"/>
          <w:szCs w:val="18"/>
          <w:color w:val="auto"/>
        </w:rPr>
        <w:t>. Exercise by Landlord of any remedies hereunder or otherwise available shall not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acceptance of 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 Landlord shall, however, use commercially reasonable efforts to mitigate the damages arising by reason of the termination of this Lease as a result of a Default by Tenant; provided, however, that in no event shall mitigation require Landlord to consider, among other things, (i) any tenant which does not satisfy Landlord’s then current underwriting criteria, in the exercise of Landlord’s sole and absolute discretion, for comparable size premises, (ii) subdividing the Premises unless Landlord elects in its sole and absolute discretion to do so, (iii) any change in use of the Premises or any alterations which would lessen the value of the leasehold improvements, (iv) granting any tenant improvement allowances, free rent or other lease concessions, or</w:t>
      </w:r>
    </w:p>
    <w:p>
      <w:pPr>
        <w:spacing w:after="0" w:line="1" w:lineRule="exact"/>
        <w:rPr>
          <w:rFonts w:ascii="Arial" w:cs="Arial" w:eastAsia="Arial" w:hAnsi="Arial"/>
          <w:sz w:val="18"/>
          <w:szCs w:val="18"/>
          <w:color w:val="auto"/>
        </w:rPr>
      </w:pPr>
    </w:p>
    <w:p>
      <w:pPr>
        <w:ind w:right="20" w:firstLine="8"/>
        <w:spacing w:after="0" w:line="246" w:lineRule="auto"/>
        <w:tabs>
          <w:tab w:leader="none" w:pos="28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accepting any tenant if Landlord would have the right to reject such tenant if such tenant were a proposed assignee or sublessee of Tenant including, without limitation, considering the factors described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21</w:t>
      </w:r>
    </w:p>
    <w:p>
      <w:pPr>
        <w:spacing w:after="0" w:line="17" w:lineRule="exact"/>
        <w:rPr>
          <w:sz w:val="20"/>
          <w:szCs w:val="20"/>
          <w:color w:val="auto"/>
        </w:rPr>
      </w:pPr>
    </w:p>
    <w:p>
      <w:pPr>
        <w:ind w:left="1760" w:hanging="888"/>
        <w:spacing w:after="0"/>
        <w:tabs>
          <w:tab w:leader="none" w:pos="176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90" w:lineRule="exact"/>
        <w:rPr>
          <w:sz w:val="20"/>
          <w:szCs w:val="20"/>
          <w:color w:val="auto"/>
        </w:rPr>
      </w:pPr>
    </w:p>
    <w:p>
      <w:pPr>
        <w:jc w:val="both"/>
        <w:ind w:firstLine="872"/>
        <w:spacing w:after="0" w:line="247" w:lineRule="auto"/>
        <w:tabs>
          <w:tab w:leader="none" w:pos="1731" w:val="left"/>
        </w:tabs>
        <w:numPr>
          <w:ilvl w:val="1"/>
          <w:numId w:val="262"/>
        </w:numPr>
        <w:rPr>
          <w:rFonts w:ascii="Arial" w:cs="Arial" w:eastAsia="Arial" w:hAnsi="Arial"/>
          <w:sz w:val="18"/>
          <w:szCs w:val="18"/>
          <w:color w:val="auto"/>
        </w:rPr>
      </w:pPr>
      <w:r>
        <w:rPr>
          <w:rFonts w:ascii="Arial" w:cs="Arial" w:eastAsia="Arial" w:hAnsi="Arial"/>
          <w:sz w:val="18"/>
          <w:szCs w:val="18"/>
          <w:b w:val="1"/>
          <w:bCs w:val="1"/>
          <w:color w:val="auto"/>
        </w:rPr>
        <w:t>General Prohibition</w:t>
      </w:r>
      <w:r>
        <w:rPr>
          <w:rFonts w:ascii="Arial" w:cs="Arial" w:eastAsia="Arial" w:hAnsi="Arial"/>
          <w:sz w:val="18"/>
          <w:szCs w:val="18"/>
          <w:color w:val="auto"/>
        </w:rPr>
        <w:t>. Without Landlord’s prior written consent subject to and on the conditions described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w:t>
      </w:r>
    </w:p>
    <w:p>
      <w:pPr>
        <w:spacing w:after="0" w:line="173" w:lineRule="exact"/>
        <w:rPr>
          <w:rFonts w:ascii="Arial" w:cs="Arial" w:eastAsia="Arial" w:hAnsi="Arial"/>
          <w:sz w:val="18"/>
          <w:szCs w:val="18"/>
          <w:color w:val="auto"/>
        </w:rPr>
      </w:pPr>
    </w:p>
    <w:p>
      <w:pPr>
        <w:jc w:val="both"/>
        <w:ind w:firstLine="872"/>
        <w:spacing w:after="0" w:line="236" w:lineRule="auto"/>
        <w:tabs>
          <w:tab w:leader="none" w:pos="1731" w:val="left"/>
        </w:tabs>
        <w:numPr>
          <w:ilvl w:val="1"/>
          <w:numId w:val="262"/>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 sublet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other than pursuant to a Permitted Assignment (as defined below), then at least 15 business days, but not more than 90 business days, before the date Tenant desires the assignment or sublease to be effective (the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(the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(provided that Landlord shall further have the right to review and approve or disapprove the proposed form of sublease prior to the effective date of any such subletting), or (ii) refuse such consent, in its reasonable discretion detailing the reason for refusing consent with reasonable specificity.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materially increased services by Landlord; (3) in Landlord’s reasonable judgment,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(iii) attract protestors to the Building or the Project, or (iv) lessen the attractiveness of the Building or the Project to any tenants or prospective tenants, purchasers or lenders; (4) in Landlord’s reasonable judgment, the proposed assignee or subtenant lacks the creditworthiness to support the financial obligations it will incur under the proposed assignment or sublease; (5) Landlord has experienced previous defaults by or is in litigation with the proposed assignee or subtenant; (6) the use of the Premises by the proposed assignee or subtenant will violate any applicable Legal Requirement; or</w:t>
      </w:r>
    </w:p>
    <w:p>
      <w:pPr>
        <w:jc w:val="both"/>
        <w:ind w:firstLine="8"/>
        <w:spacing w:after="0" w:line="237" w:lineRule="auto"/>
        <w:tabs>
          <w:tab w:leader="none" w:pos="30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assignment or sublease is prohibited by Landlord’s lender. No failure of Landlord to deliver a timely notice in response to the Assignment Notice, shall be deemed to be Landlord’s consent to the proposed assignment, sublease or other transfer. Tenant shall pay to Landlord a fee equal to Two Thousand Five Hundred Dollars ($2,500)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8"/>
          <w:szCs w:val="18"/>
          <w:b w:val="1"/>
          <w:bCs w:val="1"/>
          <w:color w:val="auto"/>
        </w:rPr>
        <w:t>Control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w:t>
      </w:r>
      <w:r>
        <w:rPr>
          <w:rFonts w:ascii="Arial" w:cs="Arial" w:eastAsia="Arial" w:hAnsi="Arial"/>
          <w:sz w:val="18"/>
          <w:szCs w:val="18"/>
          <w:color w:val="auto"/>
        </w:rPr>
        <w:t>”) shall not be required, provided that Tenant and any sublessee subject to a Control Permitted Assignment shall execute a</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assignment or consent to sublease, as applicable, on Landlord’s standard commercially reasonable form.</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In addition, Tenant shall have the right to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this Lease, and (ii) the net worth (as determined in accordance with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of the assignee is not less than the greater of the net worth (as determined in accordance with GAAP) of Tenant as of (A) the Commencement Date, or (B) as of the date of Tenant’s most current quarterly or annual financial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22</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statements, and (iii) such assignee shall agree in writing to assume all of the terms, covenants and conditions of this Lease (a “</w:t>
      </w:r>
      <w:r>
        <w:rPr>
          <w:rFonts w:ascii="Arial" w:cs="Arial" w:eastAsia="Arial" w:hAnsi="Arial"/>
          <w:sz w:val="18"/>
          <w:szCs w:val="18"/>
          <w:b w:val="1"/>
          <w:bCs w:val="1"/>
          <w:color w:val="auto"/>
        </w:rPr>
        <w:t>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Notwithstanding anything to the contrary contained herein, Tenant shall have the right to enter into a sublease with a third party provider and pursuant to an agreement reasonably acceptable to Landlord, to install, operate and maintain a solar photovoltaic system at the Project for the purpose of generating electricity to serve the Project, provided that (x) such third party provider shall execute a consent to sublease on Landlord’s standard commercially reasonable form, and (y) in no event shall the term of such sublease extend beyond the then-current Term of this Lease.</w:t>
      </w:r>
    </w:p>
    <w:p>
      <w:pPr>
        <w:spacing w:after="0" w:line="180" w:lineRule="exact"/>
        <w:rPr>
          <w:sz w:val="20"/>
          <w:szCs w:val="20"/>
          <w:color w:val="auto"/>
        </w:rPr>
      </w:pPr>
    </w:p>
    <w:p>
      <w:pPr>
        <w:ind w:firstLine="872"/>
        <w:spacing w:after="0" w:line="271" w:lineRule="auto"/>
        <w:tabs>
          <w:tab w:leader="none" w:pos="1721"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whether or not Landlord’s consent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Landlord may require:</w:t>
      </w:r>
    </w:p>
    <w:p>
      <w:pPr>
        <w:spacing w:after="0" w:line="175" w:lineRule="exact"/>
        <w:rPr>
          <w:rFonts w:ascii="Arial" w:cs="Arial" w:eastAsia="Arial" w:hAnsi="Arial"/>
          <w:sz w:val="18"/>
          <w:szCs w:val="18"/>
          <w:color w:val="auto"/>
        </w:rPr>
      </w:pPr>
    </w:p>
    <w:p>
      <w:pPr>
        <w:jc w:val="both"/>
        <w:ind w:left="880" w:firstLine="789"/>
        <w:spacing w:after="0" w:line="237" w:lineRule="auto"/>
        <w:tabs>
          <w:tab w:leader="none" w:pos="248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204" w:lineRule="exact"/>
        <w:rPr>
          <w:rFonts w:ascii="Arial" w:cs="Arial" w:eastAsia="Arial" w:hAnsi="Arial"/>
          <w:sz w:val="18"/>
          <w:szCs w:val="18"/>
          <w:color w:val="auto"/>
        </w:rPr>
      </w:pPr>
    </w:p>
    <w:p>
      <w:pPr>
        <w:jc w:val="both"/>
        <w:ind w:left="880" w:firstLine="789"/>
        <w:spacing w:after="0" w:line="236" w:lineRule="auto"/>
        <w:tabs>
          <w:tab w:leader="none" w:pos="252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82" w:lineRule="exact"/>
        <w:rPr>
          <w:rFonts w:ascii="Arial" w:cs="Arial" w:eastAsia="Arial" w:hAnsi="Arial"/>
          <w:sz w:val="18"/>
          <w:szCs w:val="18"/>
          <w:color w:val="auto"/>
        </w:rPr>
      </w:pPr>
    </w:p>
    <w:p>
      <w:pPr>
        <w:jc w:val="both"/>
        <w:ind w:firstLine="872"/>
        <w:spacing w:after="0" w:line="238" w:lineRule="auto"/>
        <w:tabs>
          <w:tab w:leader="none" w:pos="1731"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or surety of 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with respect to the applicable portion of the Premises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8"/>
          <w:szCs w:val="18"/>
          <w:b w:val="1"/>
          <w:bCs w:val="1"/>
          <w:color w:val="auto"/>
        </w:rPr>
        <w:t>Excess Rent</w:t>
      </w:r>
      <w:r>
        <w:rPr>
          <w:rFonts w:ascii="Arial" w:cs="Arial" w:eastAsia="Arial" w:hAnsi="Arial"/>
          <w:sz w:val="18"/>
          <w:szCs w:val="18"/>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23</w:t>
      </w:r>
    </w:p>
    <w:p>
      <w:pPr>
        <w:spacing w:after="0" w:line="17" w:lineRule="exact"/>
        <w:rPr>
          <w:sz w:val="20"/>
          <w:szCs w:val="20"/>
          <w:color w:val="auto"/>
        </w:rPr>
      </w:pPr>
    </w:p>
    <w:p>
      <w:pPr>
        <w:jc w:val="both"/>
        <w:ind w:firstLine="872"/>
        <w:spacing w:after="0" w:line="238" w:lineRule="auto"/>
        <w:tabs>
          <w:tab w:leader="none" w:pos="1731"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80" w:lineRule="exact"/>
        <w:rPr>
          <w:rFonts w:ascii="Arial" w:cs="Arial" w:eastAsia="Arial" w:hAnsi="Arial"/>
          <w:sz w:val="18"/>
          <w:szCs w:val="18"/>
          <w:color w:val="auto"/>
        </w:rPr>
      </w:pPr>
    </w:p>
    <w:p>
      <w:pPr>
        <w:jc w:val="both"/>
        <w:ind w:firstLine="872"/>
        <w:spacing w:after="0" w:line="239" w:lineRule="auto"/>
        <w:tabs>
          <w:tab w:leader="none" w:pos="1681"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Prior Conduct of Proposed Transferee</w:t>
      </w:r>
      <w:r>
        <w:rPr>
          <w:rFonts w:ascii="Arial" w:cs="Arial" w:eastAsia="Arial" w:hAnsi="Arial"/>
          <w:sz w:val="18"/>
          <w:szCs w:val="18"/>
          <w:color w:val="auto"/>
        </w:rPr>
        <w:t>. Notwithstanding any other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if (i) the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or 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80" w:lineRule="exact"/>
        <w:rPr>
          <w:sz w:val="20"/>
          <w:szCs w:val="20"/>
          <w:color w:val="auto"/>
        </w:rPr>
      </w:pPr>
    </w:p>
    <w:p>
      <w:pPr>
        <w:jc w:val="both"/>
        <w:ind w:firstLine="872"/>
        <w:spacing w:after="0" w:line="239" w:lineRule="auto"/>
        <w:tabs>
          <w:tab w:leader="none" w:pos="1762"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 a 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5 days after Tenant’s receipt of a second written notice from Landlord shall, at the option of Landlord, constitute a Default under this Lease, and, in any event, shall be conclusive upon Tenant that this Lease is in full force and effect and without modification except as may be represented by Landlord in any certificate prepared by Landlord and delivered to Tenant for execution.</w:t>
      </w:r>
    </w:p>
    <w:p>
      <w:pPr>
        <w:spacing w:after="0" w:line="20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Upon request by Tenant, Landlord will similarly execute an estoppel certificate: (i) certifying that this Lease is unmodified and in full force and effect (or, if modified, stating the nature of such modification and certifying that this Lease as so modified is in full force and effect) and the dates to which the rental and other charges are paid in advanced, if any, (ii) acknowledging that there are not, to Landlord’s knowledge, any uncured defaults on the part of Tenant hereunder, or specifying such defaults if any are claimed and (iii) setting forth such further information with respect to the status of this Lease or the Premises as may be reasonably requested thereon.</w:t>
      </w:r>
    </w:p>
    <w:p>
      <w:pPr>
        <w:spacing w:after="0" w:line="180" w:lineRule="exact"/>
        <w:rPr>
          <w:sz w:val="20"/>
          <w:szCs w:val="20"/>
          <w:color w:val="auto"/>
        </w:rPr>
      </w:pPr>
    </w:p>
    <w:p>
      <w:pPr>
        <w:jc w:val="both"/>
        <w:ind w:firstLine="872"/>
        <w:spacing w:after="0" w:line="253" w:lineRule="auto"/>
        <w:tabs>
          <w:tab w:leader="none" w:pos="176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at all times during the Term, have peaceful and quiet enjoyment of the Premises and the Project against any person claiming by, through or under Landlord.</w:t>
      </w:r>
    </w:p>
    <w:p>
      <w:pPr>
        <w:spacing w:after="0" w:line="168" w:lineRule="exact"/>
        <w:rPr>
          <w:rFonts w:ascii="Arial" w:cs="Arial" w:eastAsia="Arial" w:hAnsi="Arial"/>
          <w:sz w:val="18"/>
          <w:szCs w:val="18"/>
          <w:color w:val="auto"/>
        </w:rPr>
      </w:pPr>
    </w:p>
    <w:p>
      <w:pPr>
        <w:ind w:left="1760" w:hanging="888"/>
        <w:spacing w:after="0"/>
        <w:tabs>
          <w:tab w:leader="none" w:pos="176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 day year</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30 day months.</w:t>
      </w:r>
    </w:p>
    <w:p>
      <w:pPr>
        <w:spacing w:after="0" w:line="189"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rules and regulations at any time or from time to time established by Landlord covering use of the Premises and the Project. The current rules and regulations are attached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24</w:t>
      </w:r>
    </w:p>
    <w:p>
      <w:pPr>
        <w:spacing w:after="0" w:line="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w:t>
      </w:r>
    </w:p>
    <w:p>
      <w:pPr>
        <w:spacing w:after="0" w:line="175" w:lineRule="exact"/>
        <w:rPr>
          <w:sz w:val="20"/>
          <w:szCs w:val="20"/>
          <w:color w:val="auto"/>
        </w:rPr>
      </w:pPr>
    </w:p>
    <w:p>
      <w:pPr>
        <w:jc w:val="both"/>
        <w:ind w:firstLine="872"/>
        <w:spacing w:after="0" w:line="237" w:lineRule="auto"/>
        <w:tabs>
          <w:tab w:leader="none" w:pos="1762"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following any applicable notice and cure period, Tenant’s right to possession of the Premises shall not be disturbed by the Holder of any such Mortgage. Tenant agrees, at the election of the Holder of any such Mortgage, to attorn to any such Holder. Tenant agrees, within 10 days after written notice from Landlord, to execute, acknowledge and deliver such instruments, confirming such subordination, and such instruments of attornment as shall be reasonably requested by any such Holder, provided any 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w:t>
      </w:r>
    </w:p>
    <w:p>
      <w:pPr>
        <w:spacing w:after="0" w:line="21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Upon written request from Tenant, Landlord agrees to use reasonable efforts to cause the Holder of any future Mortgage to enter into a subordination, non-disturbance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with Tenant with respect to this Lease. The SNDA shall be on the form proscribed by the Holder and Tenant shall pay the Holder’s fees and costs in connection with obtaining such SNDA; provided, however, that Landlord shall request that Holder make any reasonable changes to the SNDA requested by Tenant. Landlord’s failure to cause the Holder to enter into the SNDA with Tenant (or make any of the changes requested by Tenant) despite such efforts shall not be a default by Landlord under this Lease.</w:t>
      </w:r>
    </w:p>
    <w:p>
      <w:pPr>
        <w:spacing w:after="0" w:line="183" w:lineRule="exact"/>
        <w:rPr>
          <w:sz w:val="20"/>
          <w:szCs w:val="20"/>
          <w:color w:val="auto"/>
        </w:rPr>
      </w:pPr>
    </w:p>
    <w:p>
      <w:pPr>
        <w:jc w:val="both"/>
        <w:ind w:firstLine="872"/>
        <w:spacing w:after="0" w:line="237" w:lineRule="auto"/>
        <w:tabs>
          <w:tab w:leader="none" w:pos="1762"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 the Premises to Landlord in substantially the same condition following the Substantial Completion of Tenant’s Work, subject to any Alterations or Installations permitted by Landlord to remain in the Premises, free of Hazardous Materials brought upon, kept, used, stored, handled, treated, generated in, or released or disposed of from, the Premises by any person other than Landlord or any Landlord’s employees, agents and contractors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xml:space="preserve">”) and released of all Hazardous Materials Clearances,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8"/>
          <w:szCs w:val="18"/>
          <w:b w:val="1"/>
          <w:bCs w:val="1"/>
          <w:color w:val="auto"/>
        </w:rPr>
        <w:t>Decommissioning and HazMat Closure Plan</w:t>
      </w:r>
      <w:r>
        <w:rPr>
          <w:rFonts w:ascii="Arial" w:cs="Arial" w:eastAsia="Arial" w:hAnsi="Arial"/>
          <w:sz w:val="18"/>
          <w:szCs w:val="18"/>
          <w:color w:val="auto"/>
        </w:rPr>
        <w:t>”). Such Decommissioning and HazMat Closure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Decommissioning and HazMat Closure Plan, upon the request of Landlord, Tenant shall deliver to Landlord or its consultant such additional non-proprietary information concerning Tenant HazMat Operations as Landlord shall request. On or before such surrender, Tenant shall deliver to Landlord evidence that the approved Decommissioning and HazMat Closure Plan shall have been satisfactorily completed and Landlord shall have the right, subject to</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25</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actual out-of-pocket expense incurred by Landlord for Landlord’s environmental consultant to review and approve the Decommissioning and HazMat Closure Plan and to visit the Premises and verify satisfactory completion of the same, which cost shall not exceed $5,000. Landlord shall have the unrestricted right to deliver such Decommissioning and HazMat Closure Plan and any report by Landlord’s environmental consultant with respect to the surrender of the Premises to third parties.</w:t>
      </w:r>
    </w:p>
    <w:p>
      <w:pPr>
        <w:spacing w:after="0" w:line="203"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 xml:space="preserve">Upon the expiration or earlier termination of the Term, Tenant shall immediately return to Landlord all keys and/or access cards to parking, the Project, restrooms or all or any portion of the Premises furnished to or otherwise procured by Tenant.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86" w:lineRule="exact"/>
        <w:rPr>
          <w:sz w:val="20"/>
          <w:szCs w:val="20"/>
          <w:color w:val="auto"/>
        </w:rPr>
      </w:pPr>
    </w:p>
    <w:p>
      <w:pPr>
        <w:jc w:val="both"/>
        <w:ind w:firstLine="872"/>
        <w:spacing w:after="0" w:line="247" w:lineRule="auto"/>
        <w:tabs>
          <w:tab w:leader="none" w:pos="176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3" w:lineRule="exact"/>
        <w:rPr>
          <w:rFonts w:ascii="Arial" w:cs="Arial" w:eastAsia="Arial" w:hAnsi="Arial"/>
          <w:sz w:val="18"/>
          <w:szCs w:val="18"/>
          <w:color w:val="auto"/>
        </w:rPr>
      </w:pPr>
    </w:p>
    <w:p>
      <w:pPr>
        <w:ind w:left="1760" w:hanging="888"/>
        <w:spacing w:after="0"/>
        <w:tabs>
          <w:tab w:leader="none" w:pos="176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38" w:lineRule="auto"/>
        <w:tabs>
          <w:tab w:leader="none" w:pos="1731"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Prohibition/Compliance/Indemnity</w:t>
      </w:r>
      <w:r>
        <w:rPr>
          <w:rFonts w:ascii="Arial" w:cs="Arial" w:eastAsia="Arial" w:hAnsi="Arial"/>
          <w:sz w:val="18"/>
          <w:szCs w:val="18"/>
          <w:color w:val="auto"/>
        </w:rPr>
        <w:t>. Tenant shall not cause or permit any Hazardous Materials (as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to be 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26</w:t>
      </w:r>
    </w:p>
    <w:p>
      <w:pPr>
        <w:spacing w:after="0" w:line="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conditioned or delayed so long as such actions would not potentially have any material adverse long-term or short-term effect on the Premises or the Project. Notwithstanding anything to the contrary contained in this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not be responsible for, and the indemnification and hold harmless obligation set forth in this paragraph shall not apply to (i) contamination in the Premises which Tenant can prove existed in the Premises prior to the Commencement Date, (ii) the presence of any Hazardous Materials in the Premises which Tenant can prove migrated from outside of the Premises into the Premises, or (iii) any contamination caused by Landlord or any Landlord’s employees, agents and contractors; unless in any case, the presence of such Hazardous Materials (x) is the result of a breach by Tenant of any of its obligations under this Lease, or (y) was caused, contributed to or exacerbated by Tenant or any Tenant Party.</w:t>
      </w:r>
    </w:p>
    <w:p>
      <w:pPr>
        <w:spacing w:after="0" w:line="191" w:lineRule="exact"/>
        <w:rPr>
          <w:sz w:val="20"/>
          <w:szCs w:val="20"/>
          <w:color w:val="auto"/>
        </w:rPr>
      </w:pPr>
    </w:p>
    <w:p>
      <w:pPr>
        <w:jc w:val="both"/>
        <w:ind w:firstLine="872"/>
        <w:spacing w:after="0" w:line="236" w:lineRule="auto"/>
        <w:tabs>
          <w:tab w:leader="none" w:pos="1731"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Landlord acknowledges that it is not the intent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to prohibit Tenant from using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8"/>
          <w:szCs w:val="18"/>
          <w:b w:val="1"/>
          <w:bCs w:val="1"/>
          <w:color w:val="auto"/>
        </w:rPr>
        <w:t>Hazardous Materials List</w:t>
      </w:r>
      <w:r>
        <w:rPr>
          <w:rFonts w:ascii="Arial" w:cs="Arial" w:eastAsia="Arial" w:hAnsi="Arial"/>
          <w:sz w:val="18"/>
          <w:szCs w:val="18"/>
          <w:color w:val="auto"/>
        </w:rPr>
        <w:t>”). Upon Landlord’s request, or any time that Tenant is required to deliver a Hazardous Materials List to any Governmental Authority (e.g., the fire department) in connection with Tenant’s use or occupancy of the Premises, Tenant shall deliver to Landlord a copy of such Hazardous Materials List. Tenant shall deliver to Landlord true and correct copies of the following documents (the “</w:t>
      </w:r>
      <w:r>
        <w:rPr>
          <w:rFonts w:ascii="Arial" w:cs="Arial" w:eastAsia="Arial" w:hAnsi="Arial"/>
          <w:sz w:val="18"/>
          <w:szCs w:val="18"/>
          <w:b w:val="1"/>
          <w:bCs w:val="1"/>
          <w:color w:val="auto"/>
        </w:rPr>
        <w:t>Haz Mat Documents</w:t>
      </w:r>
      <w:r>
        <w:rPr>
          <w:rFonts w:ascii="Arial" w:cs="Arial" w:eastAsia="Arial" w:hAnsi="Arial"/>
          <w:sz w:val="18"/>
          <w:szCs w:val="18"/>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Decommissioning and HazMat Closure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27</w:t>
      </w:r>
    </w:p>
    <w:p>
      <w:pPr>
        <w:spacing w:after="0" w:line="17" w:lineRule="exact"/>
        <w:rPr>
          <w:sz w:val="20"/>
          <w:szCs w:val="20"/>
          <w:color w:val="auto"/>
        </w:rPr>
      </w:pPr>
    </w:p>
    <w:p>
      <w:pPr>
        <w:jc w:val="both"/>
        <w:ind w:firstLine="872"/>
        <w:spacing w:after="0" w:line="236" w:lineRule="auto"/>
        <w:tabs>
          <w:tab w:leader="none" w:pos="172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Tenant Representation and Warranty</w:t>
      </w:r>
      <w:r>
        <w:rPr>
          <w:rFonts w:ascii="Arial" w:cs="Arial" w:eastAsia="Arial" w:hAnsi="Arial"/>
          <w:sz w:val="18"/>
          <w:szCs w:val="18"/>
          <w:color w:val="auto"/>
        </w:rPr>
        <w:t>. Tenant hereby represents and warrants to Landlord that to Tenant’s actual</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(i) neither Tenant nor any of its 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Effective Date, Landlord shall have the right to terminate this Lease in Landlord’s sole and absolute discretion.</w:t>
      </w:r>
    </w:p>
    <w:p>
      <w:pPr>
        <w:spacing w:after="0" w:line="185" w:lineRule="exact"/>
        <w:rPr>
          <w:rFonts w:ascii="Arial" w:cs="Arial" w:eastAsia="Arial" w:hAnsi="Arial"/>
          <w:sz w:val="18"/>
          <w:szCs w:val="18"/>
          <w:color w:val="auto"/>
        </w:rPr>
      </w:pPr>
    </w:p>
    <w:p>
      <w:pPr>
        <w:jc w:val="both"/>
        <w:ind w:firstLine="872"/>
        <w:spacing w:after="0" w:line="252" w:lineRule="auto"/>
        <w:tabs>
          <w:tab w:leader="none" w:pos="1731" w:val="left"/>
        </w:tabs>
        <w:numPr>
          <w:ilvl w:val="0"/>
          <w:numId w:val="273"/>
        </w:numPr>
        <w:rPr>
          <w:rFonts w:ascii="Arial" w:cs="Arial" w:eastAsia="Arial" w:hAnsi="Arial"/>
          <w:sz w:val="17"/>
          <w:szCs w:val="17"/>
          <w:color w:val="auto"/>
        </w:rPr>
      </w:pPr>
      <w:r>
        <w:rPr>
          <w:rFonts w:ascii="Arial" w:cs="Arial" w:eastAsia="Arial" w:hAnsi="Arial"/>
          <w:sz w:val="17"/>
          <w:szCs w:val="17"/>
          <w:b w:val="1"/>
          <w:bCs w:val="1"/>
          <w:color w:val="auto"/>
        </w:rPr>
        <w:t>Testing</w:t>
      </w:r>
      <w:r>
        <w:rPr>
          <w:rFonts w:ascii="Arial" w:cs="Arial" w:eastAsia="Arial" w:hAnsi="Arial"/>
          <w:sz w:val="17"/>
          <w:szCs w:val="17"/>
          <w:color w:val="auto"/>
        </w:rPr>
        <w:t>. Landlord shall have the right to conduct annual tests of the Premises to determine whether any contamination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Premises or the Project has occurred as a result of Tenant’s use. Tenant shall be required to pay the cost of such annual test of the Premises if there is violation of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or if contamination for which Tenant is responsible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is identified; provided, however, that if Tenant conducts its own tests of the Premises using third party contractors and test procedures reasonably acceptable to Landlord which tests are certified to Landlord, Landlord shall accept such tests in lieu of the annual tests to be paid for by Tenant. In addition, upon not less than 1 week prior written notice,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Tenant shall pay all costs to conduct such tests. If no such contamination is found, Landlord shall pay the costs of such tests (which shall not constitute an Operating Expense). Landlord shall provide Tenant with a copy of all third party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74" w:lineRule="exact"/>
        <w:rPr>
          <w:rFonts w:ascii="Arial" w:cs="Arial" w:eastAsia="Arial" w:hAnsi="Arial"/>
          <w:sz w:val="17"/>
          <w:szCs w:val="17"/>
          <w:color w:val="auto"/>
        </w:rPr>
      </w:pPr>
    </w:p>
    <w:p>
      <w:pPr>
        <w:jc w:val="both"/>
        <w:ind w:firstLine="872"/>
        <w:spacing w:after="0"/>
        <w:tabs>
          <w:tab w:leader="none" w:pos="173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Storage Tanks</w:t>
      </w:r>
      <w:r>
        <w:rPr>
          <w:rFonts w:ascii="Arial" w:cs="Arial" w:eastAsia="Arial" w:hAnsi="Arial"/>
          <w:sz w:val="18"/>
          <w:szCs w:val="18"/>
          <w:color w:val="auto"/>
        </w:rPr>
        <w:t>. If storage tanks storing Hazardous Materials located on the Premises or the Project are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are hereafter placed on the Premises or the Project by Tenant, Tenant shall install, use, monitor, operate, maintain, upgrade and manage such storage tanks, maintain appropriate records, obtain and maintain appropriate insurance, implement reporting procedures, properly close any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 Notwithstanding anything to the contrary contained herein, Tenant shall have no right to use or install any underground storage tanks at the Project.</w:t>
      </w:r>
    </w:p>
    <w:p>
      <w:pPr>
        <w:spacing w:after="0" w:line="184" w:lineRule="exact"/>
        <w:rPr>
          <w:rFonts w:ascii="Arial" w:cs="Arial" w:eastAsia="Arial" w:hAnsi="Arial"/>
          <w:sz w:val="18"/>
          <w:szCs w:val="18"/>
          <w:color w:val="auto"/>
        </w:rPr>
      </w:pPr>
    </w:p>
    <w:p>
      <w:pPr>
        <w:jc w:val="both"/>
        <w:ind w:firstLine="872"/>
        <w:spacing w:after="0" w:line="242" w:lineRule="auto"/>
        <w:tabs>
          <w:tab w:leader="none" w:pos="168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Tenant’s Obligations</w:t>
      </w:r>
      <w:r>
        <w:rPr>
          <w:rFonts w:ascii="Arial" w:cs="Arial" w:eastAsia="Arial" w:hAnsi="Arial"/>
          <w:sz w:val="18"/>
          <w:szCs w:val="18"/>
          <w:color w:val="auto"/>
        </w:rPr>
        <w:t>. Tenant’s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spacing w:after="0" w:line="178" w:lineRule="exact"/>
        <w:rPr>
          <w:rFonts w:ascii="Arial" w:cs="Arial" w:eastAsia="Arial" w:hAnsi="Arial"/>
          <w:sz w:val="18"/>
          <w:szCs w:val="18"/>
          <w:color w:val="auto"/>
        </w:rPr>
      </w:pPr>
    </w:p>
    <w:p>
      <w:pPr>
        <w:jc w:val="both"/>
        <w:ind w:firstLine="872"/>
        <w:spacing w:after="0" w:line="253" w:lineRule="auto"/>
        <w:tabs>
          <w:tab w:leader="none" w:pos="173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w:t>
      </w:r>
      <w:r>
        <w:rPr>
          <w:rFonts w:ascii="Arial" w:cs="Arial" w:eastAsia="Arial" w:hAnsi="Arial"/>
          <w:sz w:val="18"/>
          <w:szCs w:val="18"/>
          <w:b w:val="1"/>
          <w:bCs w:val="1"/>
          <w:color w:val="auto"/>
        </w:rPr>
        <w:t xml:space="preserve"> </w:t>
      </w:r>
      <w:r>
        <w:rPr>
          <w:rFonts w:ascii="Arial" w:cs="Arial" w:eastAsia="Arial" w:hAnsi="Arial"/>
          <w:sz w:val="18"/>
          <w:szCs w:val="18"/>
          <w:color w:val="auto"/>
        </w:rPr>
        <w:t>statutes, regulations, ordinances, rules, codes, judgments, orders or other similar enactments of any Governmental Authority regulating or relating to health, safety, or environmental conditions on, under, or about the Premises or the Project, or the environment, including</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28</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186" w:lineRule="exact"/>
        <w:rPr>
          <w:sz w:val="20"/>
          <w:szCs w:val="20"/>
          <w:color w:val="auto"/>
        </w:rPr>
      </w:pPr>
    </w:p>
    <w:p>
      <w:pPr>
        <w:jc w:val="both"/>
        <w:ind w:firstLine="872"/>
        <w:spacing w:after="0"/>
        <w:tabs>
          <w:tab w:leader="none" w:pos="1762"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 Landlord shall not be in default hereunder unless Landlord fails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 any of its 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40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Notwithstanding the foregoing, if any claimed Landlord default hereunder will immediately, materially and adversely affect Tenant’s ability to conduct its business in the Premises (a “</w:t>
      </w:r>
      <w:r>
        <w:rPr>
          <w:rFonts w:ascii="Arial" w:cs="Arial" w:eastAsia="Arial" w:hAnsi="Arial"/>
          <w:sz w:val="18"/>
          <w:szCs w:val="18"/>
          <w:b w:val="1"/>
          <w:bCs w:val="1"/>
          <w:color w:val="auto"/>
        </w:rPr>
        <w:t>Material Landlord Default</w:t>
      </w:r>
      <w:r>
        <w:rPr>
          <w:rFonts w:ascii="Arial" w:cs="Arial" w:eastAsia="Arial" w:hAnsi="Arial"/>
          <w:sz w:val="18"/>
          <w:szCs w:val="18"/>
          <w:color w:val="auto"/>
        </w:rPr>
        <w:t>”), Tenant shall, as soon as reasonably possible, but in any event within 2 business days of obtaining knowledge of such claimed Material Landlord Default, give Landlord written notice of such claim which notice shall specifically state that a Material Landlord Default exists and telephonic notice to Tenant’s principal contact with Landlord. Landlord shall then have 2 business days to commence cure of such claimed Material Landlord Default and shall diligently prosecute such cure to completion. If such claimed Material Landlord Default is not a default by Landlord hereunder, Landlord shall be entitled to recover from Tenant, as Additional Rent, any costs incurred by Landlord in connection with such cure in excess of the costs, if any, that Landlord would otherwise have been liable to pay hereunder. If Landlord fails to commence cure of any claimed Material Landlord Default as provided above, Tenant may commence and prosecute such cure to completion, and shall be entitled to recover the costs of such cure (but not any consequential or other damages) from Landlord by way of reimbursement from Landlord with no right to offset against Rent, to the extent of Landlord’s obligation to cure such claimed Material Landlord Default hereunder, subject to the limitations set forth in the immediately preceding sentence of this paragraph and the other provisions of this Lease.</w:t>
      </w:r>
    </w:p>
    <w:p>
      <w:pPr>
        <w:spacing w:after="0" w:line="20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3" w:lineRule="exact"/>
        <w:rPr>
          <w:sz w:val="20"/>
          <w:szCs w:val="20"/>
          <w:color w:val="auto"/>
        </w:rPr>
      </w:pPr>
    </w:p>
    <w:p>
      <w:pPr>
        <w:jc w:val="both"/>
        <w:ind w:firstLine="872"/>
        <w:spacing w:after="0" w:line="242" w:lineRule="auto"/>
        <w:tabs>
          <w:tab w:leader="none" w:pos="1762"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and its agents, representatives, and contractors may enter the Premises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time to inspect the 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12 months of the Term, to</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29</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prospective tenants. Landlord may grant easements, make public dedications, and/or create restrictions on or about the Premises; provided that no such easement, dedication, designation or restriction materially, adversely affects Tenant’s use or occupancy of the Project or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 Landlord shall comply with Tenant’s reasonable security, confidentiality and safety requirements; provided, however, that Tenant has notified Landlord of such security, confidentiality and safety requirements prior to Landlord’s entry onto the Premises and provided further that in no event shall Tenant bar or prohibit access by Landlord and its employees, agents and contractors for the performance of the obligations of Landlord or the exercise of the rights of Landlord under this Lease.</w:t>
      </w:r>
    </w:p>
    <w:p>
      <w:pPr>
        <w:spacing w:after="0" w:line="20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Notwithstanding anything to the contrary set forth in this Lease, Tenant may designate certain limited areas of the Premises as “</w:t>
      </w:r>
      <w:r>
        <w:rPr>
          <w:rFonts w:ascii="Arial" w:cs="Arial" w:eastAsia="Arial" w:hAnsi="Arial"/>
          <w:sz w:val="18"/>
          <w:szCs w:val="18"/>
          <w:b w:val="1"/>
          <w:bCs w:val="1"/>
          <w:color w:val="auto"/>
        </w:rPr>
        <w:t>Secured Areas</w:t>
      </w:r>
      <w:r>
        <w:rPr>
          <w:rFonts w:ascii="Arial" w:cs="Arial" w:eastAsia="Arial" w:hAnsi="Arial"/>
          <w:sz w:val="18"/>
          <w:szCs w:val="18"/>
          <w:color w:val="auto"/>
        </w:rPr>
        <w:t>” should Tenant require such areas for the purpose of securing certain valuable property, experiments or confidential information or to protect against contamination or interference with experiments or other uses of the Premises. In connection with the foregoing, Landlord shall not enter such Secured Areas except in the event of an emergency or, otherwise at a time mutually acceptable to Landlord and Tenant which shall in no event be less than 10 business days’ notice to perform routine repairs or maintenance, provided, that Landlord shall only enter such Secured Area to perform maintenance and repairs to the extent (i) such repair or maintenance is required in order to maintain or repair the Building structure or Building Systems or other Building components required to be maintained by Landlord under this Lease, (ii) as required by applicable Legal Requirements, or (iii) in response to specific requests by Tenant and in accordance with a schedule reasonably designated by Tenant, subject to Landlord’s reasonable approval.</w:t>
      </w:r>
    </w:p>
    <w:p>
      <w:pPr>
        <w:spacing w:after="0" w:line="185" w:lineRule="exact"/>
        <w:rPr>
          <w:sz w:val="20"/>
          <w:szCs w:val="20"/>
          <w:color w:val="auto"/>
        </w:rPr>
      </w:pPr>
    </w:p>
    <w:p>
      <w:pPr>
        <w:jc w:val="both"/>
        <w:ind w:firstLine="872"/>
        <w:spacing w:after="0" w:line="238" w:lineRule="auto"/>
        <w:tabs>
          <w:tab w:leader="none" w:pos="1762"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in 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 Tenant shall be responsible for providing its own security for the Premises, at Tenant’s cost (which cost shall not be included as part of Operating Expenses). Landlord may, as reasonably determined by Landlord, provide certain security services with respect to the Project, the cost of which shall be included as part of Operating Expenses. Tenant may, at Tenant’s election, provide additional security services for the Project, at Tenant’s cost (which cost shall not be included as part of Operating Expenses).</w:t>
      </w:r>
    </w:p>
    <w:p>
      <w:pPr>
        <w:spacing w:after="0" w:line="185" w:lineRule="exact"/>
        <w:rPr>
          <w:rFonts w:ascii="Arial" w:cs="Arial" w:eastAsia="Arial" w:hAnsi="Arial"/>
          <w:sz w:val="18"/>
          <w:szCs w:val="18"/>
          <w:color w:val="auto"/>
        </w:rPr>
      </w:pPr>
    </w:p>
    <w:p>
      <w:pPr>
        <w:jc w:val="both"/>
        <w:ind w:firstLine="872"/>
        <w:spacing w:after="0"/>
        <w:tabs>
          <w:tab w:leader="none" w:pos="1762"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the payment of Rent, neither Landlord nor Tenant shall be held responsible or liable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delays in the performance of its obligations hereunder when caused by, 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local, regional or national epidemic or pandemic,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872"/>
        <w:spacing w:after="0" w:line="247" w:lineRule="auto"/>
        <w:tabs>
          <w:tab w:leader="none" w:pos="1762"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it has not dealt with any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other than CRESA, Cushman &amp; Wakefield and CBRE. Landlord and Tenant each hereby agree to indemnify and hold the other harmless from and against any claims by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30</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Broker, other than CRESA, Cushman &amp; Wakefield and CBRE, claiming a commission or other form of compensation by virtue of having dealt with Tenant or Landlord, as applicable, with regard to this leasing transaction. Landlord shall be responsible for all commissions due to CRESA, Cushman &amp; Wakefield and CBRE arising out of the execution of this Lease in accordance with the terms of a separate written agreement between each of CRESA, Cushman &amp; Wakefield and CBRE and Landlord.</w:t>
      </w:r>
    </w:p>
    <w:p>
      <w:pPr>
        <w:spacing w:after="0" w:line="183" w:lineRule="exact"/>
        <w:rPr>
          <w:sz w:val="20"/>
          <w:szCs w:val="20"/>
          <w:color w:val="auto"/>
        </w:rPr>
      </w:pPr>
    </w:p>
    <w:p>
      <w:pPr>
        <w:jc w:val="both"/>
        <w:ind w:firstLine="872"/>
        <w:spacing w:after="0" w:line="237" w:lineRule="auto"/>
        <w:tabs>
          <w:tab w:leader="none" w:pos="1762"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83" w:lineRule="exact"/>
        <w:rPr>
          <w:rFonts w:ascii="Arial" w:cs="Arial" w:eastAsia="Arial" w:hAnsi="Arial"/>
          <w:sz w:val="18"/>
          <w:szCs w:val="18"/>
          <w:color w:val="auto"/>
        </w:rPr>
      </w:pPr>
    </w:p>
    <w:p>
      <w:pPr>
        <w:jc w:val="both"/>
        <w:ind w:firstLine="872"/>
        <w:spacing w:after="0" w:line="244" w:lineRule="auto"/>
        <w:tabs>
          <w:tab w:leader="none" w:pos="1762"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 laws,</w:t>
      </w:r>
      <w:r>
        <w:rPr>
          <w:rFonts w:ascii="Arial" w:cs="Arial" w:eastAsia="Arial" w:hAnsi="Arial"/>
          <w:sz w:val="18"/>
          <w:szCs w:val="18"/>
          <w:b w:val="1"/>
          <w:bCs w:val="1"/>
          <w:color w:val="auto"/>
        </w:rPr>
        <w:t xml:space="preserve"> </w:t>
      </w:r>
      <w:r>
        <w:rPr>
          <w:rFonts w:ascii="Arial" w:cs="Arial" w:eastAsia="Arial" w:hAnsi="Arial"/>
          <w:sz w:val="18"/>
          <w:szCs w:val="18"/>
          <w:color w:val="auto"/>
        </w:rPr>
        <w:t>then and 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6" w:lineRule="exact"/>
        <w:rPr>
          <w:rFonts w:ascii="Arial" w:cs="Arial" w:eastAsia="Arial" w:hAnsi="Arial"/>
          <w:sz w:val="18"/>
          <w:szCs w:val="18"/>
          <w:color w:val="auto"/>
        </w:rPr>
      </w:pPr>
    </w:p>
    <w:p>
      <w:pPr>
        <w:jc w:val="both"/>
        <w:ind w:firstLine="872"/>
        <w:spacing w:after="0"/>
        <w:tabs>
          <w:tab w:leader="none" w:pos="1762"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Tenant shall not, without the prior written consent of Landlord,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reasonable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w:t>
      </w:r>
    </w:p>
    <w:p>
      <w:pPr>
        <w:spacing w:after="0" w:line="20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8"/>
          <w:szCs w:val="18"/>
          <w:color w:val="auto"/>
        </w:rPr>
        <w:t xml:space="preserve">Notwithstanding anything to the contrary contained herein, Tenant shall have exclusive right, at Tenant’s sole cost and expense, to display signage bearing Tenant’s name and/or logo on (a) the façade of the Building, and (b) above the main entrance doors, each in the location and pursuant to the specifications designated on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Building Signs</w:t>
      </w:r>
      <w:r>
        <w:rPr>
          <w:rFonts w:ascii="Arial" w:cs="Arial" w:eastAsia="Arial" w:hAnsi="Arial"/>
          <w:sz w:val="18"/>
          <w:szCs w:val="18"/>
          <w:color w:val="auto"/>
        </w:rPr>
        <w:t xml:space="preserve">”). Notwithstanding the foregoing, Tenant acknowledges and agrees that the Building Signs including, without limitation, the size, color and type, shall be subject to Landlord’s prior written approval, which shall not be unreasonably withheld and shall be consistent with the designs reflected on </w:t>
      </w:r>
      <w:r>
        <w:rPr>
          <w:rFonts w:ascii="Arial" w:cs="Arial" w:eastAsia="Arial" w:hAnsi="Arial"/>
          <w:sz w:val="18"/>
          <w:szCs w:val="18"/>
          <w:b w:val="1"/>
          <w:bCs w:val="1"/>
          <w:color w:val="auto"/>
        </w:rPr>
        <w:t>Exhibit H</w:t>
      </w:r>
      <w:r>
        <w:rPr>
          <w:rFonts w:ascii="Arial" w:cs="Arial" w:eastAsia="Arial" w:hAnsi="Arial"/>
          <w:sz w:val="18"/>
          <w:szCs w:val="18"/>
          <w:color w:val="auto"/>
        </w:rPr>
        <w:t>, Landlord’s signage program at the Project and applicable Legal Requirements. Tenant shall be responsible, at Tenant’s sole cost and expense, for the fabrication, installation, maintenance of the Building Signs, for the removal of the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Building Signs at the expiration or earlier termination of this Lease and for the repair of all damage resulting from such removal.</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 xml:space="preserve">Tenant shall also have the exclusive right to display, at Tenant’s sole and cost and expense, Tenant’s name and/or logo on the monument sign serving the Building in the location and pursuant to the specifications designated on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w:t>
      </w:r>
      <w:r>
        <w:rPr>
          <w:rFonts w:ascii="Arial" w:cs="Arial" w:eastAsia="Arial" w:hAnsi="Arial"/>
          <w:sz w:val="18"/>
          <w:szCs w:val="18"/>
          <w:b w:val="1"/>
          <w:bCs w:val="1"/>
          <w:color w:val="auto"/>
        </w:rPr>
        <w:t>Monument Sign</w:t>
      </w:r>
      <w:r>
        <w:rPr>
          <w:rFonts w:ascii="Arial" w:cs="Arial" w:eastAsia="Arial" w:hAnsi="Arial"/>
          <w:sz w:val="18"/>
          <w:szCs w:val="18"/>
          <w:color w:val="auto"/>
        </w:rPr>
        <w:t>”). Tenant acknowledges and agrees that the Tenant’s Monument Sign, including, without limitation, the location, size, color and type, shall be subject to Landlord’s prior written approval, which shall not be unreasonably withheld, and shall be subject to and in compliance with applicable Legal Requirements and Landlord’s Project standards. The design, fabrication and installation of the Tenant’s Monument Sign shall be paid for by Landlord. Tenant shall be responsible, at Tenant’s sole cost and expense, for the fabrication, installation, maintenance of Tenant’s Monument Sign, the removal of the Tenant’s Monument Sign at the expiration or earlier termination of the Term and for the repair of all damage resulting from such removal.</w:t>
      </w:r>
    </w:p>
    <w:p>
      <w:pPr>
        <w:spacing w:after="0" w:line="186" w:lineRule="exact"/>
        <w:rPr>
          <w:sz w:val="20"/>
          <w:szCs w:val="20"/>
          <w:color w:val="auto"/>
        </w:rPr>
      </w:pPr>
    </w:p>
    <w:p>
      <w:pPr>
        <w:ind w:left="1760" w:hanging="888"/>
        <w:spacing w:after="0"/>
        <w:tabs>
          <w:tab w:leader="none" w:pos="176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this Lease upon the following terms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0" w:lineRule="exact"/>
        <w:rPr>
          <w:sz w:val="20"/>
          <w:szCs w:val="20"/>
          <w:color w:val="auto"/>
        </w:rPr>
      </w:pPr>
    </w:p>
    <w:p>
      <w:pPr>
        <w:jc w:val="both"/>
        <w:ind w:firstLine="872"/>
        <w:spacing w:after="0" w:line="247" w:lineRule="auto"/>
        <w:tabs>
          <w:tab w:leader="none" w:pos="1731"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Extension Right</w:t>
      </w:r>
      <w:r>
        <w:rPr>
          <w:rFonts w:ascii="Arial" w:cs="Arial" w:eastAsia="Arial" w:hAnsi="Arial"/>
          <w:sz w:val="18"/>
          <w:szCs w:val="18"/>
          <w:color w:val="auto"/>
        </w:rPr>
        <w:t>. Tenant shall have 1 right (the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Premises for 120 months (the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and the Work Letter) by giving Landlord written notice of its election to exercise the Extension Right at least 12 months prior, and no earlier than 18 months prior, to the expiration of the Base Term of this Lease.</w:t>
      </w:r>
    </w:p>
    <w:p>
      <w:pPr>
        <w:spacing w:after="0" w:line="19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18"/>
          <w:szCs w:val="18"/>
          <w:color w:val="auto"/>
        </w:rPr>
        <w:t>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at Landlord’s option either (i) the rate for space of not less than 100,000 rentable square feet that Landlord and affiliates of Landlord have accepted at projects in the Scripps Ranch submarket (the “</w:t>
      </w:r>
      <w:r>
        <w:rPr>
          <w:rFonts w:ascii="Arial" w:cs="Arial" w:eastAsia="Arial" w:hAnsi="Arial"/>
          <w:sz w:val="18"/>
          <w:szCs w:val="18"/>
          <w:b w:val="1"/>
          <w:bCs w:val="1"/>
          <w:color w:val="auto"/>
        </w:rPr>
        <w:t>Scripps Ranch Submarket</w:t>
      </w:r>
      <w:r>
        <w:rPr>
          <w:rFonts w:ascii="Arial" w:cs="Arial" w:eastAsia="Arial" w:hAnsi="Arial"/>
          <w:sz w:val="18"/>
          <w:szCs w:val="18"/>
          <w:color w:val="auto"/>
        </w:rPr>
        <w:t xml:space="preserve">”) in comparable Class A laboratory/office buildings during the 12 month period prior to Tenant’s exercise of the Extension Right from non-equity (i.e., not being offered equity in the buildings) and nonaffiliated tenants of similar financial strength, or (ii) the rate that comparable landlords of comparable buildings have accepted in current transactions for space of not less than 100,000 rentable square feet from non-equity (i.e., not being offered equity in the buildings) and nonaffiliated tenants of similar financial strength, in either case for space of comparable quality (including the Tenant’s Work, Alterations and other improvements) and floor height in comparable in laboratory/office buildings in the 10 mile radius of the Scripps Ranch Submarket (including those owned by Landlord or affiliates of Landlord) for a comparable term, with the determination of the Market Rate to take into account all relevant factors, including tenant inducements, views, available amenities (including the Submarket Amenities, as defined in </w:t>
      </w:r>
      <w:r>
        <w:rPr>
          <w:rFonts w:ascii="Arial" w:cs="Arial" w:eastAsia="Arial" w:hAnsi="Arial"/>
          <w:sz w:val="18"/>
          <w:szCs w:val="18"/>
          <w:u w:val="single" w:color="auto"/>
          <w:color w:val="auto"/>
        </w:rPr>
        <w:t>Section 40</w:t>
      </w:r>
      <w:r>
        <w:rPr>
          <w:rFonts w:ascii="Arial" w:cs="Arial" w:eastAsia="Arial" w:hAnsi="Arial"/>
          <w:sz w:val="18"/>
          <w:szCs w:val="18"/>
          <w:color w:val="auto"/>
        </w:rPr>
        <w:t>), age of the Building, age of mechanical systems serving the Premises, parking costs, leasing commissions, allowances or concessions, if any.</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 xml:space="preserve">If, on or before the date which is 270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this Lease for the Extension Term.</w:t>
      </w:r>
    </w:p>
    <w:p>
      <w:pPr>
        <w:spacing w:after="0" w:line="180" w:lineRule="exact"/>
        <w:rPr>
          <w:sz w:val="20"/>
          <w:szCs w:val="20"/>
          <w:color w:val="auto"/>
        </w:rPr>
      </w:pPr>
    </w:p>
    <w:p>
      <w:pPr>
        <w:ind w:left="1740" w:hanging="868"/>
        <w:spacing w:after="0"/>
        <w:tabs>
          <w:tab w:leader="none" w:pos="174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jc w:val="both"/>
        <w:ind w:left="880" w:firstLine="789"/>
        <w:spacing w:after="0"/>
        <w:tabs>
          <w:tab w:leader="none" w:pos="2485"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 Proposal</w:t>
      </w:r>
      <w:r>
        <w:rPr>
          <w:rFonts w:ascii="Arial" w:cs="Arial" w:eastAsia="Arial" w:hAnsi="Arial"/>
          <w:sz w:val="18"/>
          <w:szCs w:val="18"/>
          <w:color w:val="auto"/>
        </w:rPr>
        <w:t>”). If either party fails to timely submit an Extension Proposal, the other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32</w:t>
      </w:r>
    </w:p>
    <w:p>
      <w:pPr>
        <w:spacing w:after="0" w:line="17" w:lineRule="exact"/>
        <w:rPr>
          <w:sz w:val="20"/>
          <w:szCs w:val="20"/>
          <w:color w:val="auto"/>
        </w:rPr>
      </w:pPr>
    </w:p>
    <w:p>
      <w:pPr>
        <w:jc w:val="both"/>
        <w:ind w:left="880"/>
        <w:spacing w:after="0" w:line="236" w:lineRule="auto"/>
        <w:rPr>
          <w:sz w:val="20"/>
          <w:szCs w:val="20"/>
          <w:color w:val="auto"/>
        </w:rPr>
      </w:pPr>
      <w:r>
        <w:rPr>
          <w:rFonts w:ascii="Arial" w:cs="Arial" w:eastAsia="Arial" w:hAnsi="Arial"/>
          <w:sz w:val="18"/>
          <w:szCs w:val="18"/>
          <w:color w:val="auto"/>
        </w:rPr>
        <w:t>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206" w:lineRule="exact"/>
        <w:rPr>
          <w:sz w:val="20"/>
          <w:szCs w:val="20"/>
          <w:color w:val="auto"/>
        </w:rPr>
      </w:pPr>
    </w:p>
    <w:p>
      <w:pPr>
        <w:jc w:val="both"/>
        <w:ind w:left="880" w:firstLine="789"/>
        <w:spacing w:after="0" w:line="236" w:lineRule="auto"/>
        <w:tabs>
          <w:tab w:leader="none" w:pos="252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84" w:lineRule="exact"/>
        <w:rPr>
          <w:rFonts w:ascii="Arial" w:cs="Arial" w:eastAsia="Arial" w:hAnsi="Arial"/>
          <w:sz w:val="18"/>
          <w:szCs w:val="18"/>
          <w:color w:val="auto"/>
        </w:rPr>
      </w:pPr>
    </w:p>
    <w:p>
      <w:pPr>
        <w:jc w:val="both"/>
        <w:ind w:left="880" w:firstLine="789"/>
        <w:spacing w:after="0" w:line="243" w:lineRule="auto"/>
        <w:tabs>
          <w:tab w:leader="none" w:pos="256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San Diego metropolitan area, or</w:t>
      </w:r>
    </w:p>
    <w:p>
      <w:pPr>
        <w:jc w:val="both"/>
        <w:ind w:left="880" w:hanging="8"/>
        <w:spacing w:after="0" w:line="238" w:lineRule="auto"/>
        <w:tabs>
          <w:tab w:leader="none" w:pos="117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licensed commercial real estate broker with not less than 15 years’ experience representing landlords and/or tenants in the leasing of high tech or life sciences space in the greater San Diego metropolitan area, (ii) devoting substantially all of their time to professional appraisal or brokerage work, as applicable, at the time of appointment and (iii) be in all respects impartial and disinterested.</w:t>
      </w:r>
    </w:p>
    <w:p>
      <w:pPr>
        <w:spacing w:after="0" w:line="183" w:lineRule="exact"/>
        <w:rPr>
          <w:sz w:val="20"/>
          <w:szCs w:val="20"/>
          <w:color w:val="auto"/>
        </w:rPr>
      </w:pPr>
    </w:p>
    <w:p>
      <w:pPr>
        <w:jc w:val="both"/>
        <w:ind w:firstLine="872"/>
        <w:spacing w:after="0" w:line="253" w:lineRule="auto"/>
        <w:tabs>
          <w:tab w:leader="none" w:pos="1721"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are not assignable without Landlord’s consent,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granted or withheld in Landlord’s sole discretion separate and apart from any consent by Landlord to an assignment of Tenant’s interest in this Lease, except that they may be assigned in connection with any assignment of this Lease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firstLine="872"/>
        <w:spacing w:after="0" w:line="271" w:lineRule="auto"/>
        <w:tabs>
          <w:tab w:leader="none" w:pos="1731"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at Landlord’s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not be in effect and Tenant may not exercise the Extension Right:</w:t>
      </w:r>
    </w:p>
    <w:p>
      <w:pPr>
        <w:spacing w:after="0" w:line="175" w:lineRule="exact"/>
        <w:rPr>
          <w:rFonts w:ascii="Arial" w:cs="Arial" w:eastAsia="Arial" w:hAnsi="Arial"/>
          <w:sz w:val="18"/>
          <w:szCs w:val="18"/>
          <w:color w:val="auto"/>
        </w:rPr>
      </w:pPr>
    </w:p>
    <w:p>
      <w:pPr>
        <w:ind w:left="2480" w:hanging="811"/>
        <w:spacing w:after="0"/>
        <w:tabs>
          <w:tab w:leader="none" w:pos="24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211" w:lineRule="exact"/>
        <w:rPr>
          <w:rFonts w:ascii="Arial" w:cs="Arial" w:eastAsia="Arial" w:hAnsi="Arial"/>
          <w:sz w:val="18"/>
          <w:szCs w:val="18"/>
          <w:color w:val="auto"/>
        </w:rPr>
      </w:pPr>
    </w:p>
    <w:p>
      <w:pPr>
        <w:ind w:left="880" w:right="20" w:firstLine="789"/>
        <w:spacing w:after="0" w:line="246" w:lineRule="auto"/>
        <w:tabs>
          <w:tab w:leader="none" w:pos="252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Tenant is then subleasing (other than pursuant to a Permitted Assignment) at least 50% of the Premises (excluding Permitted Assignments); or</w:t>
      </w:r>
    </w:p>
    <w:p>
      <w:pPr>
        <w:spacing w:after="0" w:line="196" w:lineRule="exact"/>
        <w:rPr>
          <w:rFonts w:ascii="Arial" w:cs="Arial" w:eastAsia="Arial" w:hAnsi="Arial"/>
          <w:sz w:val="18"/>
          <w:szCs w:val="18"/>
          <w:color w:val="auto"/>
        </w:rPr>
      </w:pPr>
    </w:p>
    <w:p>
      <w:pPr>
        <w:jc w:val="both"/>
        <w:ind w:left="880" w:firstLine="789"/>
        <w:spacing w:after="0"/>
        <w:tabs>
          <w:tab w:leader="none" w:pos="256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33</w:t>
      </w:r>
    </w:p>
    <w:p>
      <w:pPr>
        <w:spacing w:after="0" w:line="17" w:lineRule="exact"/>
        <w:rPr>
          <w:sz w:val="20"/>
          <w:szCs w:val="20"/>
          <w:color w:val="auto"/>
        </w:rPr>
      </w:pPr>
    </w:p>
    <w:p>
      <w:pPr>
        <w:ind w:right="20" w:firstLine="872"/>
        <w:spacing w:after="0" w:line="246" w:lineRule="auto"/>
        <w:tabs>
          <w:tab w:leader="none" w:pos="1731"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enlarged by reason of Tenant’s inability to exercise the Extension Right.</w:t>
      </w:r>
    </w:p>
    <w:p>
      <w:pPr>
        <w:spacing w:after="0" w:line="174" w:lineRule="exact"/>
        <w:rPr>
          <w:rFonts w:ascii="Arial" w:cs="Arial" w:eastAsia="Arial" w:hAnsi="Arial"/>
          <w:sz w:val="18"/>
          <w:szCs w:val="18"/>
          <w:color w:val="auto"/>
        </w:rPr>
      </w:pPr>
    </w:p>
    <w:p>
      <w:pPr>
        <w:jc w:val="both"/>
        <w:ind w:firstLine="872"/>
        <w:spacing w:after="0" w:line="247" w:lineRule="auto"/>
        <w:tabs>
          <w:tab w:leader="none" w:pos="1681"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 shall, at Landlord’s option, terminate and be of no further force or effect even after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due and timely exercise of the Extension Right, if, after such exercise, but prior to the commencement date of the Extension Term,</w:t>
      </w:r>
    </w:p>
    <w:p>
      <w:pPr>
        <w:ind w:firstLine="8"/>
        <w:spacing w:after="0" w:line="246" w:lineRule="auto"/>
        <w:tabs>
          <w:tab w:leader="none" w:pos="21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75" w:lineRule="exact"/>
        <w:rPr>
          <w:sz w:val="20"/>
          <w:szCs w:val="20"/>
          <w:color w:val="auto"/>
        </w:rPr>
      </w:pPr>
    </w:p>
    <w:p>
      <w:pPr>
        <w:ind w:left="1760" w:hanging="888"/>
        <w:spacing w:after="0"/>
        <w:tabs>
          <w:tab w:leader="none" w:pos="176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Scripps Ranch Submarket Amenities</w:t>
      </w:r>
      <w:r>
        <w:rPr>
          <w:rFonts w:ascii="Arial" w:cs="Arial" w:eastAsia="Arial" w:hAnsi="Arial"/>
          <w:sz w:val="18"/>
          <w:szCs w:val="18"/>
          <w:color w:val="auto"/>
        </w:rPr>
        <w:t>.</w:t>
      </w:r>
    </w:p>
    <w:p>
      <w:pPr>
        <w:spacing w:after="0" w:line="234" w:lineRule="exact"/>
        <w:rPr>
          <w:sz w:val="20"/>
          <w:szCs w:val="20"/>
          <w:color w:val="auto"/>
        </w:rPr>
      </w:pPr>
    </w:p>
    <w:p>
      <w:pPr>
        <w:jc w:val="both"/>
        <w:ind w:firstLine="872"/>
        <w:spacing w:after="0" w:line="235" w:lineRule="auto"/>
        <w:tabs>
          <w:tab w:leader="none" w:pos="173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Section 40</w:t>
      </w:r>
      <w:r>
        <w:rPr>
          <w:rFonts w:ascii="Arial" w:cs="Arial" w:eastAsia="Arial" w:hAnsi="Arial"/>
          <w:sz w:val="18"/>
          <w:szCs w:val="18"/>
          <w:color w:val="auto"/>
        </w:rPr>
        <w:t>, Tenant acknowledges and agrees that certain amenities serving the Project (the “</w:t>
      </w:r>
      <w:r>
        <w:rPr>
          <w:rFonts w:ascii="Arial" w:cs="Arial" w:eastAsia="Arial" w:hAnsi="Arial"/>
          <w:sz w:val="18"/>
          <w:szCs w:val="18"/>
          <w:b w:val="1"/>
          <w:bCs w:val="1"/>
          <w:color w:val="auto"/>
        </w:rPr>
        <w:t>Submarket Amenities</w:t>
      </w:r>
      <w:r>
        <w:rPr>
          <w:rFonts w:ascii="Arial" w:cs="Arial" w:eastAsia="Arial" w:hAnsi="Arial"/>
          <w:sz w:val="18"/>
          <w:szCs w:val="18"/>
          <w:color w:val="auto"/>
        </w:rPr>
        <w:t xml:space="preserve">”), which Submarket Amenities shall be consistent in quality to other amenities owned or operated by Landlord or affiliates of Landlord in San Diego County including the amenities located at The Alexandria (i.e., 10996 Torreyana Road, San Diego, California), subject to the issuance of the requisite permits and approvals from the City, and shall include shared conference facilities and food amenities similar in quality to those depicted on </w:t>
      </w:r>
      <w:r>
        <w:rPr>
          <w:rFonts w:ascii="Arial" w:cs="Arial" w:eastAsia="Arial" w:hAnsi="Arial"/>
          <w:sz w:val="18"/>
          <w:szCs w:val="18"/>
          <w:b w:val="1"/>
          <w:bCs w:val="1"/>
          <w:color w:val="auto"/>
        </w:rPr>
        <w:t>Exhibit J</w:t>
      </w:r>
      <w:r>
        <w:rPr>
          <w:rFonts w:ascii="Arial" w:cs="Arial" w:eastAsia="Arial" w:hAnsi="Arial"/>
          <w:sz w:val="18"/>
          <w:szCs w:val="18"/>
          <w:color w:val="auto"/>
        </w:rPr>
        <w:t xml:space="preserve"> attached hereto, an indoor fitness center and outdoor fitness area (such as a soccer field), may be located at other projects in the Scripps Ranch Market (any such project, a “</w:t>
      </w:r>
      <w:r>
        <w:rPr>
          <w:rFonts w:ascii="Arial" w:cs="Arial" w:eastAsia="Arial" w:hAnsi="Arial"/>
          <w:sz w:val="18"/>
          <w:szCs w:val="18"/>
          <w:b w:val="1"/>
          <w:bCs w:val="1"/>
          <w:color w:val="auto"/>
        </w:rPr>
        <w:t>Submarket Project</w:t>
      </w:r>
      <w:r>
        <w:rPr>
          <w:rFonts w:ascii="Arial" w:cs="Arial" w:eastAsia="Arial" w:hAnsi="Arial"/>
          <w:sz w:val="18"/>
          <w:szCs w:val="18"/>
          <w:color w:val="auto"/>
        </w:rPr>
        <w:t>”) owned now or in the future by one or more affiliates of Landlord (each, a “</w:t>
      </w:r>
      <w:r>
        <w:rPr>
          <w:rFonts w:ascii="Arial" w:cs="Arial" w:eastAsia="Arial" w:hAnsi="Arial"/>
          <w:sz w:val="18"/>
          <w:szCs w:val="18"/>
          <w:b w:val="1"/>
          <w:bCs w:val="1"/>
          <w:color w:val="auto"/>
        </w:rPr>
        <w:t>Submarket Affiliate</w:t>
      </w:r>
      <w:r>
        <w:rPr>
          <w:rFonts w:ascii="Arial" w:cs="Arial" w:eastAsia="Arial" w:hAnsi="Arial"/>
          <w:sz w:val="18"/>
          <w:szCs w:val="18"/>
          <w:color w:val="auto"/>
        </w:rPr>
        <w:t>”) for non-exclusive use by Tenant (i) occupants of the Submarket Projects, and (ii) any other parties permitted by the Submarket Affiliates (collectively, “</w:t>
      </w:r>
      <w:r>
        <w:rPr>
          <w:rFonts w:ascii="Arial" w:cs="Arial" w:eastAsia="Arial" w:hAnsi="Arial"/>
          <w:sz w:val="18"/>
          <w:szCs w:val="18"/>
          <w:b w:val="1"/>
          <w:bCs w:val="1"/>
          <w:color w:val="auto"/>
        </w:rPr>
        <w:t>Users</w:t>
      </w:r>
      <w:r>
        <w:rPr>
          <w:rFonts w:ascii="Arial" w:cs="Arial" w:eastAsia="Arial" w:hAnsi="Arial"/>
          <w:sz w:val="18"/>
          <w:szCs w:val="18"/>
          <w:color w:val="auto"/>
        </w:rPr>
        <w:t>”). All Submarket Amenities shall be Class A in quality. Landlord, any Submarket Affiliates, ARE and all affiliates of Landlord, Submarket Affiliates and ARE may be referred to collectively herein as the “</w:t>
      </w:r>
      <w:r>
        <w:rPr>
          <w:rFonts w:ascii="Arial" w:cs="Arial" w:eastAsia="Arial" w:hAnsi="Arial"/>
          <w:sz w:val="18"/>
          <w:szCs w:val="18"/>
          <w:b w:val="1"/>
          <w:bCs w:val="1"/>
          <w:color w:val="auto"/>
        </w:rPr>
        <w:t>ARE Submarket Parties</w:t>
      </w:r>
      <w:r>
        <w:rPr>
          <w:rFonts w:ascii="Arial" w:cs="Arial" w:eastAsia="Arial" w:hAnsi="Arial"/>
          <w:sz w:val="18"/>
          <w:szCs w:val="18"/>
          <w:color w:val="auto"/>
        </w:rPr>
        <w:t xml:space="preserve">.” Each applicable Submarket Affiliate shall have the sole right to determine all matters related to the Submarket Amenities located at the Submarket Project owned by such Submarket Affiliate including, without limitation, relating to the type, design and construction thereof. Tenant acknowledges and agrees that Landlord has not made any representations or warranties regarding the development or availability of any Submarket Amenities and that Tenant is not entering into this Lease relying on the construction or availability of any Submarket Amenities or with an expectation that any Submarket Amenities will ever be constructed and/or made available to Tenant. As used herein, “Scripps Ranch Market” shall mean the area reflected on </w:t>
      </w:r>
      <w:r>
        <w:rPr>
          <w:rFonts w:ascii="Arial" w:cs="Arial" w:eastAsia="Arial" w:hAnsi="Arial"/>
          <w:sz w:val="18"/>
          <w:szCs w:val="18"/>
          <w:b w:val="1"/>
          <w:bCs w:val="1"/>
          <w:color w:val="auto"/>
        </w:rPr>
        <w:t>Exhibit K</w:t>
      </w:r>
      <w:r>
        <w:rPr>
          <w:rFonts w:ascii="Arial" w:cs="Arial" w:eastAsia="Arial" w:hAnsi="Arial"/>
          <w:sz w:val="18"/>
          <w:szCs w:val="18"/>
          <w:color w:val="auto"/>
        </w:rPr>
        <w:t xml:space="preserve"> attached hereto.</w:t>
      </w:r>
    </w:p>
    <w:p>
      <w:pPr>
        <w:spacing w:after="0" w:line="191" w:lineRule="exact"/>
        <w:rPr>
          <w:rFonts w:ascii="Arial" w:cs="Arial" w:eastAsia="Arial" w:hAnsi="Arial"/>
          <w:sz w:val="18"/>
          <w:szCs w:val="18"/>
          <w:color w:val="auto"/>
        </w:rPr>
      </w:pPr>
    </w:p>
    <w:p>
      <w:pPr>
        <w:jc w:val="both"/>
        <w:ind w:firstLine="872"/>
        <w:spacing w:after="0" w:line="244" w:lineRule="auto"/>
        <w:tabs>
          <w:tab w:leader="none" w:pos="1731"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License</w:t>
      </w:r>
      <w:r>
        <w:rPr>
          <w:rFonts w:ascii="Arial" w:cs="Arial" w:eastAsia="Arial" w:hAnsi="Arial"/>
          <w:sz w:val="18"/>
          <w:szCs w:val="18"/>
          <w:color w:val="auto"/>
        </w:rPr>
        <w:t>. Commencing on the later of the Rent Commencement Date or the date that any Submarket Amenities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made available for use by Tenant, and so long as the applicable Submarket Project and the Project continue to be owned by affiliates of ARE, Tenant shall have the non-exclusive right to the use of the available Submarket Amenities in common with other Users pursuant to the terms of this </w:t>
      </w:r>
      <w:r>
        <w:rPr>
          <w:rFonts w:ascii="Arial" w:cs="Arial" w:eastAsia="Arial" w:hAnsi="Arial"/>
          <w:sz w:val="18"/>
          <w:szCs w:val="18"/>
          <w:u w:val="single" w:color="auto"/>
          <w:color w:val="auto"/>
        </w:rPr>
        <w:t>Section 40</w:t>
      </w:r>
      <w:r>
        <w:rPr>
          <w:rFonts w:ascii="Arial" w:cs="Arial" w:eastAsia="Arial" w:hAnsi="Arial"/>
          <w:sz w:val="18"/>
          <w:szCs w:val="18"/>
          <w:color w:val="auto"/>
        </w:rPr>
        <w:t>. To the extent that the Submarket Amenities include a fitness center, 247 fitness center passes shall be issued to Tenant for employees of Tenant.</w:t>
      </w:r>
    </w:p>
    <w:p>
      <w:pPr>
        <w:spacing w:after="0" w:line="176" w:lineRule="exact"/>
        <w:rPr>
          <w:rFonts w:ascii="Arial" w:cs="Arial" w:eastAsia="Arial" w:hAnsi="Arial"/>
          <w:sz w:val="18"/>
          <w:szCs w:val="18"/>
          <w:color w:val="auto"/>
        </w:rPr>
      </w:pPr>
    </w:p>
    <w:p>
      <w:pPr>
        <w:jc w:val="both"/>
        <w:ind w:firstLine="872"/>
        <w:spacing w:after="0" w:line="238" w:lineRule="auto"/>
        <w:tabs>
          <w:tab w:leader="none" w:pos="1721"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Submarket Amenities Fee</w:t>
      </w:r>
      <w:r>
        <w:rPr>
          <w:rFonts w:ascii="Arial" w:cs="Arial" w:eastAsia="Arial" w:hAnsi="Arial"/>
          <w:sz w:val="18"/>
          <w:szCs w:val="18"/>
          <w:color w:val="auto"/>
        </w:rPr>
        <w:t>. Commencing on the later of (a) the Rent Commencement Date, or (b) the date that not</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10,000 square feet of Submarket Amenities (which shall include share conference facilities, food amenities and an indoor fitness center) are made available within the Scripps Ranch Market for use by Tenant (such later date being referred to herein as the “</w:t>
      </w:r>
      <w:r>
        <w:rPr>
          <w:rFonts w:ascii="Arial" w:cs="Arial" w:eastAsia="Arial" w:hAnsi="Arial"/>
          <w:sz w:val="18"/>
          <w:szCs w:val="18"/>
          <w:b w:val="1"/>
          <w:bCs w:val="1"/>
          <w:color w:val="auto"/>
        </w:rPr>
        <w:t>Amenities</w:t>
      </w:r>
      <w:r>
        <w:rPr>
          <w:rFonts w:ascii="Arial" w:cs="Arial" w:eastAsia="Arial" w:hAnsi="Arial"/>
          <w:sz w:val="18"/>
          <w:szCs w:val="18"/>
          <w:color w:val="auto"/>
        </w:rPr>
        <w:t xml:space="preserve"> </w:t>
      </w:r>
      <w:r>
        <w:rPr>
          <w:rFonts w:ascii="Arial" w:cs="Arial" w:eastAsia="Arial" w:hAnsi="Arial"/>
          <w:sz w:val="18"/>
          <w:szCs w:val="18"/>
          <w:b w:val="1"/>
          <w:bCs w:val="1"/>
          <w:color w:val="auto"/>
        </w:rPr>
        <w:t>Fee Commencement Date</w:t>
      </w:r>
      <w:r>
        <w:rPr>
          <w:rFonts w:ascii="Arial" w:cs="Arial" w:eastAsia="Arial" w:hAnsi="Arial"/>
          <w:sz w:val="18"/>
          <w:szCs w:val="18"/>
          <w:color w:val="auto"/>
        </w:rPr>
        <w:t>”), Tenant shall commence paying Landlord a fixed fee during the Base Term equal to $3.00 per rentable square</w:t>
      </w:r>
      <w:r>
        <w:rPr>
          <w:rFonts w:ascii="Arial" w:cs="Arial" w:eastAsia="Arial" w:hAnsi="Arial"/>
          <w:sz w:val="18"/>
          <w:szCs w:val="18"/>
          <w:b w:val="1"/>
          <w:bCs w:val="1"/>
          <w:color w:val="auto"/>
        </w:rPr>
        <w:t xml:space="preserve"> </w:t>
      </w:r>
      <w:r>
        <w:rPr>
          <w:rFonts w:ascii="Arial" w:cs="Arial" w:eastAsia="Arial" w:hAnsi="Arial"/>
          <w:sz w:val="18"/>
          <w:szCs w:val="18"/>
          <w:color w:val="auto"/>
        </w:rPr>
        <w:t>foot of the Premises per year (“</w:t>
      </w:r>
      <w:r>
        <w:rPr>
          <w:rFonts w:ascii="Arial" w:cs="Arial" w:eastAsia="Arial" w:hAnsi="Arial"/>
          <w:sz w:val="18"/>
          <w:szCs w:val="18"/>
          <w:b w:val="1"/>
          <w:bCs w:val="1"/>
          <w:color w:val="auto"/>
        </w:rPr>
        <w:t>Submarket Amenities Fee</w:t>
      </w:r>
      <w:r>
        <w:rPr>
          <w:rFonts w:ascii="Arial" w:cs="Arial" w:eastAsia="Arial" w:hAnsi="Arial"/>
          <w:sz w:val="18"/>
          <w:szCs w:val="18"/>
          <w:color w:val="auto"/>
        </w:rPr>
        <w:t>”), which Submarket Amenities Fee shall by payable on the first day of each month during the Term whether or not Tenant elects to use any or all of the Submarket Amenities. For the avoidance of doubt, no portion of the Submarket Amenities shall be available for use by Tenant prior to the Amenities Fee Commencement Date. The Submarket Amenities Fee shall be increased annually on each anniversary of the Amenities Fee Commencement Date by 3% during the Term, including during the Extension Term. Following the Amenities Fee Commencement Date, subject to (i) Force Majeure, (ii) casualty and condemnation, (iii) up to 180 days for alterations, improvements, expansions and/or renovations and/or substitution of certain Submarket Amenities, if all or a portion of the then-existing Submarket Amenities become materially unavailable (“</w:t>
      </w:r>
      <w:r>
        <w:rPr>
          <w:rFonts w:ascii="Arial" w:cs="Arial" w:eastAsia="Arial" w:hAnsi="Arial"/>
          <w:sz w:val="18"/>
          <w:szCs w:val="18"/>
          <w:b w:val="1"/>
          <w:bCs w:val="1"/>
          <w:color w:val="auto"/>
        </w:rPr>
        <w:t>Unavailable Amenities</w:t>
      </w:r>
      <w:r>
        <w:rPr>
          <w:rFonts w:ascii="Arial" w:cs="Arial" w:eastAsia="Arial" w:hAnsi="Arial"/>
          <w:sz w:val="18"/>
          <w:szCs w:val="18"/>
          <w:color w:val="auto"/>
        </w:rPr>
        <w:t>”) for use by Tenant (for any reason other than a Default by Tenant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34</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this Lease or the default by Tenant of any agreement(s) relating to the use of the Submarket Amenities by Tenant) for a period in excess of 60 consecutive days, then, commencing on the expiration of such 60-day period through the date that all then-existing Submarket Amenities become available for use by Users (the “</w:t>
      </w:r>
      <w:r>
        <w:rPr>
          <w:rFonts w:ascii="Arial" w:cs="Arial" w:eastAsia="Arial" w:hAnsi="Arial"/>
          <w:sz w:val="18"/>
          <w:szCs w:val="18"/>
          <w:b w:val="1"/>
          <w:bCs w:val="1"/>
          <w:color w:val="auto"/>
        </w:rPr>
        <w:t>Unavailability Period</w:t>
      </w:r>
      <w:r>
        <w:rPr>
          <w:rFonts w:ascii="Arial" w:cs="Arial" w:eastAsia="Arial" w:hAnsi="Arial"/>
          <w:sz w:val="18"/>
          <w:szCs w:val="18"/>
          <w:color w:val="auto"/>
        </w:rPr>
        <w:t>”), the Submarket Amenities Fee payable by Tenant shall be abated on a pro rata basis in the proportion in which the square footage of the Unavailable Amenities bears to the total square footage of the then existing Submarket Amenities.</w:t>
      </w:r>
    </w:p>
    <w:p>
      <w:pPr>
        <w:spacing w:after="0" w:line="180" w:lineRule="exact"/>
        <w:rPr>
          <w:sz w:val="20"/>
          <w:szCs w:val="20"/>
          <w:color w:val="auto"/>
        </w:rPr>
      </w:pPr>
    </w:p>
    <w:p>
      <w:pPr>
        <w:jc w:val="both"/>
        <w:ind w:firstLine="872"/>
        <w:spacing w:after="0" w:line="237" w:lineRule="auto"/>
        <w:tabs>
          <w:tab w:leader="none" w:pos="1731"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be solely responsible for paying the cost of any and all ancillary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and provided to Tenant, and the cost of any and all goods and services provided to Tenant by any food services operators and/or any third party vendors at any Submarket Project. Tenant shall use the Submarket Amenities in compliance with all applicable Legal Requirements and any reasonable rules and regulations imposed by applicable Submarket Landlord or Landlord from time to time and in a manner that will not interfere with the rights of other Users, which rules and regulations shall be enacted and enforced in a non-discriminatory manner and may include, (i) usage of and compliance with reservations systems governing the use of certain facilities, (ii) the payment of additional costs in connection with the after-hours usage of any facilities, (iii) access card entry requirements, and (iv) rules and regulations intended to encourage social distancing, promote and protect health and physical well-being and/or intended to limit the spread of Infectious Conditions. The use of Submarket Amenities by employees of Tenant shall be in accordance with the terms and conditions of commercially reasonable licenses, indemnification and waiver agreements required by applicable Submarket Landlord or the operator of the Submarket Amenities to be executed by all persons wishing to use such Submarket Amenities. Neither Landlord nor any Submarket Landlord (nor any other affiliate of Landlord or any Submarket Landlord) shall have any liability or obligation for the breach of any rules or regulations by other Users with respect to the Submarket Amenities. Tenant shall not make any alterations, additions, or improvements of any kind to the Submarket Amenities or any Submarket Project.</w:t>
      </w:r>
    </w:p>
    <w:p>
      <w:pPr>
        <w:spacing w:after="0" w:line="211"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Tenant acknowledges and agrees that the Submarket Landlords shall have the right at any time and from time to time to reconfigure, relocate, modify or remove any of the Submarket Amenities and/or to revise, expand or discontinue any or all of the Submarket Amenities and/or any services (if any) provided in connection with the Submarket Amenities.</w:t>
      </w:r>
    </w:p>
    <w:p>
      <w:pPr>
        <w:spacing w:after="0" w:line="181" w:lineRule="exact"/>
        <w:rPr>
          <w:sz w:val="20"/>
          <w:szCs w:val="20"/>
          <w:color w:val="auto"/>
        </w:rPr>
      </w:pPr>
    </w:p>
    <w:p>
      <w:pPr>
        <w:jc w:val="both"/>
        <w:ind w:firstLine="872"/>
        <w:spacing w:after="0" w:line="239" w:lineRule="auto"/>
        <w:tabs>
          <w:tab w:leader="none" w:pos="1731"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Waiver of Liability and Indemnification</w:t>
      </w:r>
      <w:r>
        <w:rPr>
          <w:rFonts w:ascii="Arial" w:cs="Arial" w:eastAsia="Arial" w:hAnsi="Arial"/>
          <w:sz w:val="18"/>
          <w:szCs w:val="18"/>
          <w:color w:val="auto"/>
        </w:rPr>
        <w:t>. Tenant warrants that it will use reasonable care to prevent damage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and injury to persons while on any Submarket Project. Tenant waives any claims it or any Tenant Parties may have against any ARE Submarket Parties relating to, arising out of or in connection with the Submarket Amenities and any entry by Tenant and/or any Tenant Parties onto any Submarket Project, and Tenant releases and exculpates all ARE Submarket Parties from any liability relating to, arising out of or in connection with the Submarket Amenities and any entry by Tenant and/or any Tenant Parties onto any Submarket Project. Tenant hereby agrees to indemnify, defend, and hold harmless the ARE Submarket Parties from any claim of damage to property or injury to persons relating to, arising out of or in connection with (i) the use of the Submarket Amenities by Tenant or any Tenant Parties, and (ii) any entry by Tenant and/or any Tenant Parties onto any Submarket Project, except to the extent caused by the negligence or willful misconduct of ARE Submarket Parties. The provisions of this </w:t>
      </w:r>
      <w:r>
        <w:rPr>
          <w:rFonts w:ascii="Arial" w:cs="Arial" w:eastAsia="Arial" w:hAnsi="Arial"/>
          <w:sz w:val="18"/>
          <w:szCs w:val="18"/>
          <w:u w:val="single" w:color="auto"/>
          <w:color w:val="auto"/>
        </w:rPr>
        <w:t>Section 40(e)</w:t>
      </w:r>
      <w:r>
        <w:rPr>
          <w:rFonts w:ascii="Arial" w:cs="Arial" w:eastAsia="Arial" w:hAnsi="Arial"/>
          <w:sz w:val="18"/>
          <w:szCs w:val="18"/>
          <w:color w:val="auto"/>
        </w:rPr>
        <w:t xml:space="preserve"> shall survive the expiration or earlier termination of this Lease.</w:t>
      </w:r>
    </w:p>
    <w:p>
      <w:pPr>
        <w:spacing w:after="0" w:line="183" w:lineRule="exact"/>
        <w:rPr>
          <w:sz w:val="20"/>
          <w:szCs w:val="20"/>
          <w:color w:val="auto"/>
        </w:rPr>
      </w:pPr>
    </w:p>
    <w:p>
      <w:pPr>
        <w:ind w:left="1760" w:hanging="888"/>
        <w:spacing w:after="0"/>
        <w:tabs>
          <w:tab w:leader="none" w:pos="176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7" w:lineRule="auto"/>
        <w:tabs>
          <w:tab w:leader="none" w:pos="1731"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upon 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3" w:lineRule="exact"/>
        <w:rPr>
          <w:rFonts w:ascii="Arial" w:cs="Arial" w:eastAsia="Arial" w:hAnsi="Arial"/>
          <w:sz w:val="18"/>
          <w:szCs w:val="18"/>
          <w:color w:val="auto"/>
        </w:rPr>
      </w:pPr>
    </w:p>
    <w:p>
      <w:pPr>
        <w:ind w:firstLine="872"/>
        <w:spacing w:after="0" w:line="271" w:lineRule="auto"/>
        <w:tabs>
          <w:tab w:leader="none" w:pos="1731"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person or entity, each shall be jointly and severally liable for the obligations of Tenant.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35</w:t>
      </w:r>
    </w:p>
    <w:p>
      <w:pPr>
        <w:spacing w:after="0" w:line="17" w:lineRule="exact"/>
        <w:rPr>
          <w:sz w:val="20"/>
          <w:szCs w:val="20"/>
          <w:color w:val="auto"/>
        </w:rPr>
      </w:pPr>
    </w:p>
    <w:p>
      <w:pPr>
        <w:jc w:val="both"/>
        <w:ind w:firstLine="872"/>
        <w:spacing w:after="0" w:line="236" w:lineRule="auto"/>
        <w:tabs>
          <w:tab w:leader="none" w:pos="172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Financial Information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furnish to Landlord with true and complete copies of (i) upon Landlord’s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 on an annual basis, Tenant’s most recent audited annual financial statements, provided, however, that Tenant shall not be required to deliver to Landlord such annual financial statements for any particular year sooner than the date that is 90 days after the end of each of Tenant’s fiscal years during the Term, (ii) upon Landlord’s written request on a quarterly basis, Tenant’s most recent unaudited quarterly financial statements; provided, however, that Tenant shall not be required to deliver to Landlord such quarterly financial statements for any particular quarter sooner that the date that is 45 days after the end of each of Tenant’s fiscal quarters during the Term, (iii) upon Landlord’s written request from time to time, updated business plans, including cash flow projections and/or pro forma balance sheets and income statements, all of which shall be treated by Landlord as confidential information belonging to Tenant, (iv) upon Landlord’s written request from time to time, corporate brochures and/or profiles prepared by Tenant for prospective investors, and (v) upon Landlord’s written request from time to time, any other financial information or summaries that Tenant typically provides to its lenders or shareholders. Notwithstanding anything to the contrary contained in this Lease, Landlord’s written request for financial information pursuant to this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may delivered to Tenant via email. So long as Tenant is a “public company” and its financial information is publicly available, then the foregoing delivery requirements of this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shall not apply.</w:t>
      </w:r>
    </w:p>
    <w:p>
      <w:pPr>
        <w:spacing w:after="0" w:line="180" w:lineRule="exact"/>
        <w:rPr>
          <w:rFonts w:ascii="Arial" w:cs="Arial" w:eastAsia="Arial" w:hAnsi="Arial"/>
          <w:sz w:val="18"/>
          <w:szCs w:val="18"/>
          <w:color w:val="auto"/>
        </w:rPr>
      </w:pPr>
    </w:p>
    <w:p>
      <w:pPr>
        <w:ind w:firstLine="872"/>
        <w:spacing w:after="0" w:line="271" w:lineRule="auto"/>
        <w:tabs>
          <w:tab w:leader="none" w:pos="173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record. Landlord may prepare and file, and upon request by Landlord Tenant will execute, a memorandum of lease.</w:t>
      </w:r>
    </w:p>
    <w:p>
      <w:pPr>
        <w:spacing w:after="0" w:line="153" w:lineRule="exact"/>
        <w:rPr>
          <w:rFonts w:ascii="Arial" w:cs="Arial" w:eastAsia="Arial" w:hAnsi="Arial"/>
          <w:sz w:val="18"/>
          <w:szCs w:val="18"/>
          <w:color w:val="auto"/>
        </w:rPr>
      </w:pPr>
    </w:p>
    <w:p>
      <w:pPr>
        <w:jc w:val="both"/>
        <w:ind w:firstLine="872"/>
        <w:spacing w:after="0" w:line="244" w:lineRule="auto"/>
        <w:tabs>
          <w:tab w:leader="none" w:pos="173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76" w:lineRule="exact"/>
        <w:rPr>
          <w:rFonts w:ascii="Arial" w:cs="Arial" w:eastAsia="Arial" w:hAnsi="Arial"/>
          <w:sz w:val="18"/>
          <w:szCs w:val="18"/>
          <w:color w:val="auto"/>
        </w:rPr>
      </w:pPr>
    </w:p>
    <w:p>
      <w:pPr>
        <w:jc w:val="both"/>
        <w:ind w:firstLine="872"/>
        <w:spacing w:after="0" w:line="253" w:lineRule="auto"/>
        <w:tabs>
          <w:tab w:leader="none" w:pos="168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constitute an option for the leasing of the Premises, nor confer any right or impose any obligations upon either party until execution of this Lease by both parties.</w:t>
      </w:r>
    </w:p>
    <w:p>
      <w:pPr>
        <w:spacing w:after="0" w:line="168" w:lineRule="exact"/>
        <w:rPr>
          <w:rFonts w:ascii="Arial" w:cs="Arial" w:eastAsia="Arial" w:hAnsi="Arial"/>
          <w:sz w:val="18"/>
          <w:szCs w:val="18"/>
          <w:color w:val="auto"/>
        </w:rPr>
      </w:pPr>
    </w:p>
    <w:p>
      <w:pPr>
        <w:jc w:val="both"/>
        <w:ind w:firstLine="872"/>
        <w:spacing w:after="0"/>
        <w:tabs>
          <w:tab w:leader="none" w:pos="173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80" w:lineRule="exact"/>
        <w:rPr>
          <w:rFonts w:ascii="Arial" w:cs="Arial" w:eastAsia="Arial" w:hAnsi="Arial"/>
          <w:sz w:val="18"/>
          <w:szCs w:val="18"/>
          <w:color w:val="auto"/>
        </w:rPr>
      </w:pPr>
    </w:p>
    <w:p>
      <w:pPr>
        <w:ind w:firstLine="872"/>
        <w:spacing w:after="0" w:line="271" w:lineRule="auto"/>
        <w:tabs>
          <w:tab w:leader="none" w:pos="173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Premises are located, excluding any principles of conflicts of laws.</w:t>
      </w:r>
    </w:p>
    <w:p>
      <w:pPr>
        <w:spacing w:after="0" w:line="153" w:lineRule="exact"/>
        <w:rPr>
          <w:rFonts w:ascii="Arial" w:cs="Arial" w:eastAsia="Arial" w:hAnsi="Arial"/>
          <w:sz w:val="18"/>
          <w:szCs w:val="18"/>
          <w:color w:val="auto"/>
        </w:rPr>
      </w:pPr>
    </w:p>
    <w:p>
      <w:pPr>
        <w:ind w:left="1680" w:hanging="808"/>
        <w:spacing w:after="0"/>
        <w:tabs>
          <w:tab w:leader="none" w:pos="168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11" w:lineRule="exact"/>
        <w:rPr>
          <w:rFonts w:ascii="Arial" w:cs="Arial" w:eastAsia="Arial" w:hAnsi="Arial"/>
          <w:sz w:val="18"/>
          <w:szCs w:val="18"/>
          <w:color w:val="auto"/>
        </w:rPr>
      </w:pPr>
    </w:p>
    <w:p>
      <w:pPr>
        <w:jc w:val="both"/>
        <w:ind w:firstLine="872"/>
        <w:spacing w:after="0" w:line="247" w:lineRule="auto"/>
        <w:tabs>
          <w:tab w:leader="none" w:pos="1671"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36</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3" w:lineRule="exact"/>
        <w:rPr>
          <w:sz w:val="20"/>
          <w:szCs w:val="20"/>
          <w:color w:val="auto"/>
        </w:rPr>
      </w:pPr>
    </w:p>
    <w:p>
      <w:pPr>
        <w:jc w:val="both"/>
        <w:ind w:firstLine="872"/>
        <w:spacing w:after="0" w:line="253" w:lineRule="auto"/>
        <w:tabs>
          <w:tab w:leader="none" w:pos="1721"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hereof. If there is any conflict between such exhibits or addenda and the terms of this Lease, such exhibits or addenda shall control.</w:t>
      </w:r>
    </w:p>
    <w:p>
      <w:pPr>
        <w:spacing w:after="0" w:line="168" w:lineRule="exact"/>
        <w:rPr>
          <w:rFonts w:ascii="Arial" w:cs="Arial" w:eastAsia="Arial" w:hAnsi="Arial"/>
          <w:sz w:val="18"/>
          <w:szCs w:val="18"/>
          <w:color w:val="auto"/>
        </w:rPr>
      </w:pPr>
    </w:p>
    <w:p>
      <w:pPr>
        <w:jc w:val="both"/>
        <w:ind w:firstLine="872"/>
        <w:spacing w:after="0" w:line="244" w:lineRule="auto"/>
        <w:tabs>
          <w:tab w:leader="none" w:pos="1671"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Lease, including the exhibits attached hereto, constitutes the entire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76" w:lineRule="exact"/>
        <w:rPr>
          <w:rFonts w:ascii="Arial" w:cs="Arial" w:eastAsia="Arial" w:hAnsi="Arial"/>
          <w:sz w:val="18"/>
          <w:szCs w:val="18"/>
          <w:color w:val="auto"/>
        </w:rPr>
      </w:pPr>
    </w:p>
    <w:p>
      <w:pPr>
        <w:jc w:val="both"/>
        <w:ind w:firstLine="872"/>
        <w:spacing w:after="0" w:line="244" w:lineRule="auto"/>
        <w:tabs>
          <w:tab w:leader="none" w:pos="1781"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76" w:lineRule="exact"/>
        <w:rPr>
          <w:rFonts w:ascii="Arial" w:cs="Arial" w:eastAsia="Arial" w:hAnsi="Arial"/>
          <w:sz w:val="18"/>
          <w:szCs w:val="18"/>
          <w:color w:val="auto"/>
        </w:rPr>
      </w:pPr>
    </w:p>
    <w:p>
      <w:pPr>
        <w:jc w:val="both"/>
        <w:ind w:firstLine="872"/>
        <w:spacing w:after="0" w:line="242" w:lineRule="auto"/>
        <w:tabs>
          <w:tab w:leader="none" w:pos="1731"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78" w:lineRule="exact"/>
        <w:rPr>
          <w:rFonts w:ascii="Arial" w:cs="Arial" w:eastAsia="Arial" w:hAnsi="Arial"/>
          <w:sz w:val="18"/>
          <w:szCs w:val="18"/>
          <w:color w:val="auto"/>
        </w:rPr>
      </w:pPr>
    </w:p>
    <w:p>
      <w:pPr>
        <w:jc w:val="both"/>
        <w:ind w:firstLine="872"/>
        <w:spacing w:after="0" w:line="239" w:lineRule="auto"/>
        <w:tabs>
          <w:tab w:leader="none" w:pos="1731"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Discontinued Use</w:t>
      </w:r>
      <w:r>
        <w:rPr>
          <w:rFonts w:ascii="Arial" w:cs="Arial" w:eastAsia="Arial" w:hAnsi="Arial"/>
          <w:sz w:val="18"/>
          <w:szCs w:val="18"/>
          <w:color w:val="auto"/>
        </w:rPr>
        <w:t>. If, at any time following the Substantial Completion of the Tenant Improvements, Tenant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continuously operate its business in the Premises for a period of eighteen (18) consecutive months (other than as a result of a casualty, Taking, Force Majeure, Government Mandate or default by Landlord under this Lease), Landlord may, but is not obligated to, elect to terminate this Lease upon 180 days’ written notice to Tenant, whereupon, unless Tenant commences to operate its business in the Premises within 90 days’ after Tenant’s receipt of Landlord’s written notice, this Lease shall terminate 180 days’ after Landlord’s delivery of such written notice (“</w:t>
      </w:r>
      <w:r>
        <w:rPr>
          <w:rFonts w:ascii="Arial" w:cs="Arial" w:eastAsia="Arial" w:hAnsi="Arial"/>
          <w:sz w:val="18"/>
          <w:szCs w:val="18"/>
          <w:b w:val="1"/>
          <w:bCs w:val="1"/>
          <w:color w:val="auto"/>
        </w:rPr>
        <w:t>Termination Date</w:t>
      </w:r>
      <w:r>
        <w:rPr>
          <w:rFonts w:ascii="Arial" w:cs="Arial" w:eastAsia="Arial" w:hAnsi="Arial"/>
          <w:sz w:val="18"/>
          <w:szCs w:val="18"/>
          <w:color w:val="auto"/>
        </w:rPr>
        <w:t>”), and Tenant shall vacate the Premises and deliver possession thereof to Landlord in the condition required by the terms of this Lease on or before the Termination Date and Tenant shall have no further obligations under this Lease except for those accruing prior to the Termination Date and those which, pursuant to the terms of this Lease, survive the expiration or early termination of this Lease.</w:t>
      </w:r>
    </w:p>
    <w:p>
      <w:pPr>
        <w:spacing w:after="0" w:line="183" w:lineRule="exact"/>
        <w:rPr>
          <w:rFonts w:ascii="Arial" w:cs="Arial" w:eastAsia="Arial" w:hAnsi="Arial"/>
          <w:sz w:val="18"/>
          <w:szCs w:val="18"/>
          <w:color w:val="auto"/>
        </w:rPr>
      </w:pPr>
    </w:p>
    <w:p>
      <w:pPr>
        <w:jc w:val="both"/>
        <w:ind w:firstLine="872"/>
        <w:spacing w:after="0" w:line="242" w:lineRule="auto"/>
        <w:tabs>
          <w:tab w:leader="none" w:pos="1731"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EV Charging Stations</w:t>
      </w:r>
      <w:r>
        <w:rPr>
          <w:rFonts w:ascii="Arial" w:cs="Arial" w:eastAsia="Arial" w:hAnsi="Arial"/>
          <w:sz w:val="18"/>
          <w:szCs w:val="18"/>
          <w:color w:val="auto"/>
        </w:rPr>
        <w:t>. Landlord shall not unreasonably withhold its consent to Tenant’s written request to install 1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electric vehicle car charging stations (“</w:t>
      </w:r>
      <w:r>
        <w:rPr>
          <w:rFonts w:ascii="Arial" w:cs="Arial" w:eastAsia="Arial" w:hAnsi="Arial"/>
          <w:sz w:val="18"/>
          <w:szCs w:val="18"/>
          <w:b w:val="1"/>
          <w:bCs w:val="1"/>
          <w:color w:val="auto"/>
        </w:rPr>
        <w:t>EV Stations</w:t>
      </w:r>
      <w:r>
        <w:rPr>
          <w:rFonts w:ascii="Arial" w:cs="Arial" w:eastAsia="Arial" w:hAnsi="Arial"/>
          <w:sz w:val="18"/>
          <w:szCs w:val="18"/>
          <w:color w:val="auto"/>
        </w:rPr>
        <w:t xml:space="preserve">”) in the parking area serving the Project; provided, however, that Tenant complies with all reasonable requirements, standards, rules and regulations which may be imposed by Landlord, at the time Landlord’s consent is granted, in connection with Tenant’s installation, maintenance, repair and operation of such EV Stations. Nothing contained in this paragraph is intended to increase the number of parking spaces which Tenant is otherwise entitled to use at the Project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Lease nor impose any additional obligations on Landlord with respect to Tenant’s parking rights at the Project.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37</w:t>
      </w:r>
    </w:p>
    <w:p>
      <w:pPr>
        <w:spacing w:after="0" w:line="17" w:lineRule="exact"/>
        <w:rPr>
          <w:sz w:val="20"/>
          <w:szCs w:val="20"/>
          <w:color w:val="auto"/>
        </w:rPr>
      </w:pPr>
    </w:p>
    <w:p>
      <w:pPr>
        <w:jc w:val="both"/>
        <w:ind w:firstLine="872"/>
        <w:spacing w:after="0"/>
        <w:tabs>
          <w:tab w:leader="none" w:pos="1731"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California Accessibility Disclosure</w:t>
      </w:r>
      <w:r>
        <w:rPr>
          <w:rFonts w:ascii="Arial" w:cs="Arial" w:eastAsia="Arial" w:hAnsi="Arial"/>
          <w:sz w:val="18"/>
          <w:szCs w:val="18"/>
          <w:color w:val="auto"/>
        </w:rPr>
        <w:t>. For purposes of Section 1938(a) of the California Civil Code, Landlord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discloses to Tenant, and 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constitutes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8"/>
          <w:szCs w:val="18"/>
          <w:b w:val="1"/>
          <w:bCs w:val="1"/>
          <w:color w:val="auto"/>
        </w:rPr>
        <w:t>CASp Reports</w:t>
      </w:r>
      <w:r>
        <w:rPr>
          <w:rFonts w:ascii="Arial" w:cs="Arial" w:eastAsia="Arial" w:hAnsi="Arial"/>
          <w:sz w:val="18"/>
          <w:szCs w:val="18"/>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this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275" w:lineRule="exact"/>
        <w:rPr>
          <w:rFonts w:ascii="Arial" w:cs="Arial" w:eastAsia="Arial" w:hAnsi="Arial"/>
          <w:sz w:val="18"/>
          <w:szCs w:val="18"/>
          <w:color w:val="auto"/>
        </w:rPr>
      </w:pPr>
    </w:p>
    <w:p>
      <w:pPr>
        <w:ind w:left="1700" w:hanging="828"/>
        <w:spacing w:after="0"/>
        <w:tabs>
          <w:tab w:leader="none" w:pos="1700"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872"/>
        <w:spacing w:after="0" w:line="242" w:lineRule="auto"/>
        <w:tabs>
          <w:tab w:leader="none" w:pos="1721"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Lease may be executed in 2 or more counterparts, each of which shall be deemed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178" w:lineRule="exact"/>
        <w:rPr>
          <w:rFonts w:ascii="Arial" w:cs="Arial" w:eastAsia="Arial" w:hAnsi="Arial"/>
          <w:sz w:val="18"/>
          <w:szCs w:val="18"/>
          <w:color w:val="auto"/>
        </w:rPr>
      </w:pPr>
    </w:p>
    <w:p>
      <w:pPr>
        <w:ind w:left="1680" w:hanging="808"/>
        <w:spacing w:after="0"/>
        <w:tabs>
          <w:tab w:leader="none" w:pos="1680"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34" w:lineRule="exact"/>
        <w:rPr>
          <w:sz w:val="20"/>
          <w:szCs w:val="20"/>
          <w:color w:val="auto"/>
        </w:rPr>
      </w:pPr>
    </w:p>
    <w:p>
      <w:pPr>
        <w:jc w:val="both"/>
        <w:ind w:left="880" w:firstLine="789"/>
        <w:spacing w:after="0" w:line="238" w:lineRule="auto"/>
        <w:tabs>
          <w:tab w:leader="none" w:pos="24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w:t>
      </w:r>
      <w:r>
        <w:rPr>
          <w:rFonts w:ascii="Arial" w:cs="Arial" w:eastAsia="Arial" w:hAnsi="Arial"/>
          <w:sz w:val="18"/>
          <w:szCs w:val="18"/>
          <w:u w:val="single" w:color="auto"/>
          <w:color w:val="auto"/>
        </w:rPr>
        <w:t>Section 41(t)</w:t>
      </w:r>
      <w:r>
        <w:rPr>
          <w:rFonts w:ascii="Arial" w:cs="Arial" w:eastAsia="Arial" w:hAnsi="Arial"/>
          <w:sz w:val="18"/>
          <w:szCs w:val="18"/>
          <w:color w:val="auto"/>
        </w:rPr>
        <w:t>, neither party will, without the prior written consent of the other party, disclose any Confidential Information of the other party to any third party. Information will be considered “</w:t>
      </w:r>
      <w:r>
        <w:rPr>
          <w:rFonts w:ascii="Arial" w:cs="Arial" w:eastAsia="Arial" w:hAnsi="Arial"/>
          <w:sz w:val="18"/>
          <w:szCs w:val="18"/>
          <w:b w:val="1"/>
          <w:b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of a party if (a) it is disclosed by the party to the other party in tangible form and is conspicuously marked</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“Proprietary” or the like; or (b) it is disclosed by one party to the other party in non-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38</w:t>
      </w:r>
    </w:p>
    <w:p>
      <w:pPr>
        <w:spacing w:after="0" w:line="17" w:lineRule="exact"/>
        <w:rPr>
          <w:sz w:val="20"/>
          <w:szCs w:val="20"/>
          <w:color w:val="auto"/>
        </w:rPr>
      </w:pPr>
    </w:p>
    <w:p>
      <w:pPr>
        <w:jc w:val="both"/>
        <w:ind w:left="880"/>
        <w:spacing w:after="0" w:line="238" w:lineRule="auto"/>
        <w:rPr>
          <w:sz w:val="20"/>
          <w:szCs w:val="20"/>
          <w:color w:val="auto"/>
        </w:rPr>
      </w:pPr>
      <w:r>
        <w:rPr>
          <w:rFonts w:ascii="Arial" w:cs="Arial" w:eastAsia="Arial" w:hAnsi="Arial"/>
          <w:sz w:val="18"/>
          <w:szCs w:val="18"/>
          <w:color w:val="auto"/>
        </w:rPr>
        <w:t xml:space="preserve">tangible form and is identified in writing as confidential at the time of disclosure, (c) it contains the disclosing party’s customer lists, customer information, technical information, pricing information, pricing methodologies, or information regarding the disclosing party’s business planning or business operations; or (d) it is disclosed to Tenant or its representatives, agents or consultants in connection with the exercise of any audit right by Tenant under this Lease including, without limitation, the audit right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Lease.</w:t>
      </w:r>
    </w:p>
    <w:p>
      <w:pPr>
        <w:spacing w:after="0" w:line="202" w:lineRule="exact"/>
        <w:rPr>
          <w:sz w:val="20"/>
          <w:szCs w:val="20"/>
          <w:color w:val="auto"/>
        </w:rPr>
      </w:pPr>
    </w:p>
    <w:p>
      <w:pPr>
        <w:jc w:val="both"/>
        <w:ind w:left="880" w:firstLine="789"/>
        <w:spacing w:after="0" w:line="234" w:lineRule="auto"/>
        <w:tabs>
          <w:tab w:leader="none" w:pos="252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Information will not be deemed Confidential Information hereunder if such information (a) is known to the receiving party prior to receipt from the disclosing party directly or indirectly from a source other than one having an obligation of confidentiality to the disclosing party; (b) becomes known (independently of disclosure by the disclosing party) to the receiving party directly or indirectly from a source other than one having an obligation of confidentiality to the disclosing party; (c) becomes publicly known or otherwise ceases to be secret or confidential, except through a breach of this Lease by the receiving party; or</w:t>
      </w:r>
    </w:p>
    <w:p>
      <w:pPr>
        <w:spacing w:after="0" w:line="3" w:lineRule="exact"/>
        <w:rPr>
          <w:rFonts w:ascii="Arial" w:cs="Arial" w:eastAsia="Arial" w:hAnsi="Arial"/>
          <w:sz w:val="18"/>
          <w:szCs w:val="18"/>
          <w:color w:val="auto"/>
        </w:rPr>
      </w:pPr>
    </w:p>
    <w:p>
      <w:pPr>
        <w:ind w:left="1140" w:hanging="268"/>
        <w:spacing w:after="0"/>
        <w:tabs>
          <w:tab w:leader="none" w:pos="11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is independently developed by the receiving party.</w:t>
      </w:r>
    </w:p>
    <w:p>
      <w:pPr>
        <w:spacing w:after="0" w:line="211" w:lineRule="exact"/>
        <w:rPr>
          <w:rFonts w:ascii="Arial" w:cs="Arial" w:eastAsia="Arial" w:hAnsi="Arial"/>
          <w:sz w:val="18"/>
          <w:szCs w:val="18"/>
          <w:color w:val="auto"/>
        </w:rPr>
      </w:pPr>
    </w:p>
    <w:p>
      <w:pPr>
        <w:jc w:val="both"/>
        <w:ind w:left="880" w:firstLine="789"/>
        <w:spacing w:after="0" w:line="234" w:lineRule="auto"/>
        <w:tabs>
          <w:tab w:leader="none" w:pos="256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Each party will secure and protect the Confidential Information of the other party in a manner consistent with the steps taken to protect its own trade secrets and confidential information, but not less than a reasonable degree of care. Notwithstanding the confidentiality provisions herein, Landlord may disclose Tenant’s Confidential Information: (A) as and only to the extent required by Legal Requirements or in response to a request by a Governmental Authority; (B) as necessary to</w:t>
      </w:r>
    </w:p>
    <w:p>
      <w:pPr>
        <w:spacing w:after="0" w:line="2" w:lineRule="exact"/>
        <w:rPr>
          <w:rFonts w:ascii="Arial" w:cs="Arial" w:eastAsia="Arial" w:hAnsi="Arial"/>
          <w:sz w:val="18"/>
          <w:szCs w:val="18"/>
          <w:color w:val="auto"/>
        </w:rPr>
      </w:pPr>
    </w:p>
    <w:p>
      <w:pPr>
        <w:jc w:val="both"/>
        <w:ind w:left="880"/>
        <w:spacing w:after="0" w:line="236" w:lineRule="auto"/>
        <w:rPr>
          <w:rFonts w:ascii="Arial" w:cs="Arial" w:eastAsia="Arial" w:hAnsi="Arial"/>
          <w:sz w:val="18"/>
          <w:szCs w:val="18"/>
          <w:color w:val="auto"/>
        </w:rPr>
      </w:pPr>
      <w:r>
        <w:rPr>
          <w:rFonts w:ascii="Arial" w:cs="Arial" w:eastAsia="Arial" w:hAnsi="Arial"/>
          <w:sz w:val="18"/>
          <w:szCs w:val="18"/>
          <w:color w:val="auto"/>
        </w:rPr>
        <w:t>(I) manage its investment in the Building or Project or (II) seek input, advice, or guidance from existing or prospective professional advisors, including, without limitation, analysts, investors, tax preparers, bank personnel, brokers, business advisors, legal advisors, lenders, and financial advisors; (C) as necessary to manage and enforce the terms of this Lease, or (D) as otherwise reasonably necessary in the course of operations of the property or business of Landlord and its affiliates, including, without limitation, communications with investors in Landlord and/or its affiliates, capital formation, in connection with a proposed sale of the Project, or in connection with any financing or proposed financing of the Project. Notwithstanding the confidentiality provisions herein, Tenant may disclose Landlord’s Confidential Information: (x) as and only to the extent required by Legal Requirements or in response to a request by a Governmental Authority; (y) as necessary to seek advice from existing or prospective professional advisors, including, without limitation, tax preparers, bank personnel, brokers, business advisors, legal advisors, lenders, and financial advisors; or (z) as necessary to manage and enforce the terms of this Lease.</w:t>
      </w:r>
    </w:p>
    <w:p>
      <w:pPr>
        <w:spacing w:after="0" w:line="184" w:lineRule="exact"/>
        <w:rPr>
          <w:sz w:val="20"/>
          <w:szCs w:val="20"/>
          <w:color w:val="auto"/>
        </w:rPr>
      </w:pPr>
    </w:p>
    <w:p>
      <w:pPr>
        <w:jc w:val="both"/>
        <w:ind w:firstLine="872"/>
        <w:spacing w:after="0" w:line="244" w:lineRule="auto"/>
        <w:tabs>
          <w:tab w:leader="none" w:pos="1731"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Dog Visitation</w:t>
      </w:r>
      <w:r>
        <w:rPr>
          <w:rFonts w:ascii="Arial" w:cs="Arial" w:eastAsia="Arial" w:hAnsi="Arial"/>
          <w:sz w:val="18"/>
          <w:szCs w:val="18"/>
          <w:color w:val="auto"/>
        </w:rPr>
        <w:t>. Subject to compliance with applicable Legal Requirements and the Dog Visitation Policy described on</w:t>
      </w:r>
      <w:r>
        <w:rPr>
          <w:rFonts w:ascii="Arial" w:cs="Arial" w:eastAsia="Arial" w:hAnsi="Arial"/>
          <w:sz w:val="18"/>
          <w:szCs w:val="18"/>
          <w:b w:val="1"/>
          <w:bCs w:val="1"/>
          <w:color w:val="auto"/>
        </w:rPr>
        <w:t xml:space="preserve"> Exhibit I </w:t>
      </w:r>
      <w:r>
        <w:rPr>
          <w:rFonts w:ascii="Arial" w:cs="Arial" w:eastAsia="Arial" w:hAnsi="Arial"/>
          <w:sz w:val="18"/>
          <w:szCs w:val="18"/>
          <w:color w:val="auto"/>
        </w:rPr>
        <w:t>attached hereto, Tenant’s employees may bring dogs into the Premises. Such rights with respect to dogs shall also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additional requirements of the Scripps Ranch Business Park Unit III Owners’ Association. Tenant shall protect, defend, indemnify and hold harmless Landlord from and against claims, damages, liabilities, costs and expenses of every kind and nature, including attorneys’ fees, incurred by or asserted against Landlord arising in connection with the rights granted to Tenant’s employees pursuant to this </w:t>
      </w:r>
      <w:r>
        <w:rPr>
          <w:rFonts w:ascii="Arial" w:cs="Arial" w:eastAsia="Arial" w:hAnsi="Arial"/>
          <w:sz w:val="18"/>
          <w:szCs w:val="18"/>
          <w:u w:val="single" w:color="auto"/>
          <w:color w:val="auto"/>
        </w:rPr>
        <w:t>Section 41(u)</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spacing w:after="0"/>
        <w:tabs>
          <w:tab w:leader="none" w:pos="1920" w:val="left"/>
        </w:tabs>
        <w:rPr>
          <w:sz w:val="20"/>
          <w:szCs w:val="20"/>
          <w:color w:val="auto"/>
        </w:rPr>
      </w:pPr>
      <w:r>
        <w:rPr>
          <w:rFonts w:ascii="Arial" w:cs="Arial" w:eastAsia="Arial" w:hAnsi="Arial"/>
          <w:sz w:val="18"/>
          <w:szCs w:val="18"/>
          <w:b w:val="1"/>
          <w:bCs w:val="1"/>
          <w:color w:val="auto"/>
        </w:rPr>
        <w:t>Net Laboratory</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ARROWHEAD PHARMACEUTICALS, INC.</w:t>
      </w:r>
      <w:r>
        <w:rPr>
          <w:rFonts w:ascii="Arial" w:cs="Arial" w:eastAsia="Arial" w:hAnsi="Arial"/>
          <w:sz w:val="18"/>
          <w:szCs w:val="18"/>
          <w:color w:val="auto"/>
        </w:rPr>
        <w:t>,</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Ken Myszkowski</w:t>
      </w:r>
    </w:p>
    <w:p>
      <w:pPr>
        <w:ind w:left="5660"/>
        <w:spacing w:after="0" w:line="234" w:lineRule="auto"/>
        <w:rPr>
          <w:sz w:val="20"/>
          <w:szCs w:val="20"/>
          <w:color w:val="auto"/>
        </w:rPr>
      </w:pPr>
      <w:r>
        <w:rPr>
          <w:rFonts w:ascii="Arial" w:cs="Arial" w:eastAsia="Arial" w:hAnsi="Arial"/>
          <w:sz w:val="18"/>
          <w:szCs w:val="18"/>
          <w:color w:val="auto"/>
        </w:rPr>
        <w:t>Ken Myszkowski</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CFO</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I hereby certify that the signature, name, and title</w:t>
      </w:r>
    </w:p>
    <w:p>
      <w:pPr>
        <w:ind w:left="5200"/>
        <w:spacing w:after="0"/>
        <w:rPr>
          <w:sz w:val="20"/>
          <w:szCs w:val="20"/>
          <w:color w:val="auto"/>
        </w:rPr>
      </w:pPr>
      <w:r>
        <w:rPr>
          <w:rFonts w:ascii="Arial" w:cs="Arial" w:eastAsia="Arial" w:hAnsi="Arial"/>
          <w:sz w:val="18"/>
          <w:szCs w:val="18"/>
          <w:color w:val="auto"/>
        </w:rPr>
        <w:t>above are my signature, name and title.</w:t>
      </w: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ARE-SD REGION NO. 72, LLC</w:t>
      </w:r>
      <w:r>
        <w:rPr>
          <w:rFonts w:ascii="Arial" w:cs="Arial" w:eastAsia="Arial" w:hAnsi="Arial"/>
          <w:sz w:val="18"/>
          <w:szCs w:val="18"/>
          <w:color w:val="auto"/>
        </w:rPr>
        <w:t>,</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51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gridSpan w:val="9"/>
          </w:tcPr>
          <w:p>
            <w:pPr>
              <w:ind w:left="280"/>
              <w:spacing w:after="0"/>
              <w:rPr>
                <w:sz w:val="20"/>
                <w:szCs w:val="20"/>
                <w:color w:val="auto"/>
              </w:rPr>
            </w:pPr>
            <w:r>
              <w:rPr>
                <w:rFonts w:ascii="Arial" w:cs="Arial" w:eastAsia="Arial" w:hAnsi="Arial"/>
                <w:sz w:val="18"/>
                <w:szCs w:val="18"/>
                <w:color w:val="auto"/>
                <w:w w:val="98"/>
              </w:rPr>
              <w:t>ALEXANDRIA REAL ESTATE EQUITIES, L.P.,</w:t>
            </w:r>
          </w:p>
        </w:tc>
      </w:tr>
      <w:tr>
        <w:trPr>
          <w:trHeight w:val="203"/>
        </w:trPr>
        <w:tc>
          <w:tcPr>
            <w:tcW w:w="560" w:type="dxa"/>
            <w:vAlign w:val="bottom"/>
          </w:tcPr>
          <w:p>
            <w:pPr>
              <w:spacing w:after="0"/>
              <w:rPr>
                <w:sz w:val="17"/>
                <w:szCs w:val="17"/>
                <w:color w:val="auto"/>
              </w:rPr>
            </w:pPr>
          </w:p>
        </w:tc>
        <w:tc>
          <w:tcPr>
            <w:tcW w:w="4000" w:type="dxa"/>
            <w:vAlign w:val="bottom"/>
            <w:gridSpan w:val="9"/>
          </w:tcPr>
          <w:p>
            <w:pPr>
              <w:ind w:left="280"/>
              <w:spacing w:after="0" w:line="202" w:lineRule="exact"/>
              <w:rPr>
                <w:sz w:val="20"/>
                <w:szCs w:val="20"/>
                <w:color w:val="auto"/>
              </w:rPr>
            </w:pPr>
            <w:r>
              <w:rPr>
                <w:rFonts w:ascii="Arial" w:cs="Arial" w:eastAsia="Arial" w:hAnsi="Arial"/>
                <w:sz w:val="18"/>
                <w:szCs w:val="18"/>
                <w:color w:val="auto"/>
              </w:rPr>
              <w:t>a Delaware Limited Partnership,</w:t>
            </w:r>
          </w:p>
        </w:tc>
      </w:tr>
      <w:tr>
        <w:trPr>
          <w:trHeight w:val="217"/>
        </w:trPr>
        <w:tc>
          <w:tcPr>
            <w:tcW w:w="560" w:type="dxa"/>
            <w:vAlign w:val="bottom"/>
          </w:tcPr>
          <w:p>
            <w:pPr>
              <w:spacing w:after="0"/>
              <w:rPr>
                <w:sz w:val="18"/>
                <w:szCs w:val="18"/>
                <w:color w:val="auto"/>
              </w:rPr>
            </w:pPr>
          </w:p>
        </w:tc>
        <w:tc>
          <w:tcPr>
            <w:tcW w:w="1940" w:type="dxa"/>
            <w:vAlign w:val="bottom"/>
            <w:gridSpan w:val="3"/>
          </w:tcPr>
          <w:p>
            <w:pPr>
              <w:ind w:left="280"/>
              <w:spacing w:after="0"/>
              <w:rPr>
                <w:sz w:val="20"/>
                <w:szCs w:val="20"/>
                <w:color w:val="auto"/>
              </w:rPr>
            </w:pPr>
            <w:r>
              <w:rPr>
                <w:rFonts w:ascii="Arial" w:cs="Arial" w:eastAsia="Arial" w:hAnsi="Arial"/>
                <w:sz w:val="18"/>
                <w:szCs w:val="18"/>
                <w:color w:val="auto"/>
              </w:rPr>
              <w:t>Managing Member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04"/>
        </w:trPr>
        <w:tc>
          <w:tcPr>
            <w:tcW w:w="5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By:</w:t>
            </w:r>
          </w:p>
        </w:tc>
        <w:tc>
          <w:tcPr>
            <w:tcW w:w="3120" w:type="dxa"/>
            <w:vAlign w:val="bottom"/>
            <w:gridSpan w:val="8"/>
          </w:tcPr>
          <w:p>
            <w:pPr>
              <w:ind w:left="280"/>
              <w:spacing w:after="0"/>
              <w:rPr>
                <w:sz w:val="20"/>
                <w:szCs w:val="20"/>
                <w:color w:val="auto"/>
              </w:rPr>
            </w:pPr>
            <w:r>
              <w:rPr>
                <w:rFonts w:ascii="Arial" w:cs="Arial" w:eastAsia="Arial" w:hAnsi="Arial"/>
                <w:sz w:val="18"/>
                <w:szCs w:val="18"/>
                <w:color w:val="auto"/>
              </w:rPr>
              <w:t>ARE-QRS CORP.,</w:t>
            </w:r>
          </w:p>
        </w:tc>
      </w:tr>
      <w:tr>
        <w:trPr>
          <w:trHeight w:val="203"/>
        </w:trPr>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20" w:type="dxa"/>
            <w:vAlign w:val="bottom"/>
            <w:gridSpan w:val="8"/>
          </w:tcPr>
          <w:p>
            <w:pPr>
              <w:ind w:left="280"/>
              <w:spacing w:after="0" w:line="202" w:lineRule="exact"/>
              <w:rPr>
                <w:sz w:val="20"/>
                <w:szCs w:val="20"/>
                <w:color w:val="auto"/>
              </w:rPr>
            </w:pPr>
            <w:r>
              <w:rPr>
                <w:rFonts w:ascii="Arial" w:cs="Arial" w:eastAsia="Arial" w:hAnsi="Arial"/>
                <w:sz w:val="18"/>
                <w:szCs w:val="18"/>
                <w:color w:val="auto"/>
              </w:rPr>
              <w:t>a Maryland corporation,</w:t>
            </w:r>
          </w:p>
        </w:tc>
      </w:tr>
      <w:tr>
        <w:trPr>
          <w:trHeight w:val="217"/>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20" w:type="dxa"/>
            <w:vAlign w:val="bottom"/>
            <w:gridSpan w:val="8"/>
          </w:tcPr>
          <w:p>
            <w:pPr>
              <w:ind w:left="280"/>
              <w:spacing w:after="0"/>
              <w:rPr>
                <w:sz w:val="20"/>
                <w:szCs w:val="20"/>
                <w:color w:val="auto"/>
              </w:rPr>
            </w:pPr>
            <w:r>
              <w:rPr>
                <w:rFonts w:ascii="Arial" w:cs="Arial" w:eastAsia="Arial" w:hAnsi="Arial"/>
                <w:sz w:val="18"/>
                <w:szCs w:val="18"/>
                <w:color w:val="auto"/>
              </w:rPr>
              <w:t>General Partner</w:t>
            </w:r>
          </w:p>
        </w:tc>
      </w:tr>
      <w:tr>
        <w:trPr>
          <w:trHeight w:val="594"/>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Gary Dean</w:t>
            </w:r>
          </w:p>
        </w:tc>
        <w:tc>
          <w:tcPr>
            <w:tcW w:w="800" w:type="dxa"/>
            <w:vAlign w:val="bottom"/>
            <w:gridSpan w:val="3"/>
          </w:tcPr>
          <w:p>
            <w:pPr>
              <w:spacing w:after="0"/>
              <w:rPr>
                <w:sz w:val="24"/>
                <w:szCs w:val="24"/>
                <w:color w:val="auto"/>
              </w:rPr>
            </w:pPr>
          </w:p>
        </w:tc>
      </w:tr>
      <w:tr>
        <w:trPr>
          <w:trHeight w:val="183"/>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4"/>
          </w:tcPr>
          <w:p>
            <w:pPr>
              <w:spacing w:after="0" w:line="182" w:lineRule="exact"/>
              <w:rPr>
                <w:sz w:val="20"/>
                <w:szCs w:val="20"/>
                <w:color w:val="auto"/>
              </w:rPr>
            </w:pPr>
            <w:r>
              <w:rPr>
                <w:rFonts w:ascii="Arial" w:cs="Arial" w:eastAsia="Arial" w:hAnsi="Arial"/>
                <w:sz w:val="18"/>
                <w:szCs w:val="18"/>
                <w:color w:val="auto"/>
              </w:rPr>
              <w:t>Gary Dean</w:t>
            </w:r>
          </w:p>
        </w:tc>
      </w:tr>
      <w:tr>
        <w:trPr>
          <w:trHeight w:val="20"/>
        </w:trPr>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120" w:type="dxa"/>
            <w:vAlign w:val="bottom"/>
            <w:gridSpan w:val="8"/>
          </w:tcPr>
          <w:p>
            <w:pPr>
              <w:ind w:left="300"/>
              <w:spacing w:after="0" w:line="182" w:lineRule="exact"/>
              <w:rPr>
                <w:sz w:val="20"/>
                <w:szCs w:val="20"/>
                <w:color w:val="auto"/>
              </w:rPr>
            </w:pPr>
            <w:r>
              <w:rPr>
                <w:rFonts w:ascii="Arial" w:cs="Arial" w:eastAsia="Arial" w:hAnsi="Arial"/>
                <w:sz w:val="18"/>
                <w:szCs w:val="18"/>
                <w:color w:val="auto"/>
              </w:rPr>
              <w:t>Its: Executive Vice President</w:t>
            </w:r>
          </w:p>
        </w:tc>
      </w:tr>
      <w:tr>
        <w:trPr>
          <w:trHeight w:val="20"/>
        </w:trPr>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6" w:name="page177"/>
    <w:bookmarkEnd w:id="176"/>
    <w:p>
      <w:pPr>
        <w:ind w:left="880"/>
        <w:spacing w:after="0"/>
        <w:rPr>
          <w:sz w:val="20"/>
          <w:szCs w:val="20"/>
          <w:color w:val="auto"/>
        </w:rPr>
      </w:pPr>
      <w:r>
        <w:rPr>
          <w:rFonts w:ascii="Arial" w:cs="Arial" w:eastAsia="Arial" w:hAnsi="Arial"/>
          <w:sz w:val="18"/>
          <w:szCs w:val="18"/>
          <w:b w:val="1"/>
          <w:bCs w:val="1"/>
          <w:color w:val="auto"/>
        </w:rPr>
        <w:t xml:space="preserve">10102 Hoyt Park/Arrowhead Pharma - Page </w:t>
      </w:r>
      <w:r>
        <w:rPr>
          <w:rFonts w:ascii="Arial" w:cs="Arial" w:eastAsia="Arial" w:hAnsi="Arial"/>
          <w:sz w:val="18"/>
          <w:szCs w:val="18"/>
          <w:color w:val="auto"/>
        </w:rPr>
        <w:t>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A TO LEASE</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7" w:name="page178"/>
    <w:bookmarkEnd w:id="177"/>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B TO LEASE</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8" w:name="page179"/>
    <w:bookmarkEnd w:id="178"/>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EXHIBIT C TO LEASE</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9" w:name="page180"/>
    <w:bookmarkEnd w:id="179"/>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2</w:t>
      </w:r>
    </w:p>
    <w:p>
      <w:pPr>
        <w:spacing w:after="0" w:line="200" w:lineRule="exact"/>
        <w:rPr>
          <w:sz w:val="20"/>
          <w:szCs w:val="20"/>
          <w:color w:val="auto"/>
        </w:rPr>
      </w:pP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D TO LEASE</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ACKNOWLEDGMENT OF COMMENCEMENT DATE</w:t>
      </w: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0" w:name="page181"/>
    <w:bookmarkEnd w:id="180"/>
    <w:p>
      <w:pPr>
        <w:spacing w:after="0"/>
        <w:tabs>
          <w:tab w:leader="none" w:pos="2580" w:val="left"/>
        </w:tabs>
        <w:rPr>
          <w:sz w:val="20"/>
          <w:szCs w:val="20"/>
          <w:color w:val="auto"/>
        </w:rPr>
      </w:pPr>
      <w:r>
        <w:rPr>
          <w:rFonts w:ascii="Arial" w:cs="Arial" w:eastAsia="Arial" w:hAnsi="Arial"/>
          <w:sz w:val="18"/>
          <w:szCs w:val="18"/>
          <w:b w:val="1"/>
          <w:bCs w:val="1"/>
          <w:color w:val="auto"/>
        </w:rPr>
        <w:t>Rules and Regulations</w:t>
      </w:r>
      <w:r>
        <w:rPr>
          <w:sz w:val="20"/>
          <w:szCs w:val="20"/>
          <w:color w:val="auto"/>
        </w:rPr>
        <w:tab/>
      </w:r>
      <w:r>
        <w:rPr>
          <w:rFonts w:ascii="Arial" w:cs="Arial" w:eastAsia="Arial" w:hAnsi="Arial"/>
          <w:sz w:val="17"/>
          <w:szCs w:val="17"/>
          <w:b w:val="1"/>
          <w:bCs w:val="1"/>
          <w:color w:val="auto"/>
        </w:rPr>
        <w:t xml:space="preserve">10102 Hoyt Park/Arrowhead - Page </w:t>
      </w:r>
      <w:r>
        <w:rPr>
          <w:rFonts w:ascii="Arial" w:cs="Arial" w:eastAsia="Arial" w:hAnsi="Arial"/>
          <w:sz w:val="17"/>
          <w:szCs w:val="17"/>
          <w:color w:val="auto"/>
        </w:rPr>
        <w:t>1</w:t>
      </w:r>
    </w:p>
    <w:p>
      <w:pPr>
        <w:spacing w:after="0" w:line="21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E TO LEASE</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1" w:name="page182"/>
    <w:bookmarkEnd w:id="181"/>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F TO LEASE</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2" w:name="page183"/>
    <w:bookmarkEnd w:id="182"/>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G</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u w:val="single" w:color="auto"/>
          <w:color w:val="auto"/>
        </w:rPr>
        <w:t>MAINTENANCE RESPONSIBILITY</w:t>
      </w: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3" w:name="page184"/>
    <w:bookmarkEnd w:id="183"/>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2</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EXHIBIT H</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SIGNAGE</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4" w:name="page185"/>
    <w:bookmarkEnd w:id="184"/>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3</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I TO LEASE</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u w:val="single" w:color="auto"/>
          <w:color w:val="auto"/>
        </w:rPr>
        <w:t>DOG VISITATION POLICY</w:t>
      </w: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5" w:name="page186"/>
    <w:bookmarkEnd w:id="185"/>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4</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J TO LEASE</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u w:val="single" w:color="auto"/>
          <w:color w:val="auto"/>
        </w:rPr>
        <w:t>EXAMPLE DEPICTIONS OF SCRIPPS RANCH AMENITIES</w:t>
      </w: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6" w:name="page187"/>
    <w:bookmarkEnd w:id="186"/>
    <w:p>
      <w:pPr>
        <w:ind w:left="880"/>
        <w:spacing w:after="0"/>
        <w:rPr>
          <w:sz w:val="20"/>
          <w:szCs w:val="20"/>
          <w:color w:val="auto"/>
        </w:rPr>
      </w:pPr>
      <w:r>
        <w:rPr>
          <w:rFonts w:ascii="Arial" w:cs="Arial" w:eastAsia="Arial" w:hAnsi="Arial"/>
          <w:sz w:val="18"/>
          <w:szCs w:val="18"/>
          <w:b w:val="1"/>
          <w:bCs w:val="1"/>
          <w:color w:val="auto"/>
        </w:rPr>
        <w:t xml:space="preserve">10102 Hoyt Park/Arrowhead - Page </w:t>
      </w:r>
      <w:r>
        <w:rPr>
          <w:rFonts w:ascii="Arial" w:cs="Arial" w:eastAsia="Arial" w:hAnsi="Arial"/>
          <w:sz w:val="18"/>
          <w:szCs w:val="18"/>
          <w:color w:val="auto"/>
        </w:rPr>
        <w:t>5</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K TO LEASE</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SCRIPPS RANCH MARKET</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743522686.11</w:t>
      </w:r>
    </w:p>
    <w:p>
      <w:pPr>
        <w:sectPr>
          <w:pgSz w:w="11900" w:h="16838" w:orient="portrait"/>
          <w:cols w:equalWidth="0" w:num="1">
            <w:col w:w="10139"/>
          </w:cols>
          <w:pgMar w:left="320" w:top="118" w:right="1440" w:bottom="1440" w:gutter="0" w:footer="0" w:header="0"/>
        </w:sectPr>
      </w:pPr>
    </w:p>
    <w:bookmarkStart w:id="187" w:name="page188"/>
    <w:bookmarkEnd w:id="187"/>
    <w:p>
      <w:pPr>
        <w:ind w:right="260"/>
        <w:spacing w:after="0" w:line="266" w:lineRule="auto"/>
        <w:rPr>
          <w:sz w:val="20"/>
          <w:szCs w:val="20"/>
          <w:color w:val="auto"/>
        </w:rPr>
      </w:pPr>
      <w:r>
        <w:rPr>
          <w:rFonts w:ascii="Arial" w:cs="Arial" w:eastAsia="Arial" w:hAnsi="Arial"/>
          <w:sz w:val="18"/>
          <w:szCs w:val="18"/>
          <w:b w:val="1"/>
          <w:bCs w:val="1"/>
          <w:color w:val="auto"/>
        </w:rPr>
        <w:t>[***] = CERTAIN CONFIDENTIAL INFORMATION CONTAINED IN THIS DOCUMENT, MARKED BY BRACKETS, HAS BEEN OMITTED BECAUSE THE INFORMATION (I) IS NOT MATERIAL AND (II) WOULD BE COMPETITIVELY HARMFUL IF PUBLICLY DISCLOSED.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Separation and Release of Claims Agreement</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color w:val="auto"/>
        </w:rPr>
        <w:t>This Separation and Release of Claims Agreement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by and between Arrowhead Pharmaceuticals, Inc., a Delaware corporation, on behalf of itself, its subsidiaries, and other corporate affiliates, and each of their respective employees, officers, directors, owners, shareholders, and agents (collectively individually referred to as "</w:t>
      </w:r>
      <w:r>
        <w:rPr>
          <w:rFonts w:ascii="Arial" w:cs="Arial" w:eastAsia="Arial" w:hAnsi="Arial"/>
          <w:sz w:val="19"/>
          <w:szCs w:val="19"/>
          <w:b w:val="1"/>
          <w:bCs w:val="1"/>
          <w:color w:val="auto"/>
        </w:rPr>
        <w:t>Arrowhead</w:t>
      </w:r>
      <w:r>
        <w:rPr>
          <w:rFonts w:ascii="Arial" w:cs="Arial" w:eastAsia="Arial" w:hAnsi="Arial"/>
          <w:sz w:val="19"/>
          <w:szCs w:val="19"/>
          <w:color w:val="auto"/>
        </w:rPr>
        <w:t>"), and</w:t>
      </w:r>
    </w:p>
    <w:p>
      <w:pPr>
        <w:spacing w:after="0" w:line="2"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James Hassard (the "</w:t>
      </w:r>
      <w:r>
        <w:rPr>
          <w:rFonts w:ascii="Arial" w:cs="Arial" w:eastAsia="Arial" w:hAnsi="Arial"/>
          <w:sz w:val="22"/>
          <w:szCs w:val="22"/>
          <w:b w:val="1"/>
          <w:bCs w:val="1"/>
          <w:color w:val="auto"/>
        </w:rPr>
        <w:t>Employee</w:t>
      </w:r>
      <w:r>
        <w:rPr>
          <w:rFonts w:ascii="Arial" w:cs="Arial" w:eastAsia="Arial" w:hAnsi="Arial"/>
          <w:sz w:val="22"/>
          <w:szCs w:val="22"/>
          <w:color w:val="auto"/>
        </w:rPr>
        <w:t>"), residing at *** (Arrowhead and the Employee are collectively referred to as the "</w:t>
      </w:r>
      <w:r>
        <w:rPr>
          <w:rFonts w:ascii="Arial" w:cs="Arial" w:eastAsia="Arial" w:hAnsi="Arial"/>
          <w:sz w:val="22"/>
          <w:szCs w:val="22"/>
          <w:b w:val="1"/>
          <w:bCs w:val="1"/>
          <w:color w:val="auto"/>
        </w:rPr>
        <w:t>Parties</w:t>
      </w:r>
      <w:r>
        <w:rPr>
          <w:rFonts w:ascii="Arial" w:cs="Arial" w:eastAsia="Arial" w:hAnsi="Arial"/>
          <w:sz w:val="22"/>
          <w:szCs w:val="22"/>
          <w:color w:val="auto"/>
        </w:rPr>
        <w:t>") as of the date of the last signature below (the "</w:t>
      </w:r>
      <w:r>
        <w:rPr>
          <w:rFonts w:ascii="Arial" w:cs="Arial" w:eastAsia="Arial" w:hAnsi="Arial"/>
          <w:sz w:val="22"/>
          <w:szCs w:val="22"/>
          <w:b w:val="1"/>
          <w:bCs w:val="1"/>
          <w:color w:val="auto"/>
        </w:rPr>
        <w:t>Execution Date</w:t>
      </w:r>
      <w:r>
        <w:rPr>
          <w:rFonts w:ascii="Arial" w:cs="Arial" w:eastAsia="Arial" w:hAnsi="Arial"/>
          <w:sz w:val="22"/>
          <w:szCs w:val="22"/>
          <w:color w:val="auto"/>
        </w:rPr>
        <w:t>"). This Agreement was delivered to Employee on August 19, 2021, and Employee may accept its terms on or before September 10, 2021, after which it is withdrawn by Arrowhead if not fully executed.</w:t>
      </w:r>
    </w:p>
    <w:p>
      <w:pPr>
        <w:spacing w:after="0" w:line="114" w:lineRule="exact"/>
        <w:rPr>
          <w:sz w:val="20"/>
          <w:szCs w:val="20"/>
          <w:color w:val="auto"/>
        </w:rPr>
      </w:pPr>
    </w:p>
    <w:p>
      <w:pPr>
        <w:ind w:right="160"/>
        <w:spacing w:after="0" w:line="283" w:lineRule="auto"/>
        <w:rPr>
          <w:sz w:val="20"/>
          <w:szCs w:val="20"/>
          <w:color w:val="auto"/>
        </w:rPr>
      </w:pPr>
      <w:r>
        <w:rPr>
          <w:rFonts w:ascii="Arial" w:cs="Arial" w:eastAsia="Arial" w:hAnsi="Arial"/>
          <w:sz w:val="19"/>
          <w:szCs w:val="19"/>
          <w:color w:val="auto"/>
        </w:rPr>
        <w:t>The Employee's last day of employment with Arrowhead was August 23, 2021 (the "</w:t>
      </w:r>
      <w:r>
        <w:rPr>
          <w:rFonts w:ascii="Arial" w:cs="Arial" w:eastAsia="Arial" w:hAnsi="Arial"/>
          <w:sz w:val="19"/>
          <w:szCs w:val="19"/>
          <w:b w:val="1"/>
          <w:bCs w:val="1"/>
          <w:color w:val="auto"/>
        </w:rPr>
        <w:t>Separation Date</w:t>
      </w:r>
      <w:r>
        <w:rPr>
          <w:rFonts w:ascii="Arial" w:cs="Arial" w:eastAsia="Arial" w:hAnsi="Arial"/>
          <w:sz w:val="19"/>
          <w:szCs w:val="19"/>
          <w:color w:val="auto"/>
        </w:rPr>
        <w:t>"). After the Separation Date, the Employee will not represent themselves as being an employee, officer, attorney, agent, or representative of Arrowhead for any purpose. Unless otherwise provided in this Agreement, the Separation Date is the employment termination date for the Employee for all purposes, meaning the Employee is not entitled to any further compensation, monies, or other benefits from Arrowhead, including coverage under any benefits plans or programs sponsored by Arrowhead, as of the Separation Date.</w:t>
      </w:r>
    </w:p>
    <w:p>
      <w:pPr>
        <w:spacing w:after="0" w:line="149" w:lineRule="exact"/>
        <w:rPr>
          <w:sz w:val="20"/>
          <w:szCs w:val="20"/>
          <w:color w:val="auto"/>
        </w:rPr>
      </w:pPr>
    </w:p>
    <w:p>
      <w:pPr>
        <w:ind w:right="320" w:firstLine="872"/>
        <w:spacing w:after="0" w:line="257" w:lineRule="auto"/>
        <w:tabs>
          <w:tab w:leader="none" w:pos="1674" w:val="left"/>
        </w:tabs>
        <w:numPr>
          <w:ilvl w:val="0"/>
          <w:numId w:val="299"/>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The Employee warrants and represents that they have returned all Arrowhead property, including identification cards or badges, keys, computers, telephones, credit cards, electronically stored documents or files, physical files, and any other Arrowhead property in the Employee's possession.</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Employee Representations</w:t>
      </w:r>
      <w:r>
        <w:rPr>
          <w:rFonts w:ascii="Arial" w:cs="Arial" w:eastAsia="Arial" w:hAnsi="Arial"/>
          <w:sz w:val="19"/>
          <w:szCs w:val="19"/>
          <w:color w:val="auto"/>
        </w:rPr>
        <w:t>. The Employee specifically represents, warrants, and confirms that the Employee:</w:t>
      </w:r>
    </w:p>
    <w:p>
      <w:pPr>
        <w:spacing w:after="0" w:line="240" w:lineRule="exact"/>
        <w:rPr>
          <w:rFonts w:ascii="Arial" w:cs="Arial" w:eastAsia="Arial" w:hAnsi="Arial"/>
          <w:sz w:val="19"/>
          <w:szCs w:val="19"/>
          <w:color w:val="auto"/>
        </w:rPr>
      </w:pPr>
    </w:p>
    <w:p>
      <w:pPr>
        <w:ind w:left="880" w:right="360" w:firstLine="789"/>
        <w:spacing w:after="0" w:line="250" w:lineRule="auto"/>
        <w:tabs>
          <w:tab w:leader="none" w:pos="2565" w:val="left"/>
        </w:tabs>
        <w:numPr>
          <w:ilvl w:val="1"/>
          <w:numId w:val="299"/>
        </w:numPr>
        <w:rPr>
          <w:rFonts w:ascii="Arial" w:cs="Arial" w:eastAsia="Arial" w:hAnsi="Arial"/>
          <w:sz w:val="22"/>
          <w:szCs w:val="22"/>
          <w:color w:val="auto"/>
        </w:rPr>
      </w:pPr>
      <w:r>
        <w:rPr>
          <w:rFonts w:ascii="Arial" w:cs="Arial" w:eastAsia="Arial" w:hAnsi="Arial"/>
          <w:sz w:val="22"/>
          <w:szCs w:val="22"/>
          <w:color w:val="auto"/>
        </w:rPr>
        <w:t>has not filed any claims, complaints, or actions of any kind against Arrowhead with any court of law, or local, state, or federal government or agency;</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1"/>
          <w:numId w:val="299"/>
        </w:numPr>
        <w:rPr>
          <w:rFonts w:ascii="Arial" w:cs="Arial" w:eastAsia="Arial" w:hAnsi="Arial"/>
          <w:sz w:val="22"/>
          <w:szCs w:val="22"/>
          <w:color w:val="auto"/>
        </w:rPr>
      </w:pPr>
      <w:r>
        <w:rPr>
          <w:rFonts w:ascii="Arial" w:cs="Arial" w:eastAsia="Arial" w:hAnsi="Arial"/>
          <w:sz w:val="22"/>
          <w:szCs w:val="22"/>
          <w:color w:val="auto"/>
        </w:rPr>
        <w:t>has been properly paid for all hours worked for Arrowhead;</w:t>
      </w:r>
    </w:p>
    <w:p>
      <w:pPr>
        <w:spacing w:after="0" w:line="206" w:lineRule="exact"/>
        <w:rPr>
          <w:rFonts w:ascii="Arial" w:cs="Arial" w:eastAsia="Arial" w:hAnsi="Arial"/>
          <w:sz w:val="22"/>
          <w:szCs w:val="22"/>
          <w:color w:val="auto"/>
        </w:rPr>
      </w:pPr>
    </w:p>
    <w:p>
      <w:pPr>
        <w:ind w:left="880" w:right="100" w:firstLine="789"/>
        <w:spacing w:after="0"/>
        <w:tabs>
          <w:tab w:leader="none" w:pos="2565" w:val="left"/>
        </w:tabs>
        <w:numPr>
          <w:ilvl w:val="1"/>
          <w:numId w:val="299"/>
        </w:numPr>
        <w:rPr>
          <w:rFonts w:ascii="Arial" w:cs="Arial" w:eastAsia="Arial" w:hAnsi="Arial"/>
          <w:sz w:val="22"/>
          <w:szCs w:val="22"/>
          <w:color w:val="auto"/>
        </w:rPr>
      </w:pPr>
      <w:r>
        <w:rPr>
          <w:rFonts w:ascii="Arial" w:cs="Arial" w:eastAsia="Arial" w:hAnsi="Arial"/>
          <w:sz w:val="22"/>
          <w:szCs w:val="22"/>
          <w:color w:val="auto"/>
        </w:rPr>
        <w:t>has received all commissions, bonuses, and other compensation due to the Employee, including the Employee's final paycheck for wages and any accrued but unused vacation or paid time off through and including the Separation Date; and</w:t>
      </w:r>
    </w:p>
    <w:p>
      <w:pPr>
        <w:spacing w:after="0" w:line="186" w:lineRule="exact"/>
        <w:rPr>
          <w:rFonts w:ascii="Arial" w:cs="Arial" w:eastAsia="Arial" w:hAnsi="Arial"/>
          <w:sz w:val="22"/>
          <w:szCs w:val="22"/>
          <w:color w:val="auto"/>
        </w:rPr>
      </w:pPr>
    </w:p>
    <w:p>
      <w:pPr>
        <w:ind w:left="880" w:right="140" w:firstLine="789"/>
        <w:spacing w:after="0" w:line="250" w:lineRule="auto"/>
        <w:tabs>
          <w:tab w:leader="none" w:pos="2577" w:val="left"/>
        </w:tabs>
        <w:numPr>
          <w:ilvl w:val="1"/>
          <w:numId w:val="299"/>
        </w:numPr>
        <w:rPr>
          <w:rFonts w:ascii="Arial" w:cs="Arial" w:eastAsia="Arial" w:hAnsi="Arial"/>
          <w:sz w:val="22"/>
          <w:szCs w:val="22"/>
          <w:color w:val="auto"/>
        </w:rPr>
      </w:pPr>
      <w:r>
        <w:rPr>
          <w:rFonts w:ascii="Arial" w:cs="Arial" w:eastAsia="Arial" w:hAnsi="Arial"/>
          <w:sz w:val="22"/>
          <w:szCs w:val="22"/>
          <w:color w:val="auto"/>
        </w:rPr>
        <w:t>has not engaged in and is not aware of any unlawful conduct relating to the business of Arrowhead that Employee has not disclosed to Arrowhead’s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right="20" w:firstLine="1727"/>
        <w:spacing w:after="0"/>
        <w:rPr>
          <w:sz w:val="20"/>
          <w:szCs w:val="20"/>
          <w:color w:val="auto"/>
        </w:rPr>
      </w:pPr>
      <w:r>
        <w:rPr>
          <w:rFonts w:ascii="Arial" w:cs="Arial" w:eastAsia="Arial" w:hAnsi="Arial"/>
          <w:sz w:val="22"/>
          <w:szCs w:val="22"/>
          <w:color w:val="auto"/>
        </w:rPr>
        <w:t>If any of these statements are not true, the Employee cannot sign this Agreement and must notify Arrowhead immediately in writing of the statements that are not true. This notice will not automatically disqualify the Employee from receiving these benefits, but will require Arrowhead's review and consideration.</w:t>
      </w:r>
    </w:p>
    <w:p>
      <w:pPr>
        <w:spacing w:after="0" w:line="186" w:lineRule="exact"/>
        <w:rPr>
          <w:sz w:val="20"/>
          <w:szCs w:val="20"/>
          <w:color w:val="auto"/>
        </w:rPr>
      </w:pPr>
    </w:p>
    <w:p>
      <w:pPr>
        <w:ind w:right="360" w:firstLine="872"/>
        <w:spacing w:after="0"/>
        <w:tabs>
          <w:tab w:leader="none" w:pos="1674"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In consideration for the Employee's execution of, non-revocation of, and compliance with this Agreement, including the Employee's waiver and release of claims in Section 4, Arrowhead agrees to provide the following benefits to which the Employee is not otherwise entitled:</w:t>
      </w:r>
    </w:p>
    <w:p>
      <w:pPr>
        <w:spacing w:after="0" w:line="186" w:lineRule="exact"/>
        <w:rPr>
          <w:rFonts w:ascii="Arial" w:cs="Arial" w:eastAsia="Arial" w:hAnsi="Arial"/>
          <w:sz w:val="22"/>
          <w:szCs w:val="22"/>
          <w:color w:val="auto"/>
        </w:rPr>
      </w:pPr>
    </w:p>
    <w:p>
      <w:pPr>
        <w:ind w:left="880" w:right="160" w:firstLine="789"/>
        <w:spacing w:after="0"/>
        <w:tabs>
          <w:tab w:leader="none" w:pos="2565" w:val="left"/>
        </w:tabs>
        <w:numPr>
          <w:ilvl w:val="1"/>
          <w:numId w:val="300"/>
        </w:numPr>
        <w:rPr>
          <w:rFonts w:ascii="Arial" w:cs="Arial" w:eastAsia="Arial" w:hAnsi="Arial"/>
          <w:sz w:val="22"/>
          <w:szCs w:val="22"/>
          <w:color w:val="auto"/>
        </w:rPr>
      </w:pPr>
      <w:r>
        <w:rPr>
          <w:rFonts w:ascii="Arial" w:cs="Arial" w:eastAsia="Arial" w:hAnsi="Arial"/>
          <w:sz w:val="22"/>
          <w:szCs w:val="22"/>
          <w:color w:val="auto"/>
        </w:rPr>
        <w:t>A lump sum payment of $335,608.36, less all relevant taxes and other withholdings, to be paid within 21 days of Employee’s return of this Agreement fully executed as discussed below, provided the Agreement is not timely revoked.</w:t>
      </w:r>
    </w:p>
    <w:p>
      <w:pPr>
        <w:spacing w:after="0" w:line="186"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Notwithstanding the foregoing, no payment shall be made or begin before the Effective Date</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(defined below).</w:t>
      </w:r>
    </w:p>
    <w:p>
      <w:pPr>
        <w:spacing w:after="0" w:line="188" w:lineRule="exact"/>
        <w:rPr>
          <w:sz w:val="20"/>
          <w:szCs w:val="20"/>
          <w:color w:val="auto"/>
        </w:rPr>
      </w:pPr>
    </w:p>
    <w:p>
      <w:pPr>
        <w:ind w:left="880" w:firstLine="1594"/>
        <w:spacing w:after="0" w:line="287" w:lineRule="auto"/>
        <w:rPr>
          <w:sz w:val="20"/>
          <w:szCs w:val="20"/>
          <w:color w:val="auto"/>
        </w:rPr>
      </w:pPr>
      <w:r>
        <w:rPr>
          <w:rFonts w:ascii="Arial" w:cs="Arial" w:eastAsia="Arial" w:hAnsi="Arial"/>
          <w:sz w:val="19"/>
          <w:szCs w:val="19"/>
          <w:color w:val="auto"/>
        </w:rPr>
        <w:t>Employee understands, acknowledges, and agrees that these benefits exceed what the Employee is otherwise entitled to receive upon separation from employment, and that these benefits are being given in exchange for executing this Agreement, including the general release. The Employee further acknowledges no entitlement to any additional payment or consideration not specifically referenced in this Agreement.</w:t>
      </w:r>
    </w:p>
    <w:p>
      <w:pPr>
        <w:spacing w:after="0" w:line="143" w:lineRule="exact"/>
        <w:rPr>
          <w:sz w:val="20"/>
          <w:szCs w:val="20"/>
          <w:color w:val="auto"/>
        </w:rPr>
      </w:pPr>
    </w:p>
    <w:p>
      <w:pPr>
        <w:ind w:left="1680" w:hanging="808"/>
        <w:spacing w:after="0"/>
        <w:tabs>
          <w:tab w:leader="none" w:pos="1680"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1"/>
          <w:numId w:val="301"/>
        </w:numPr>
        <w:rPr>
          <w:rFonts w:ascii="Arial" w:cs="Arial" w:eastAsia="Arial" w:hAnsi="Arial"/>
          <w:sz w:val="22"/>
          <w:szCs w:val="22"/>
          <w:color w:val="auto"/>
        </w:rPr>
      </w:pPr>
      <w:r>
        <w:rPr>
          <w:rFonts w:ascii="Arial" w:cs="Arial" w:eastAsia="Arial" w:hAnsi="Arial"/>
          <w:sz w:val="22"/>
          <w:szCs w:val="22"/>
          <w:color w:val="auto"/>
        </w:rPr>
        <w:t>Employee's General Release and Waiver of Claims</w:t>
      </w:r>
    </w:p>
    <w:p>
      <w:pPr>
        <w:spacing w:after="0" w:line="206" w:lineRule="exact"/>
        <w:rPr>
          <w:sz w:val="20"/>
          <w:szCs w:val="20"/>
          <w:color w:val="auto"/>
        </w:rPr>
      </w:pPr>
    </w:p>
    <w:p>
      <w:pPr>
        <w:ind w:left="880" w:firstLine="1594"/>
        <w:spacing w:after="0" w:line="272" w:lineRule="auto"/>
        <w:rPr>
          <w:sz w:val="20"/>
          <w:szCs w:val="20"/>
          <w:color w:val="auto"/>
        </w:rPr>
      </w:pPr>
      <w:r>
        <w:rPr>
          <w:rFonts w:ascii="Arial" w:cs="Arial" w:eastAsia="Arial" w:hAnsi="Arial"/>
          <w:sz w:val="19"/>
          <w:szCs w:val="19"/>
          <w:color w:val="auto"/>
        </w:rPr>
        <w:t>In exchange for the consideration provided in this Agreement, the Employee and the Employee's heirs, executors, representatives, administrators, agents, and assigns (collectively, the "</w:t>
      </w:r>
      <w:r>
        <w:rPr>
          <w:rFonts w:ascii="Arial" w:cs="Arial" w:eastAsia="Arial" w:hAnsi="Arial"/>
          <w:sz w:val="19"/>
          <w:szCs w:val="19"/>
          <w:b w:val="1"/>
          <w:bCs w:val="1"/>
          <w:color w:val="auto"/>
        </w:rPr>
        <w:t>Releasors</w:t>
      </w:r>
      <w:r>
        <w:rPr>
          <w:rFonts w:ascii="Arial" w:cs="Arial" w:eastAsia="Arial" w:hAnsi="Arial"/>
          <w:sz w:val="19"/>
          <w:szCs w:val="19"/>
          <w:color w:val="auto"/>
        </w:rPr>
        <w:t>") irrevocably and unconditionally fully and forever waive, release, and discharge Arrowhead, including each member of Arrowhead's parents, subsidiaries, affiliates, predecessors, successors, and assigns, and all of their respective officers, directors, employees, and shareholders, in their corporate and individual capacities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from any and all claims, demands, actions, causes of actions, obligations, judgments, rights, fees, damages, debts, obligations, liabilities, and expenses (inclusive of attorneys' fees) of any kind whatsoever, whether known or unknown, from the beginning of time through the date of the Employee's execution of this Agreement (collectively, "</w:t>
      </w:r>
      <w:r>
        <w:rPr>
          <w:rFonts w:ascii="Arial" w:cs="Arial" w:eastAsia="Arial" w:hAnsi="Arial"/>
          <w:sz w:val="19"/>
          <w:szCs w:val="19"/>
          <w:b w:val="1"/>
          <w:bCs w:val="1"/>
          <w:color w:val="auto"/>
        </w:rPr>
        <w:t>Claims</w:t>
      </w:r>
      <w:r>
        <w:rPr>
          <w:rFonts w:ascii="Arial" w:cs="Arial" w:eastAsia="Arial" w:hAnsi="Arial"/>
          <w:sz w:val="19"/>
          <w:szCs w:val="19"/>
          <w:color w:val="auto"/>
        </w:rPr>
        <w:t>"), including, without limitation, any claims under any federal, state, local, or foreign law, that Releasors may have, have ever had, or may in the future have arising out of, or in any way related to the Employee's hire, benefits, employment, termination, or separation from employment with Arrowhead and any actual or alleged act, omission, transaction, practice, conduct, occurrence, or other matter, including but not limited to:</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189" w:name="page190"/>
    <w:bookmarkEnd w:id="189"/>
    <w:p>
      <w:pPr>
        <w:ind w:left="860" w:firstLine="726"/>
        <w:spacing w:after="0" w:line="273" w:lineRule="auto"/>
        <w:tabs>
          <w:tab w:leader="none" w:pos="2443" w:val="left"/>
        </w:tabs>
        <w:numPr>
          <w:ilvl w:val="0"/>
          <w:numId w:val="302"/>
        </w:numPr>
        <w:rPr>
          <w:rFonts w:ascii="Arial" w:cs="Arial" w:eastAsia="Arial" w:hAnsi="Arial"/>
          <w:sz w:val="19"/>
          <w:szCs w:val="19"/>
          <w:color w:val="auto"/>
        </w:rPr>
      </w:pPr>
      <w:r>
        <w:rPr>
          <w:rFonts w:ascii="Arial" w:cs="Arial" w:eastAsia="Arial" w:hAnsi="Arial"/>
          <w:sz w:val="19"/>
          <w:szCs w:val="19"/>
          <w:color w:val="auto"/>
        </w:rPr>
        <w:t>any and all claims under Title VII of the Civil Rights Act of 1964, the Americans with Disabilities Act, the Family and Medical Leave Act (with respect to existing but not prospective claims), the Fair Labor Standards Act, the Equal Pay Act, the Employee Retirement Income Security Act (with respect to unvested benefits), the Civil Rights Act of 1991, Section 1981 of U.S.C. Title 42, the Sarbanes-Oxley Act of 2002, the Worker Adjustment and Retraining Notification Act, the National Labor Relations Act, the Age Discrimination in Employment Act, the Uniform Services Employment and Reemployment Rights Act, the Genetic Information Nondiscrimination Act, the California Fair Employment and Housing Act, the California Constitution, the California Labor Code, the Wisconsin Fair Employment Act, the Wisconsin Wage Claim and Payment Law, all as amended, and any other federal, state, local, or foreign law (statutory, regulatory, or otherwise) that may be legally waived and released;</w:t>
      </w:r>
    </w:p>
    <w:p>
      <w:pPr>
        <w:spacing w:after="0" w:line="160" w:lineRule="exact"/>
        <w:rPr>
          <w:rFonts w:ascii="Arial" w:cs="Arial" w:eastAsia="Arial" w:hAnsi="Arial"/>
          <w:sz w:val="19"/>
          <w:szCs w:val="19"/>
          <w:color w:val="auto"/>
        </w:rPr>
      </w:pPr>
    </w:p>
    <w:p>
      <w:pPr>
        <w:ind w:left="860" w:right="60" w:firstLine="726"/>
        <w:spacing w:after="0" w:line="235" w:lineRule="auto"/>
        <w:tabs>
          <w:tab w:leader="none" w:pos="2503"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any and all claims arising under tort, contract, and quasi-contract law, including but not limited to, claims of breach of an express or implied contract, wrongful or retaliatory discharge, fraud, defamation, negligent or international infliction of emotional distress, tortious interference with contract or prospective business advantage, breach of the covenant of good faith and fair dealing, promissory estoppel, detrimental reliance, invasion of privacy, false imprisonment, nonphysical injury, personal injury or sickness, or any other harm;</w:t>
      </w:r>
    </w:p>
    <w:p>
      <w:pPr>
        <w:spacing w:after="0" w:line="187" w:lineRule="exact"/>
        <w:rPr>
          <w:rFonts w:ascii="Arial" w:cs="Arial" w:eastAsia="Arial" w:hAnsi="Arial"/>
          <w:sz w:val="22"/>
          <w:szCs w:val="22"/>
          <w:color w:val="auto"/>
        </w:rPr>
      </w:pPr>
    </w:p>
    <w:p>
      <w:pPr>
        <w:ind w:left="860" w:right="80" w:firstLine="726"/>
        <w:spacing w:after="0"/>
        <w:tabs>
          <w:tab w:leader="none" w:pos="2563" w:val="left"/>
        </w:tabs>
        <w:numPr>
          <w:ilvl w:val="0"/>
          <w:numId w:val="302"/>
        </w:numPr>
        <w:rPr>
          <w:rFonts w:ascii="Arial" w:cs="Arial" w:eastAsia="Arial" w:hAnsi="Arial"/>
          <w:sz w:val="22"/>
          <w:szCs w:val="22"/>
          <w:color w:val="auto"/>
        </w:rPr>
      </w:pPr>
      <w:r>
        <w:rPr>
          <w:rFonts w:ascii="Arial" w:cs="Arial" w:eastAsia="Arial" w:hAnsi="Arial"/>
          <w:sz w:val="22"/>
          <w:szCs w:val="22"/>
          <w:color w:val="auto"/>
        </w:rPr>
        <w:t>any and all claims for compensation of any type whatsoever, including but not limited to, claims for salary, wages, bonuses, commissions, incentive compensation, vacation, sick pay, and severance that may be legally waived and released;</w:t>
      </w:r>
    </w:p>
    <w:p>
      <w:pPr>
        <w:spacing w:after="0" w:line="186" w:lineRule="exact"/>
        <w:rPr>
          <w:rFonts w:ascii="Arial" w:cs="Arial" w:eastAsia="Arial" w:hAnsi="Arial"/>
          <w:sz w:val="22"/>
          <w:szCs w:val="22"/>
          <w:color w:val="auto"/>
        </w:rPr>
      </w:pPr>
    </w:p>
    <w:p>
      <w:pPr>
        <w:ind w:left="860" w:right="20" w:firstLine="726"/>
        <w:spacing w:after="0" w:line="328" w:lineRule="auto"/>
        <w:tabs>
          <w:tab w:leader="none" w:pos="2551" w:val="left"/>
        </w:tabs>
        <w:numPr>
          <w:ilvl w:val="0"/>
          <w:numId w:val="302"/>
        </w:numPr>
        <w:rPr>
          <w:rFonts w:ascii="Arial" w:cs="Arial" w:eastAsia="Arial" w:hAnsi="Arial"/>
          <w:sz w:val="19"/>
          <w:szCs w:val="19"/>
          <w:color w:val="auto"/>
        </w:rPr>
      </w:pPr>
      <w:r>
        <w:rPr>
          <w:rFonts w:ascii="Arial" w:cs="Arial" w:eastAsia="Arial" w:hAnsi="Arial"/>
          <w:sz w:val="19"/>
          <w:szCs w:val="19"/>
          <w:color w:val="auto"/>
        </w:rPr>
        <w:t>and all claims for monetary or equitable relief, including but not limited to attorneys' fees, back pay, front pay, reinstatement, experts' fees, medical fees or expenses, costs, and disbursements.</w:t>
      </w:r>
    </w:p>
    <w:p>
      <w:pPr>
        <w:spacing w:after="0" w:line="105" w:lineRule="exact"/>
        <w:rPr>
          <w:sz w:val="20"/>
          <w:szCs w:val="20"/>
          <w:color w:val="auto"/>
        </w:rPr>
      </w:pPr>
    </w:p>
    <w:p>
      <w:pPr>
        <w:ind w:right="40" w:firstLine="1594"/>
        <w:spacing w:after="0" w:line="279" w:lineRule="auto"/>
        <w:rPr>
          <w:sz w:val="20"/>
          <w:szCs w:val="20"/>
          <w:color w:val="auto"/>
        </w:rPr>
      </w:pPr>
      <w:r>
        <w:rPr>
          <w:rFonts w:ascii="Arial" w:cs="Arial" w:eastAsia="Arial" w:hAnsi="Arial"/>
          <w:sz w:val="19"/>
          <w:szCs w:val="19"/>
          <w:color w:val="auto"/>
        </w:rPr>
        <w:t>However, this general release of claims excludes, and the Employee does not waive, release, or discharge (A) any right to file an administrative charge or complaint with, or testify, assist, or participate in an investigation, hearing, or proceeding conducted by, the Equal Employment Opportunity Commission, or other similar federal or state administrative agencies, although the Employee waives any right to monetary relief related to any filed charge or administrative complaint; (B) claims that cannot be waived by law, such as claims for workers' compensation or unemployment benefits; and (C) defense and/or indemnification rights the Employee may have against Arrowhead.</w:t>
      </w:r>
    </w:p>
    <w:p>
      <w:pPr>
        <w:spacing w:after="0" w:line="150" w:lineRule="exact"/>
        <w:rPr>
          <w:sz w:val="20"/>
          <w:szCs w:val="20"/>
          <w:color w:val="auto"/>
        </w:rPr>
      </w:pPr>
    </w:p>
    <w:p>
      <w:pPr>
        <w:ind w:right="40" w:firstLine="1594"/>
        <w:spacing w:after="0"/>
        <w:rPr>
          <w:sz w:val="20"/>
          <w:szCs w:val="20"/>
          <w:color w:val="auto"/>
        </w:rPr>
      </w:pPr>
      <w:r>
        <w:rPr>
          <w:rFonts w:ascii="Arial" w:cs="Arial" w:eastAsia="Arial" w:hAnsi="Arial"/>
          <w:sz w:val="22"/>
          <w:szCs w:val="22"/>
          <w:color w:val="auto"/>
        </w:rPr>
        <w:t>If the Employee applies for unemployment benefits, Arrowhead shall not actively contest it. However, Arrowhead will respond truthfully, completely, and timely to any inquiries by the Employment Development Department concerning the termination of the Employee's employment.</w:t>
      </w:r>
    </w:p>
    <w:p>
      <w:pPr>
        <w:spacing w:after="0" w:line="186" w:lineRule="exact"/>
        <w:rPr>
          <w:sz w:val="20"/>
          <w:szCs w:val="20"/>
          <w:color w:val="auto"/>
        </w:rPr>
      </w:pPr>
    </w:p>
    <w:p>
      <w:pPr>
        <w:ind w:left="1680" w:hanging="891"/>
        <w:spacing w:after="0"/>
        <w:tabs>
          <w:tab w:leader="none" w:pos="168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Waiver of California Civil Code Section 1542</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550" w:right="359" w:bottom="1440" w:gutter="0" w:footer="0" w:header="0"/>
        </w:sectPr>
      </w:pPr>
    </w:p>
    <w:bookmarkStart w:id="190" w:name="page191"/>
    <w:bookmarkEnd w:id="190"/>
    <w:p>
      <w:pPr>
        <w:ind w:firstLine="1594"/>
        <w:spacing w:after="0" w:line="273" w:lineRule="auto"/>
        <w:rPr>
          <w:sz w:val="20"/>
          <w:szCs w:val="20"/>
          <w:color w:val="auto"/>
        </w:rPr>
      </w:pPr>
      <w:r>
        <w:rPr>
          <w:rFonts w:ascii="Arial" w:cs="Arial" w:eastAsia="Arial" w:hAnsi="Arial"/>
          <w:sz w:val="19"/>
          <w:szCs w:val="19"/>
          <w:color w:val="auto"/>
        </w:rPr>
        <w:t xml:space="preserve">This Agreement is intended to be effective as a general release of and bar to all claims as stated in this Section. Accordingly, the Releasors expressly waive all rights under Section 1542 of the California Civil Code, which states, </w:t>
      </w:r>
      <w:r>
        <w:rPr>
          <w:rFonts w:ascii="Arial" w:cs="Arial" w:eastAsia="Arial" w:hAnsi="Arial"/>
          <w:sz w:val="19"/>
          <w:szCs w:val="19"/>
          <w:color w:val="202124"/>
        </w:rPr>
        <w:t>A GENERAL RELEASE DOES NOT EXTEND TO CLAIMS THAT THE CREDITOR OR</w:t>
      </w:r>
      <w:r>
        <w:rPr>
          <w:rFonts w:ascii="Arial" w:cs="Arial" w:eastAsia="Arial" w:hAnsi="Arial"/>
          <w:sz w:val="19"/>
          <w:szCs w:val="19"/>
          <w:color w:val="auto"/>
        </w:rPr>
        <w:t xml:space="preserve"> </w:t>
      </w:r>
      <w:r>
        <w:rPr>
          <w:rFonts w:ascii="Arial" w:cs="Arial" w:eastAsia="Arial" w:hAnsi="Arial"/>
          <w:sz w:val="19"/>
          <w:szCs w:val="19"/>
          <w:color w:val="202124"/>
        </w:rPr>
        <w:t xml:space="preserve">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000000"/>
        </w:rPr>
        <w:t>The Employee</w:t>
      </w:r>
      <w:r>
        <w:rPr>
          <w:rFonts w:ascii="Arial" w:cs="Arial" w:eastAsia="Arial" w:hAnsi="Arial"/>
          <w:sz w:val="19"/>
          <w:szCs w:val="19"/>
          <w:color w:val="202124"/>
        </w:rPr>
        <w:t xml:space="preserve"> </w:t>
      </w:r>
      <w:r>
        <w:rPr>
          <w:rFonts w:ascii="Arial" w:cs="Arial" w:eastAsia="Arial" w:hAnsi="Arial"/>
          <w:sz w:val="19"/>
          <w:szCs w:val="19"/>
          <w:color w:val="000000"/>
        </w:rPr>
        <w:t>acknowledges that the Employee may later discover claims or facts in addition to or different from those which the Employee now knows or believes to exist with regards to the subject matter of this Agreement, and which, if known or suspected at the time of executing this Agreement, may have materially affected its terms. Nevertheless, the Releasors waive any and all Claims that might arise as a result of such different or additional claims or facts.</w:t>
      </w:r>
    </w:p>
    <w:p>
      <w:pPr>
        <w:spacing w:after="0" w:line="161" w:lineRule="exact"/>
        <w:rPr>
          <w:sz w:val="20"/>
          <w:szCs w:val="20"/>
          <w:color w:val="auto"/>
        </w:rPr>
      </w:pPr>
    </w:p>
    <w:p>
      <w:pPr>
        <w:ind w:left="1680" w:hanging="891"/>
        <w:spacing w:after="0"/>
        <w:tabs>
          <w:tab w:leader="none" w:pos="168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Specific Release of ADEA Claims</w:t>
      </w:r>
    </w:p>
    <w:p>
      <w:pPr>
        <w:spacing w:after="0" w:line="206" w:lineRule="exact"/>
        <w:rPr>
          <w:sz w:val="20"/>
          <w:szCs w:val="20"/>
          <w:color w:val="auto"/>
        </w:rPr>
      </w:pPr>
    </w:p>
    <w:p>
      <w:pPr>
        <w:ind w:left="860" w:firstLine="1462"/>
        <w:spacing w:after="0" w:line="235" w:lineRule="auto"/>
        <w:rPr>
          <w:sz w:val="20"/>
          <w:szCs w:val="20"/>
          <w:color w:val="auto"/>
        </w:rPr>
      </w:pPr>
      <w:r>
        <w:rPr>
          <w:rFonts w:ascii="Arial" w:cs="Arial" w:eastAsia="Arial" w:hAnsi="Arial"/>
          <w:sz w:val="22"/>
          <w:szCs w:val="22"/>
          <w:color w:val="auto"/>
        </w:rPr>
        <w:t>In further consideration of the payments and benefits provided to the Employee in this Agreement, the Releasors irrevocably and unconditionally waive, release, and discharge the Released Parties from any and all Claims, whether known or unknown, from the beginning of time through the date of the Employee's execution of this Agreement arising under the Age Discrimination in Employment Act (ADEA), as amended, and its implementing regulations. By signing this Agreement, the Employee acknowledges and confirms that:</w:t>
      </w:r>
    </w:p>
    <w:p>
      <w:pPr>
        <w:spacing w:after="0" w:line="188" w:lineRule="exact"/>
        <w:rPr>
          <w:sz w:val="20"/>
          <w:szCs w:val="20"/>
          <w:color w:val="auto"/>
        </w:rPr>
      </w:pPr>
    </w:p>
    <w:p>
      <w:pPr>
        <w:ind w:left="2440" w:hanging="854"/>
        <w:spacing w:after="0"/>
        <w:tabs>
          <w:tab w:leader="none" w:pos="24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Employee has read this Agreement in its entirety and understands all of its terms;</w:t>
      </w:r>
    </w:p>
    <w:p>
      <w:pPr>
        <w:spacing w:after="0" w:line="240" w:lineRule="exact"/>
        <w:rPr>
          <w:rFonts w:ascii="Arial" w:cs="Arial" w:eastAsia="Arial" w:hAnsi="Arial"/>
          <w:sz w:val="19"/>
          <w:szCs w:val="19"/>
          <w:color w:val="auto"/>
        </w:rPr>
      </w:pPr>
    </w:p>
    <w:p>
      <w:pPr>
        <w:ind w:left="860" w:right="100" w:firstLine="726"/>
        <w:spacing w:after="0" w:line="250" w:lineRule="auto"/>
        <w:tabs>
          <w:tab w:leader="none" w:pos="2503" w:val="left"/>
        </w:tabs>
        <w:numPr>
          <w:ilvl w:val="0"/>
          <w:numId w:val="305"/>
        </w:numPr>
        <w:rPr>
          <w:rFonts w:ascii="Arial" w:cs="Arial" w:eastAsia="Arial" w:hAnsi="Arial"/>
          <w:sz w:val="22"/>
          <w:szCs w:val="22"/>
          <w:color w:val="auto"/>
        </w:rPr>
      </w:pPr>
      <w:r>
        <w:rPr>
          <w:rFonts w:ascii="Arial" w:cs="Arial" w:eastAsia="Arial" w:hAnsi="Arial"/>
          <w:sz w:val="22"/>
          <w:szCs w:val="22"/>
          <w:color w:val="auto"/>
        </w:rPr>
        <w:t>by this Agreement, the Employee has been advised in writing of the right to consult with an attorney of the Employee's choosing before signing this Agreement;</w:t>
      </w:r>
    </w:p>
    <w:p>
      <w:pPr>
        <w:spacing w:after="0" w:line="174" w:lineRule="exact"/>
        <w:rPr>
          <w:rFonts w:ascii="Arial" w:cs="Arial" w:eastAsia="Arial" w:hAnsi="Arial"/>
          <w:sz w:val="22"/>
          <w:szCs w:val="22"/>
          <w:color w:val="auto"/>
        </w:rPr>
      </w:pPr>
    </w:p>
    <w:p>
      <w:pPr>
        <w:ind w:left="860" w:right="20" w:firstLine="726"/>
        <w:spacing w:after="0" w:line="250" w:lineRule="auto"/>
        <w:tabs>
          <w:tab w:leader="none" w:pos="2563"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Employee knowingly, freely, and voluntarily agrees to all of the terms and conditions in this Agreement including, without limitation, the waiver, release, and covenants;</w:t>
      </w:r>
    </w:p>
    <w:p>
      <w:pPr>
        <w:spacing w:after="0" w:line="174" w:lineRule="exact"/>
        <w:rPr>
          <w:rFonts w:ascii="Arial" w:cs="Arial" w:eastAsia="Arial" w:hAnsi="Arial"/>
          <w:sz w:val="22"/>
          <w:szCs w:val="22"/>
          <w:color w:val="auto"/>
        </w:rPr>
      </w:pPr>
    </w:p>
    <w:p>
      <w:pPr>
        <w:ind w:left="860" w:firstLine="726"/>
        <w:spacing w:after="0"/>
        <w:tabs>
          <w:tab w:leader="none" w:pos="2551"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Employee is executing this Agreement, including the waiver and release, in exchange for good and valuable consideration in addition to anything of value to which the Employee is otherwise entitled;</w:t>
      </w:r>
    </w:p>
    <w:p>
      <w:pPr>
        <w:spacing w:after="0" w:line="186" w:lineRule="exact"/>
        <w:rPr>
          <w:rFonts w:ascii="Arial" w:cs="Arial" w:eastAsia="Arial" w:hAnsi="Arial"/>
          <w:sz w:val="22"/>
          <w:szCs w:val="22"/>
          <w:color w:val="auto"/>
        </w:rPr>
      </w:pPr>
    </w:p>
    <w:p>
      <w:pPr>
        <w:ind w:left="860" w:right="80" w:firstLine="726"/>
        <w:spacing w:after="0" w:line="238" w:lineRule="auto"/>
        <w:tabs>
          <w:tab w:leader="none" w:pos="2491"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Employee was given at least twenty-one (21) days to consider the terms of this Agreement and consult with an attorney of Employee's choice, although the Employee may sign it sooner if desired and changes to this Agreement, whether material or immaterial, do not restart the running of the 21-day period;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748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200" w:top="550" w:right="439" w:bottom="1440" w:gutter="0" w:footer="0" w:header="0"/>
        </w:sectPr>
      </w:pPr>
    </w:p>
    <w:bookmarkStart w:id="191" w:name="page192"/>
    <w:bookmarkEnd w:id="191"/>
    <w:p>
      <w:pPr>
        <w:ind w:left="1740" w:right="340" w:firstLine="726"/>
        <w:spacing w:after="0" w:line="252" w:lineRule="auto"/>
        <w:tabs>
          <w:tab w:leader="none" w:pos="3431" w:val="left"/>
        </w:tabs>
        <w:numPr>
          <w:ilvl w:val="0"/>
          <w:numId w:val="306"/>
        </w:numPr>
        <w:rPr>
          <w:rFonts w:ascii="Arial" w:cs="Arial" w:eastAsia="Arial" w:hAnsi="Arial"/>
          <w:sz w:val="21"/>
          <w:szCs w:val="21"/>
          <w:color w:val="auto"/>
        </w:rPr>
      </w:pPr>
      <w:r>
        <w:rPr>
          <w:rFonts w:ascii="Arial" w:cs="Arial" w:eastAsia="Arial" w:hAnsi="Arial"/>
          <w:sz w:val="21"/>
          <w:szCs w:val="21"/>
          <w:color w:val="auto"/>
        </w:rPr>
        <w:t>the Employee understands that the Employee has seven (7) days after signing this Agreement to revoke the release in this paragraph by delivering notice of revocation to Jane Davidson at Arrowhead Pharmaceuticals, Inc., 177 E. Colorado Blvd., Suite 700, Pasadena, CA 91105 by overnight or hand delivery before the end of this seven-day period; and</w:t>
      </w:r>
    </w:p>
    <w:p>
      <w:pPr>
        <w:spacing w:after="0" w:line="173" w:lineRule="exact"/>
        <w:rPr>
          <w:rFonts w:ascii="Arial" w:cs="Arial" w:eastAsia="Arial" w:hAnsi="Arial"/>
          <w:sz w:val="21"/>
          <w:szCs w:val="21"/>
          <w:color w:val="auto"/>
        </w:rPr>
      </w:pPr>
    </w:p>
    <w:p>
      <w:pPr>
        <w:ind w:left="1740" w:right="180" w:firstLine="726"/>
        <w:spacing w:after="0" w:line="250" w:lineRule="auto"/>
        <w:tabs>
          <w:tab w:leader="none" w:pos="3491"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Employee understands that the release in this paragraph does not apply to rights and claims that may arise after the date on which the Employee signs this Agreement.</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 xml:space="preserve">The payment obligations of this Agreement shall not become effective until the eighth (8th) day after the Employee and Arrowhead execute this Agreement (the </w:t>
      </w:r>
      <w:r>
        <w:rPr>
          <w:rFonts w:ascii="Arial" w:cs="Arial" w:eastAsia="Arial" w:hAnsi="Arial"/>
          <w:sz w:val="21"/>
          <w:szCs w:val="21"/>
          <w:b w:val="1"/>
          <w:bCs w:val="1"/>
          <w:color w:val="auto"/>
        </w:rPr>
        <w:t>Effective Date</w:t>
      </w:r>
      <w:r>
        <w:rPr>
          <w:rFonts w:ascii="Arial" w:cs="Arial" w:eastAsia="Arial" w:hAnsi="Arial"/>
          <w:sz w:val="21"/>
          <w:szCs w:val="21"/>
          <w:color w:val="auto"/>
        </w:rPr>
        <w:t>"). No payments due to the Employee under this Agreement shall be made before the Effective Date. If the Employee revokes the Agreement, no payments shall be made.</w:t>
      </w:r>
    </w:p>
    <w:p>
      <w:pPr>
        <w:spacing w:after="0" w:line="169" w:lineRule="exact"/>
        <w:rPr>
          <w:sz w:val="20"/>
          <w:szCs w:val="20"/>
          <w:color w:val="auto"/>
        </w:rPr>
      </w:pPr>
    </w:p>
    <w:p>
      <w:pPr>
        <w:ind w:left="1680" w:hanging="808"/>
        <w:spacing w:after="0"/>
        <w:tabs>
          <w:tab w:leader="none" w:pos="1680"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Post-Termination Obligations and Restrictive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Acknowledgment</w:t>
      </w:r>
    </w:p>
    <w:p>
      <w:pPr>
        <w:spacing w:after="0" w:line="206" w:lineRule="exact"/>
        <w:rPr>
          <w:sz w:val="20"/>
          <w:szCs w:val="20"/>
          <w:color w:val="auto"/>
        </w:rPr>
      </w:pPr>
    </w:p>
    <w:p>
      <w:pPr>
        <w:ind w:left="880" w:right="140" w:firstLine="1594"/>
        <w:spacing w:after="0" w:line="287" w:lineRule="auto"/>
        <w:rPr>
          <w:sz w:val="20"/>
          <w:szCs w:val="20"/>
          <w:color w:val="auto"/>
        </w:rPr>
      </w:pPr>
      <w:r>
        <w:rPr>
          <w:rFonts w:ascii="Arial" w:cs="Arial" w:eastAsia="Arial" w:hAnsi="Arial"/>
          <w:sz w:val="19"/>
          <w:szCs w:val="19"/>
          <w:color w:val="auto"/>
        </w:rPr>
        <w:t>The Employee understands and acknowledges that by virtue of the Employee's employment with Arrowhead, the Employee had access to and knowledge of Confidential Information, was in a position of trust and confidence with Arrowhead, and benefited from Arrowhead's goodwill. The Employee understands and acknowledges that Arrowhead invested significant time and expense in developing the Confidential Information and goodwill.</w:t>
      </w:r>
    </w:p>
    <w:p>
      <w:pPr>
        <w:spacing w:after="0" w:line="143" w:lineRule="exact"/>
        <w:rPr>
          <w:sz w:val="20"/>
          <w:szCs w:val="20"/>
          <w:color w:val="auto"/>
        </w:rPr>
      </w:pPr>
    </w:p>
    <w:p>
      <w:pPr>
        <w:ind w:left="880" w:right="100" w:firstLine="1594"/>
        <w:spacing w:after="0" w:line="282" w:lineRule="auto"/>
        <w:rPr>
          <w:sz w:val="20"/>
          <w:szCs w:val="20"/>
          <w:color w:val="auto"/>
        </w:rPr>
      </w:pPr>
      <w:r>
        <w:rPr>
          <w:rFonts w:ascii="Arial" w:cs="Arial" w:eastAsia="Arial" w:hAnsi="Arial"/>
          <w:sz w:val="19"/>
          <w:szCs w:val="19"/>
          <w:color w:val="auto"/>
        </w:rPr>
        <w:t>The Employee further understands and acknowledges that the restrictive covenants below are necessary to protect Arrowhead's legitimate business interests in its Confidential Information and goodwill. The Employee further understands and acknowledges that Arrowhead's ability to reserve these for the exclusive knowledge and use of Arrowhead is of great competitive importance and commercial value to Arrowhead and that Arrowhead would be irreparably harmed if the Employee violates the restrictive covenants below.</w:t>
      </w:r>
    </w:p>
    <w:p>
      <w:pPr>
        <w:spacing w:after="0" w:line="147" w:lineRule="exact"/>
        <w:rPr>
          <w:sz w:val="20"/>
          <w:szCs w:val="20"/>
          <w:color w:val="auto"/>
        </w:rPr>
      </w:pPr>
    </w:p>
    <w:p>
      <w:pPr>
        <w:ind w:left="2560" w:hanging="891"/>
        <w:spacing w:after="0"/>
        <w:tabs>
          <w:tab w:leader="none" w:pos="256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Confidential Information</w:t>
      </w:r>
    </w:p>
    <w:p>
      <w:pPr>
        <w:spacing w:after="0" w:line="206" w:lineRule="exact"/>
        <w:rPr>
          <w:sz w:val="20"/>
          <w:szCs w:val="20"/>
          <w:color w:val="auto"/>
        </w:rPr>
      </w:pPr>
    </w:p>
    <w:p>
      <w:pPr>
        <w:ind w:left="880" w:right="120" w:firstLine="1594"/>
        <w:spacing w:after="0" w:line="275" w:lineRule="auto"/>
        <w:rPr>
          <w:sz w:val="20"/>
          <w:szCs w:val="20"/>
          <w:color w:val="auto"/>
        </w:rPr>
      </w:pPr>
      <w:r>
        <w:rPr>
          <w:rFonts w:ascii="Arial" w:cs="Arial" w:eastAsia="Arial" w:hAnsi="Arial"/>
          <w:sz w:val="19"/>
          <w:szCs w:val="19"/>
          <w:color w:val="auto"/>
        </w:rPr>
        <w:t>The Employee understands and acknowledges that during the course of employment by Arrowhead, the Employee has had access to and learned about confidential, secret, and proprietary documents, materials, and other information, in tangible and intangible form, of and relating to Arrowhead and its businesses ("</w:t>
      </w:r>
      <w:r>
        <w:rPr>
          <w:rFonts w:ascii="Arial" w:cs="Arial" w:eastAsia="Arial" w:hAnsi="Arial"/>
          <w:sz w:val="19"/>
          <w:szCs w:val="19"/>
          <w:b w:val="1"/>
          <w:b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The Employee further understands and acknowledges that this Confidential Information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Arrowhead's ability to reserve it for the exclusive knowledge and use of Arrowhead is of great competitive importance and commercial value to Arrowhead, and that improper use or disclosure of the Confidential Information by the Employee might cause Arrowhead to incur financial costs, loss of business advantage, liability under confidentiality agreements with third parties, civil damages, and criminal penalties.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2" w:name="page193"/>
    <w:bookmarkEnd w:id="192"/>
    <w:p>
      <w:pPr>
        <w:ind w:firstLine="1594"/>
        <w:spacing w:after="0" w:line="272" w:lineRule="auto"/>
        <w:rPr>
          <w:sz w:val="20"/>
          <w:szCs w:val="20"/>
          <w:color w:val="auto"/>
        </w:rPr>
      </w:pPr>
      <w:r>
        <w:rPr>
          <w:rFonts w:ascii="Arial" w:cs="Arial" w:eastAsia="Arial" w:hAnsi="Arial"/>
          <w:sz w:val="19"/>
          <w:szCs w:val="19"/>
          <w:color w:val="auto"/>
        </w:rPr>
        <w:t>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pending negotiations, know-how, trade secrets, work-in-process, databases, records, articles, material, sources of material, supplier information, vendor information, financial information, results, legal information, design information, staffing information, personnel information, employee lists, supplier lists, vendor lists, developments, reports, costs, formulae, notes, communications, algorithms, product plans, designs, models, ideas, inventions, unpublished patent applications, original works of authorship, discoveries, experimental processes, experimental results, specifications, and manufacturing information, of Arrowhead or its businesses or any existing or prospective customer, supplier, investor, or other associated third party, or of any other person or entity that has entrusted information to Arrowhead in confidence.</w:t>
      </w:r>
    </w:p>
    <w:p>
      <w:pPr>
        <w:spacing w:after="0" w:line="200" w:lineRule="exact"/>
        <w:rPr>
          <w:sz w:val="20"/>
          <w:szCs w:val="20"/>
          <w:color w:val="auto"/>
        </w:rPr>
      </w:pPr>
    </w:p>
    <w:p>
      <w:pPr>
        <w:spacing w:after="0" w:line="208" w:lineRule="exact"/>
        <w:rPr>
          <w:sz w:val="20"/>
          <w:szCs w:val="20"/>
          <w:color w:val="auto"/>
        </w:rPr>
      </w:pPr>
    </w:p>
    <w:p>
      <w:pPr>
        <w:ind w:right="100" w:firstLine="1594"/>
        <w:spacing w:after="0" w:line="238" w:lineRule="auto"/>
        <w:rPr>
          <w:sz w:val="20"/>
          <w:szCs w:val="20"/>
          <w:color w:val="auto"/>
        </w:rPr>
      </w:pPr>
      <w:r>
        <w:rPr>
          <w:rFonts w:ascii="Arial" w:cs="Arial" w:eastAsia="Arial" w:hAnsi="Arial"/>
          <w:sz w:val="22"/>
          <w:szCs w:val="22"/>
          <w:color w:val="auto"/>
        </w:rPr>
        <w:t>The Employee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5" w:lineRule="exact"/>
        <w:rPr>
          <w:sz w:val="20"/>
          <w:szCs w:val="20"/>
          <w:color w:val="auto"/>
        </w:rPr>
      </w:pPr>
    </w:p>
    <w:p>
      <w:pPr>
        <w:ind w:right="20" w:firstLine="1594"/>
        <w:spacing w:after="0" w:line="248" w:lineRule="auto"/>
        <w:rPr>
          <w:sz w:val="20"/>
          <w:szCs w:val="20"/>
          <w:color w:val="auto"/>
        </w:rPr>
      </w:pPr>
      <w:r>
        <w:rPr>
          <w:rFonts w:ascii="Arial" w:cs="Arial" w:eastAsia="Arial" w:hAnsi="Arial"/>
          <w:sz w:val="21"/>
          <w:szCs w:val="21"/>
          <w:color w:val="auto"/>
        </w:rPr>
        <w:t>The Employee understands and agrees that Confidential Information developed by the Employee in the course of the Employee's employment by Arrowhead is subject to the terms and conditions of this Agreement as if Arrowhead furnished the same Confidential Information to the Employee in the first instance. Confidential Information shall not include information that is generally available to and known by the public at the time of disclosure to the Employee, provided that such disclosure is through no direct or indirect fault of the Employee or person(s) acting on the Employee's behalf.</w:t>
      </w:r>
    </w:p>
    <w:p>
      <w:pPr>
        <w:spacing w:after="0" w:line="177" w:lineRule="exact"/>
        <w:rPr>
          <w:sz w:val="20"/>
          <w:szCs w:val="20"/>
          <w:color w:val="auto"/>
        </w:rPr>
      </w:pPr>
    </w:p>
    <w:p>
      <w:pPr>
        <w:ind w:left="1680" w:hanging="891"/>
        <w:spacing w:after="0"/>
        <w:tabs>
          <w:tab w:leader="none" w:pos="168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Disclosure and Use Restrictions</w:t>
      </w:r>
    </w:p>
    <w:p>
      <w:pPr>
        <w:spacing w:after="0" w:line="206" w:lineRule="exact"/>
        <w:rPr>
          <w:rFonts w:ascii="Arial" w:cs="Arial" w:eastAsia="Arial" w:hAnsi="Arial"/>
          <w:sz w:val="22"/>
          <w:szCs w:val="22"/>
          <w:color w:val="auto"/>
        </w:rPr>
      </w:pPr>
    </w:p>
    <w:p>
      <w:pPr>
        <w:ind w:left="2440" w:hanging="854"/>
        <w:spacing w:after="0"/>
        <w:tabs>
          <w:tab w:leader="none" w:pos="2440" w:val="left"/>
        </w:tabs>
        <w:numPr>
          <w:ilvl w:val="1"/>
          <w:numId w:val="309"/>
        </w:numPr>
        <w:rPr>
          <w:rFonts w:ascii="Arial" w:cs="Arial" w:eastAsia="Arial" w:hAnsi="Arial"/>
          <w:sz w:val="22"/>
          <w:szCs w:val="22"/>
          <w:color w:val="auto"/>
        </w:rPr>
      </w:pPr>
      <w:r>
        <w:rPr>
          <w:rFonts w:ascii="Arial" w:cs="Arial" w:eastAsia="Arial" w:hAnsi="Arial"/>
          <w:sz w:val="22"/>
          <w:szCs w:val="22"/>
          <w:color w:val="auto"/>
        </w:rPr>
        <w:t>Employee Covenants. The Employee agrees and covenants:</w:t>
      </w:r>
    </w:p>
    <w:p>
      <w:pPr>
        <w:spacing w:after="0" w:line="206" w:lineRule="exact"/>
        <w:rPr>
          <w:rFonts w:ascii="Arial" w:cs="Arial" w:eastAsia="Arial" w:hAnsi="Arial"/>
          <w:sz w:val="22"/>
          <w:szCs w:val="22"/>
          <w:color w:val="auto"/>
        </w:rPr>
      </w:pPr>
    </w:p>
    <w:p>
      <w:pPr>
        <w:ind w:left="3340" w:hanging="956"/>
        <w:spacing w:after="0"/>
        <w:tabs>
          <w:tab w:leader="none" w:pos="3340" w:val="left"/>
        </w:tabs>
        <w:numPr>
          <w:ilvl w:val="2"/>
          <w:numId w:val="309"/>
        </w:numPr>
        <w:rPr>
          <w:rFonts w:ascii="Arial" w:cs="Arial" w:eastAsia="Arial" w:hAnsi="Arial"/>
          <w:sz w:val="22"/>
          <w:szCs w:val="22"/>
          <w:color w:val="auto"/>
        </w:rPr>
      </w:pPr>
      <w:r>
        <w:rPr>
          <w:rFonts w:ascii="Arial" w:cs="Arial" w:eastAsia="Arial" w:hAnsi="Arial"/>
          <w:sz w:val="22"/>
          <w:szCs w:val="22"/>
          <w:color w:val="auto"/>
        </w:rPr>
        <w:t>to treat all Confidential Information as strictly confidential;</w:t>
      </w:r>
    </w:p>
    <w:p>
      <w:pPr>
        <w:spacing w:after="0" w:line="206" w:lineRule="exact"/>
        <w:rPr>
          <w:rFonts w:ascii="Arial" w:cs="Arial" w:eastAsia="Arial" w:hAnsi="Arial"/>
          <w:sz w:val="22"/>
          <w:szCs w:val="22"/>
          <w:color w:val="auto"/>
        </w:rPr>
      </w:pPr>
    </w:p>
    <w:p>
      <w:pPr>
        <w:ind w:left="1720" w:right="20" w:firstLine="664"/>
        <w:spacing w:after="0" w:line="235" w:lineRule="auto"/>
        <w:tabs>
          <w:tab w:leader="none" w:pos="3320" w:val="left"/>
        </w:tabs>
        <w:numPr>
          <w:ilvl w:val="2"/>
          <w:numId w:val="309"/>
        </w:numPr>
        <w:rPr>
          <w:rFonts w:ascii="Arial" w:cs="Arial" w:eastAsia="Arial" w:hAnsi="Arial"/>
          <w:sz w:val="22"/>
          <w:szCs w:val="22"/>
          <w:color w:val="auto"/>
        </w:rPr>
      </w:pPr>
      <w:r>
        <w:rPr>
          <w:rFonts w:ascii="Arial" w:cs="Arial" w:eastAsia="Arial" w:hAnsi="Arial"/>
          <w:sz w:val="22"/>
          <w:szCs w:val="22"/>
          <w:color w:val="auto"/>
        </w:rPr>
        <w:t>not to directly or indirectly disclose, publish, communicate, or make available Confidential Information, or allow it to be disclosed, published, communicated, or made available, in whole or part, to any entity or person whatsoever (including other employees of Arrowhead) not having a need or authority to know and use the Confidential Information in connection with the business of Arrowhead and, in any event, not to anyone outside of the direct employ of Arrowhead; and</w:t>
      </w:r>
    </w:p>
    <w:p>
      <w:pPr>
        <w:spacing w:after="0" w:line="187" w:lineRule="exact"/>
        <w:rPr>
          <w:rFonts w:ascii="Arial" w:cs="Arial" w:eastAsia="Arial" w:hAnsi="Arial"/>
          <w:sz w:val="22"/>
          <w:szCs w:val="22"/>
          <w:color w:val="auto"/>
        </w:rPr>
      </w:pPr>
    </w:p>
    <w:p>
      <w:pPr>
        <w:ind w:left="1720" w:right="940" w:firstLine="664"/>
        <w:spacing w:after="0" w:line="250" w:lineRule="auto"/>
        <w:tabs>
          <w:tab w:leader="none" w:pos="3320" w:val="left"/>
        </w:tabs>
        <w:numPr>
          <w:ilvl w:val="2"/>
          <w:numId w:val="309"/>
        </w:numPr>
        <w:rPr>
          <w:rFonts w:ascii="Arial" w:cs="Arial" w:eastAsia="Arial" w:hAnsi="Arial"/>
          <w:sz w:val="22"/>
          <w:szCs w:val="22"/>
          <w:color w:val="auto"/>
        </w:rPr>
      </w:pPr>
      <w:r>
        <w:rPr>
          <w:rFonts w:ascii="Arial" w:cs="Arial" w:eastAsia="Arial" w:hAnsi="Arial"/>
          <w:sz w:val="22"/>
          <w:szCs w:val="22"/>
          <w:color w:val="auto"/>
        </w:rPr>
        <w:t>not to access or use any Confidential Information, and not to copy any documents, records, files, media, or other resources containing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550" w:right="359" w:bottom="1440" w:gutter="0" w:footer="0" w:header="0"/>
        </w:sectPr>
      </w:pPr>
    </w:p>
    <w:bookmarkStart w:id="193" w:name="page194"/>
    <w:bookmarkEnd w:id="193"/>
    <w:p>
      <w:pPr>
        <w:ind w:left="1720" w:right="640"/>
        <w:spacing w:after="0" w:line="328" w:lineRule="auto"/>
        <w:rPr>
          <w:sz w:val="20"/>
          <w:szCs w:val="20"/>
          <w:color w:val="auto"/>
        </w:rPr>
      </w:pPr>
      <w:r>
        <w:rPr>
          <w:rFonts w:ascii="Arial" w:cs="Arial" w:eastAsia="Arial" w:hAnsi="Arial"/>
          <w:sz w:val="19"/>
          <w:szCs w:val="19"/>
          <w:color w:val="auto"/>
        </w:rPr>
        <w:t>any Confidential Information, or remove any such documents, records, files, media, or other resources from the premises or control of Arrowhead, except as allowed by applicable law.</w:t>
      </w:r>
    </w:p>
    <w:p>
      <w:pPr>
        <w:spacing w:after="0" w:line="105" w:lineRule="exact"/>
        <w:rPr>
          <w:sz w:val="20"/>
          <w:szCs w:val="20"/>
          <w:color w:val="auto"/>
        </w:rPr>
      </w:pPr>
    </w:p>
    <w:p>
      <w:pPr>
        <w:jc w:val="both"/>
        <w:ind w:left="860" w:firstLine="731"/>
        <w:spacing w:after="0" w:line="287" w:lineRule="auto"/>
        <w:rPr>
          <w:sz w:val="20"/>
          <w:szCs w:val="20"/>
          <w:color w:val="auto"/>
        </w:rPr>
      </w:pPr>
      <w:r>
        <w:rPr>
          <w:rFonts w:ascii="Arial" w:cs="Arial" w:eastAsia="Arial" w:hAnsi="Arial"/>
          <w:sz w:val="19"/>
          <w:szCs w:val="19"/>
          <w:color w:val="auto"/>
        </w:rPr>
        <w:t>The Employee understands and acknowledges that the Employee's obligations under this Agreement regarding any particular Confidential Information begin immediately and shall continue until the Confidential Information has become public knowledge other than as a result of the Employee's breach of this Agreement or a breach by those acting in concert with the Employee or on the Employee's behalf.</w:t>
      </w:r>
    </w:p>
    <w:p>
      <w:pPr>
        <w:spacing w:after="0" w:line="143" w:lineRule="exact"/>
        <w:rPr>
          <w:sz w:val="20"/>
          <w:szCs w:val="20"/>
          <w:color w:val="auto"/>
        </w:rPr>
      </w:pPr>
    </w:p>
    <w:p>
      <w:pPr>
        <w:ind w:left="860" w:right="40" w:firstLine="726"/>
        <w:spacing w:after="0" w:line="282" w:lineRule="auto"/>
        <w:tabs>
          <w:tab w:leader="none" w:pos="2503" w:val="left"/>
        </w:tabs>
        <w:numPr>
          <w:ilvl w:val="0"/>
          <w:numId w:val="310"/>
        </w:numPr>
        <w:rPr>
          <w:rFonts w:ascii="Arial" w:cs="Arial" w:eastAsia="Arial" w:hAnsi="Arial"/>
          <w:sz w:val="19"/>
          <w:szCs w:val="19"/>
          <w:color w:val="auto"/>
        </w:rPr>
      </w:pPr>
      <w:r>
        <w:rPr>
          <w:rFonts w:ascii="Arial" w:cs="Arial" w:eastAsia="Arial" w:hAnsi="Arial"/>
          <w:sz w:val="19"/>
          <w:szCs w:val="19"/>
          <w:color w:val="auto"/>
        </w:rPr>
        <w:t>Permitted Disclosures. Nothing in this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Employee shall promptly provide written notice of any such order to an authorized officer of Arrowhead.</w:t>
      </w:r>
    </w:p>
    <w:p>
      <w:pPr>
        <w:spacing w:after="0" w:line="147" w:lineRule="exact"/>
        <w:rPr>
          <w:sz w:val="20"/>
          <w:szCs w:val="20"/>
          <w:color w:val="auto"/>
        </w:rPr>
      </w:pPr>
    </w:p>
    <w:p>
      <w:pPr>
        <w:ind w:left="860" w:right="40" w:firstLine="1462"/>
        <w:spacing w:after="0" w:line="273" w:lineRule="auto"/>
        <w:rPr>
          <w:sz w:val="20"/>
          <w:szCs w:val="20"/>
          <w:color w:val="auto"/>
        </w:rPr>
      </w:pPr>
      <w:r>
        <w:rPr>
          <w:rFonts w:ascii="Arial" w:cs="Arial" w:eastAsia="Arial" w:hAnsi="Arial"/>
          <w:sz w:val="19"/>
          <w:szCs w:val="19"/>
          <w:color w:val="auto"/>
        </w:rPr>
        <w:t>Nothing in this Agreement prohibits or restricts the Employee (or the Employee's attorney) from filing a charge or complaint with the Securities and Exchange Commission (SEC), the Financial Industry Regulatory Authority (FINRA), or any other securities regulatory agency or self-regulatory authority, the National Labor Relations Board (NLRB), the Occupational Safety and Health Administration (OSHA), or any other federal or state regulatory authority ("</w:t>
      </w:r>
      <w:r>
        <w:rPr>
          <w:rFonts w:ascii="Arial" w:cs="Arial" w:eastAsia="Arial" w:hAnsi="Arial"/>
          <w:sz w:val="19"/>
          <w:szCs w:val="19"/>
          <w:b w:val="1"/>
          <w:bCs w:val="1"/>
          <w:color w:val="auto"/>
        </w:rPr>
        <w:t>Government Agencies</w:t>
      </w:r>
      <w:r>
        <w:rPr>
          <w:rFonts w:ascii="Arial" w:cs="Arial" w:eastAsia="Arial" w:hAnsi="Arial"/>
          <w:sz w:val="19"/>
          <w:szCs w:val="19"/>
          <w:color w:val="auto"/>
        </w:rPr>
        <w:t>"). The Employee further understands that this Agreement does not limit the Employee's ability to communicate with any securities regulatory agency or authority or otherwise participate in any investigation or proceeding that may be conducted by any securities regulatory agency or authority in connection with reporting a possible securities law violation without notice to Arrowhead. This Agreement does not limit the Employee’s right to receive an award for information provided to any securities regulatory agency or authority.</w:t>
      </w:r>
    </w:p>
    <w:p>
      <w:pPr>
        <w:spacing w:after="0" w:line="161" w:lineRule="exact"/>
        <w:rPr>
          <w:sz w:val="20"/>
          <w:szCs w:val="20"/>
          <w:color w:val="auto"/>
        </w:rPr>
      </w:pPr>
    </w:p>
    <w:p>
      <w:pPr>
        <w:ind w:left="860" w:right="480" w:firstLine="726"/>
        <w:spacing w:after="0" w:line="328" w:lineRule="auto"/>
        <w:tabs>
          <w:tab w:leader="none" w:pos="2563" w:val="left"/>
        </w:tabs>
        <w:numPr>
          <w:ilvl w:val="0"/>
          <w:numId w:val="311"/>
        </w:numPr>
        <w:rPr>
          <w:rFonts w:ascii="Arial" w:cs="Arial" w:eastAsia="Arial" w:hAnsi="Arial"/>
          <w:sz w:val="19"/>
          <w:szCs w:val="19"/>
          <w:color w:val="auto"/>
        </w:rPr>
      </w:pPr>
      <w:r>
        <w:rPr>
          <w:rFonts w:ascii="Arial" w:cs="Arial" w:eastAsia="Arial" w:hAnsi="Arial"/>
          <w:sz w:val="19"/>
          <w:szCs w:val="19"/>
          <w:color w:val="auto"/>
        </w:rPr>
        <w:t>Notice of Immunity Under the Economic Espionage Act of 1996, as amended by the Defend Trade Secrets Act of 2016. Notwithstanding any other provision of this Agreement:</w:t>
      </w:r>
    </w:p>
    <w:p>
      <w:pPr>
        <w:spacing w:after="0" w:line="104" w:lineRule="exact"/>
        <w:rPr>
          <w:rFonts w:ascii="Arial" w:cs="Arial" w:eastAsia="Arial" w:hAnsi="Arial"/>
          <w:sz w:val="19"/>
          <w:szCs w:val="19"/>
          <w:color w:val="auto"/>
        </w:rPr>
      </w:pPr>
    </w:p>
    <w:p>
      <w:pPr>
        <w:ind w:left="1720" w:right="20" w:firstLine="664"/>
        <w:spacing w:after="0" w:line="249" w:lineRule="auto"/>
        <w:tabs>
          <w:tab w:leader="none" w:pos="3332" w:val="left"/>
        </w:tabs>
        <w:numPr>
          <w:ilvl w:val="1"/>
          <w:numId w:val="311"/>
        </w:numPr>
        <w:rPr>
          <w:rFonts w:ascii="Arial" w:cs="Arial" w:eastAsia="Arial" w:hAnsi="Arial"/>
          <w:sz w:val="21"/>
          <w:szCs w:val="21"/>
          <w:color w:val="auto"/>
        </w:rPr>
      </w:pPr>
      <w:r>
        <w:rPr>
          <w:rFonts w:ascii="Arial" w:cs="Arial" w:eastAsia="Arial" w:hAnsi="Arial"/>
          <w:sz w:val="21"/>
          <w:szCs w:val="21"/>
          <w:color w:val="auto"/>
        </w:rPr>
        <w:t>The Employee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334" w:right="359" w:bottom="1440" w:gutter="0" w:footer="0" w:header="0"/>
        </w:sectPr>
      </w:pPr>
    </w:p>
    <w:bookmarkStart w:id="194" w:name="page195"/>
    <w:bookmarkEnd w:id="194"/>
    <w:p>
      <w:pPr>
        <w:ind w:left="2600" w:firstLine="664"/>
        <w:spacing w:after="0" w:line="236" w:lineRule="auto"/>
        <w:tabs>
          <w:tab w:leader="none" w:pos="4200" w:val="left"/>
        </w:tabs>
        <w:numPr>
          <w:ilvl w:val="1"/>
          <w:numId w:val="312"/>
        </w:numPr>
        <w:rPr>
          <w:rFonts w:ascii="Arial" w:cs="Arial" w:eastAsia="Arial" w:hAnsi="Arial"/>
          <w:sz w:val="22"/>
          <w:szCs w:val="22"/>
          <w:color w:val="auto"/>
        </w:rPr>
      </w:pPr>
      <w:r>
        <w:rPr>
          <w:rFonts w:ascii="Arial" w:cs="Arial" w:eastAsia="Arial" w:hAnsi="Arial"/>
          <w:sz w:val="22"/>
          <w:szCs w:val="22"/>
          <w:color w:val="auto"/>
        </w:rPr>
        <w:t>If the Employee files a lawsuit for retaliation by Arrowhead for reporting a suspected violation of law, the Employee may disclose Arrowhead's trade secrets to the Employee's attorney and use the trade secret information in the court proceeding if the Employee: (1) files any document containing the trade secret under seal; and (2) does not disclose the trade secret, except pursuant to court order.</w:t>
      </w:r>
    </w:p>
    <w:p>
      <w:pPr>
        <w:spacing w:after="0" w:line="187" w:lineRule="exact"/>
        <w:rPr>
          <w:rFonts w:ascii="Arial" w:cs="Arial" w:eastAsia="Arial" w:hAnsi="Arial"/>
          <w:sz w:val="22"/>
          <w:szCs w:val="22"/>
          <w:color w:val="auto"/>
        </w:rPr>
      </w:pPr>
    </w:p>
    <w:p>
      <w:pPr>
        <w:ind w:right="320" w:firstLine="872"/>
        <w:spacing w:after="0" w:line="297" w:lineRule="auto"/>
        <w:tabs>
          <w:tab w:leader="none" w:pos="1674" w:val="left"/>
        </w:tabs>
        <w:numPr>
          <w:ilvl w:val="0"/>
          <w:numId w:val="313"/>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Employee agrees and covenants that the Employee shall not at any time make, publish, or communicate to any person or entity or in any public forum any defamatory or disparaging remarks, comments, or statements concerning Arrowhead or its businesses, or any of its employees, officers, or directors, now or in the future.</w:t>
      </w:r>
    </w:p>
    <w:p>
      <w:pPr>
        <w:spacing w:after="0" w:line="134" w:lineRule="exact"/>
        <w:rPr>
          <w:sz w:val="20"/>
          <w:szCs w:val="20"/>
          <w:color w:val="auto"/>
        </w:rPr>
      </w:pPr>
    </w:p>
    <w:p>
      <w:pPr>
        <w:ind w:right="60" w:firstLine="1727"/>
        <w:spacing w:after="0" w:line="236" w:lineRule="auto"/>
        <w:rPr>
          <w:sz w:val="20"/>
          <w:szCs w:val="20"/>
          <w:color w:val="auto"/>
        </w:rPr>
      </w:pPr>
      <w:r>
        <w:rPr>
          <w:rFonts w:ascii="Arial" w:cs="Arial" w:eastAsia="Arial" w:hAnsi="Arial"/>
          <w:sz w:val="22"/>
          <w:szCs w:val="22"/>
          <w:color w:val="auto"/>
        </w:rPr>
        <w:t>This Section does not, in any way, restrict or impede the Employee from exercising protected rights, including rights under the National Labor Relations Act (NLRA) or the federal securities laws, including the Dodd-Frank Act,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87" w:lineRule="exact"/>
        <w:rPr>
          <w:sz w:val="20"/>
          <w:szCs w:val="20"/>
          <w:color w:val="auto"/>
        </w:rPr>
      </w:pPr>
    </w:p>
    <w:p>
      <w:pPr>
        <w:ind w:left="1680" w:hanging="808"/>
        <w:spacing w:after="0"/>
        <w:tabs>
          <w:tab w:leader="none" w:pos="1680"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1"/>
          <w:numId w:val="314"/>
        </w:numPr>
        <w:rPr>
          <w:rFonts w:ascii="Arial" w:cs="Arial" w:eastAsia="Arial" w:hAnsi="Arial"/>
          <w:sz w:val="22"/>
          <w:szCs w:val="22"/>
          <w:color w:val="auto"/>
        </w:rPr>
      </w:pPr>
      <w:r>
        <w:rPr>
          <w:rFonts w:ascii="Arial" w:cs="Arial" w:eastAsia="Arial" w:hAnsi="Arial"/>
          <w:sz w:val="22"/>
          <w:szCs w:val="22"/>
          <w:color w:val="auto"/>
        </w:rPr>
        <w:t>Assignment by Arrowhead.</w:t>
      </w:r>
    </w:p>
    <w:p>
      <w:pPr>
        <w:spacing w:after="0" w:line="206" w:lineRule="exact"/>
        <w:rPr>
          <w:sz w:val="20"/>
          <w:szCs w:val="20"/>
          <w:color w:val="auto"/>
        </w:rPr>
      </w:pPr>
    </w:p>
    <w:p>
      <w:pPr>
        <w:ind w:left="880" w:right="140" w:firstLine="1594"/>
        <w:spacing w:after="0" w:line="250" w:lineRule="auto"/>
        <w:rPr>
          <w:sz w:val="20"/>
          <w:szCs w:val="20"/>
          <w:color w:val="auto"/>
        </w:rPr>
      </w:pPr>
      <w:r>
        <w:rPr>
          <w:rFonts w:ascii="Arial" w:cs="Arial" w:eastAsia="Arial" w:hAnsi="Arial"/>
          <w:sz w:val="22"/>
          <w:szCs w:val="22"/>
          <w:color w:val="auto"/>
        </w:rPr>
        <w:t>Arrowhead may freely assign this Agreement at any time. This Agreement shall inure to the benefit of Arrowhead and its successors and assigns.</w:t>
      </w:r>
    </w:p>
    <w:p>
      <w:pPr>
        <w:spacing w:after="0" w:line="175" w:lineRule="exact"/>
        <w:rPr>
          <w:sz w:val="20"/>
          <w:szCs w:val="20"/>
          <w:color w:val="auto"/>
        </w:rPr>
      </w:pPr>
    </w:p>
    <w:p>
      <w:pPr>
        <w:ind w:left="2560" w:hanging="891"/>
        <w:spacing w:after="0"/>
        <w:tabs>
          <w:tab w:leader="none" w:pos="256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No Assignment by the Employee</w:t>
      </w:r>
    </w:p>
    <w:p>
      <w:pPr>
        <w:spacing w:after="0" w:line="206" w:lineRule="exact"/>
        <w:rPr>
          <w:sz w:val="20"/>
          <w:szCs w:val="20"/>
          <w:color w:val="auto"/>
        </w:rPr>
      </w:pPr>
    </w:p>
    <w:p>
      <w:pPr>
        <w:ind w:left="880" w:right="100" w:firstLine="1594"/>
        <w:spacing w:after="0" w:line="250" w:lineRule="auto"/>
        <w:rPr>
          <w:sz w:val="20"/>
          <w:szCs w:val="20"/>
          <w:color w:val="auto"/>
        </w:rPr>
      </w:pPr>
      <w:r>
        <w:rPr>
          <w:rFonts w:ascii="Arial" w:cs="Arial" w:eastAsia="Arial" w:hAnsi="Arial"/>
          <w:sz w:val="22"/>
          <w:szCs w:val="22"/>
          <w:color w:val="auto"/>
        </w:rPr>
        <w:t>The Employee may not assign this Agreement in whole or in part. Any purported assignment by the Employee shall be null and void from the initial date of purported assignment.</w:t>
      </w:r>
    </w:p>
    <w:p>
      <w:pPr>
        <w:spacing w:after="0" w:line="175" w:lineRule="exact"/>
        <w:rPr>
          <w:sz w:val="20"/>
          <w:szCs w:val="20"/>
          <w:color w:val="auto"/>
        </w:rPr>
      </w:pPr>
    </w:p>
    <w:p>
      <w:pPr>
        <w:ind w:firstLine="872"/>
        <w:spacing w:after="0" w:line="287" w:lineRule="auto"/>
        <w:tabs>
          <w:tab w:leader="none" w:pos="1674"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and Venue</w:t>
      </w:r>
      <w:r>
        <w:rPr>
          <w:rFonts w:ascii="Arial" w:cs="Arial" w:eastAsia="Arial" w:hAnsi="Arial"/>
          <w:sz w:val="19"/>
          <w:szCs w:val="19"/>
          <w:color w:val="auto"/>
        </w:rPr>
        <w:t>. This Agreement and the Employee's employment by Arrowhead, for all purposes, shall be governed by and construed in accordance with the laws of California without regard to conflicts of law principles that would require the laws of any other jurisdiction to apply. Any action or proceeding by either of the Parties to enforce this Agreement shall be brought in any state or federal court located in the state of California, Los Angeles County.</w:t>
      </w:r>
    </w:p>
    <w:p>
      <w:pPr>
        <w:spacing w:after="0" w:line="142" w:lineRule="exact"/>
        <w:rPr>
          <w:rFonts w:ascii="Arial" w:cs="Arial" w:eastAsia="Arial" w:hAnsi="Arial"/>
          <w:sz w:val="19"/>
          <w:szCs w:val="19"/>
          <w:color w:val="auto"/>
        </w:rPr>
      </w:pPr>
    </w:p>
    <w:p>
      <w:pPr>
        <w:ind w:right="240" w:firstLine="872"/>
        <w:spacing w:after="0" w:line="238" w:lineRule="auto"/>
        <w:tabs>
          <w:tab w:leader="none" w:pos="1674" w:val="left"/>
        </w:tabs>
        <w:numPr>
          <w:ilvl w:val="0"/>
          <w:numId w:val="31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Unless specifically stated, this Agreement contains all the understandings and representations between Arrowhead and the Employee relating to the subject matter in this Agreement and supersedes all prior and contemporaneous understandings, agreements, representations, and warranties, both written and oral, with respect to such subject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95" w:name="page196"/>
    <w:bookmarkEnd w:id="195"/>
    <w:p>
      <w:pPr>
        <w:ind w:right="200"/>
        <w:spacing w:after="0"/>
        <w:rPr>
          <w:sz w:val="20"/>
          <w:szCs w:val="20"/>
          <w:color w:val="auto"/>
        </w:rPr>
      </w:pPr>
      <w:r>
        <w:rPr>
          <w:rFonts w:ascii="Arial" w:cs="Arial" w:eastAsia="Arial" w:hAnsi="Arial"/>
          <w:sz w:val="22"/>
          <w:szCs w:val="22"/>
          <w:color w:val="auto"/>
        </w:rPr>
        <w:t>matter; provided, however, that nothing in this Agreement modifies, supersedes, voids, or otherwise alters the Employee's existing confidentiality and invention disclosure and assignment obligations under any separate agreements, which shall remain in full force and effect.</w:t>
      </w:r>
    </w:p>
    <w:p>
      <w:pPr>
        <w:spacing w:after="0" w:line="186" w:lineRule="exact"/>
        <w:rPr>
          <w:sz w:val="20"/>
          <w:szCs w:val="20"/>
          <w:color w:val="auto"/>
        </w:rPr>
      </w:pPr>
    </w:p>
    <w:p>
      <w:pPr>
        <w:ind w:right="40" w:firstLine="872"/>
        <w:spacing w:after="0" w:line="279" w:lineRule="auto"/>
        <w:tabs>
          <w:tab w:leader="none" w:pos="1782"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Modification and Waiver</w:t>
      </w:r>
      <w:r>
        <w:rPr>
          <w:rFonts w:ascii="Arial" w:cs="Arial" w:eastAsia="Arial" w:hAnsi="Arial"/>
          <w:sz w:val="19"/>
          <w:szCs w:val="19"/>
          <w:color w:val="auto"/>
        </w:rPr>
        <w:t>. No provision of this Agreement may be amended or modified unless such amendment or modification is agreed to in writing and signed by the Employee and by an officer of Arrowhead. No waiver by either Party of any breach by the other party of any condition or provision of this Agreement to be performed by the other party shall be deemed a waiver of any similar or dissimilar provision or condition at the same or any prior or subsequent time, nor shall the failure of or delay by either of the Parties in exercising any right, power, or privilege under this Agreement operate as a waiver thereof to preclude any other or further exercise thereof or the exercise of any other such right, power, or privilege.</w:t>
      </w:r>
    </w:p>
    <w:p>
      <w:pPr>
        <w:spacing w:after="0" w:line="150" w:lineRule="exact"/>
        <w:rPr>
          <w:rFonts w:ascii="Arial" w:cs="Arial" w:eastAsia="Arial" w:hAnsi="Arial"/>
          <w:sz w:val="19"/>
          <w:szCs w:val="19"/>
          <w:color w:val="auto"/>
        </w:rPr>
      </w:pPr>
    </w:p>
    <w:p>
      <w:pPr>
        <w:ind w:right="20" w:firstLine="872"/>
        <w:spacing w:after="0" w:line="287" w:lineRule="auto"/>
        <w:tabs>
          <w:tab w:leader="none" w:pos="1774"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of and treated as though originally set forth in this Agreement.</w:t>
      </w:r>
    </w:p>
    <w:p>
      <w:pPr>
        <w:spacing w:after="0" w:line="143" w:lineRule="exact"/>
        <w:rPr>
          <w:sz w:val="20"/>
          <w:szCs w:val="20"/>
          <w:color w:val="auto"/>
        </w:rPr>
      </w:pPr>
    </w:p>
    <w:p>
      <w:pPr>
        <w:ind w:right="40" w:firstLine="1727"/>
        <w:spacing w:after="0" w:line="236" w:lineRule="auto"/>
        <w:rPr>
          <w:sz w:val="20"/>
          <w:szCs w:val="20"/>
          <w:color w:val="auto"/>
        </w:rPr>
      </w:pPr>
      <w:r>
        <w:rPr>
          <w:rFonts w:ascii="Arial" w:cs="Arial" w:eastAsia="Arial" w:hAnsi="Arial"/>
          <w:sz w:val="22"/>
          <w:szCs w:val="22"/>
          <w:color w:val="auto"/>
        </w:rPr>
        <w:t>The Parties further agree that any such court is expressly authorized to modify any such unenforceable provision of this Agreement instead of severing such unenforceable provision from this Agreement in its entirety, whether by rewriting the offending provision, deleting any or all of the offending provision, adding additional language to this Agreement, or by making such other modifications as it deems necessary to carry out the intent and agreement of the Parties as embodied in this Agreement to the maximum extent permitted by law.</w:t>
      </w:r>
    </w:p>
    <w:p>
      <w:pPr>
        <w:spacing w:after="0" w:line="187" w:lineRule="exact"/>
        <w:rPr>
          <w:sz w:val="20"/>
          <w:szCs w:val="20"/>
          <w:color w:val="auto"/>
        </w:rPr>
      </w:pPr>
    </w:p>
    <w:p>
      <w:pPr>
        <w:ind w:firstLine="1727"/>
        <w:spacing w:after="0" w:line="236" w:lineRule="auto"/>
        <w:rPr>
          <w:sz w:val="20"/>
          <w:szCs w:val="20"/>
          <w:color w:val="auto"/>
        </w:rPr>
      </w:pPr>
      <w:r>
        <w:rPr>
          <w:rFonts w:ascii="Arial" w:cs="Arial" w:eastAsia="Arial" w:hAnsi="Arial"/>
          <w:sz w:val="22"/>
          <w:szCs w:val="22"/>
          <w:color w:val="auto"/>
        </w:rPr>
        <w:t>The Parties expressly agree that this Agreement as so modified by the court shall be binding upon and enforceable against each of them. If any provision of this Agreement be held to be invalid, illegal, or unenforceable in any respect, such invalidity, illegality, or unenforceability shall not affect any other provisions, and if such provision or provisions are not modified as provided above, this Agreement shall be construed as if such invalid, illegal, or unenforceable, provisions had not been set forth in it.</w:t>
      </w:r>
    </w:p>
    <w:p>
      <w:pPr>
        <w:spacing w:after="0" w:line="187" w:lineRule="exact"/>
        <w:rPr>
          <w:sz w:val="20"/>
          <w:szCs w:val="20"/>
          <w:color w:val="auto"/>
        </w:rPr>
      </w:pPr>
    </w:p>
    <w:p>
      <w:pPr>
        <w:ind w:right="340" w:firstLine="872"/>
        <w:spacing w:after="0"/>
        <w:tabs>
          <w:tab w:leader="none" w:pos="1782"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86" w:lineRule="exact"/>
        <w:rPr>
          <w:rFonts w:ascii="Arial" w:cs="Arial" w:eastAsia="Arial" w:hAnsi="Arial"/>
          <w:sz w:val="22"/>
          <w:szCs w:val="22"/>
          <w:color w:val="auto"/>
        </w:rPr>
      </w:pPr>
    </w:p>
    <w:p>
      <w:pPr>
        <w:ind w:right="360" w:firstLine="872"/>
        <w:spacing w:after="0" w:line="238" w:lineRule="auto"/>
        <w:tabs>
          <w:tab w:leader="none" w:pos="1782"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execute this Agreement in counterparts, each of which shall be deemed an original, and all of which taken together shall constitute one and the same instrument. Delivery of an executed counterpart's signature page of this Agreement by facsimile, email in portable document format (.pdf), or by any other electronic means intended to</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6" w:name="page197"/>
    <w:bookmarkEnd w:id="196"/>
    <w:p>
      <w:pPr>
        <w:ind w:right="300"/>
        <w:spacing w:after="0" w:line="250" w:lineRule="auto"/>
        <w:rPr>
          <w:sz w:val="20"/>
          <w:szCs w:val="20"/>
          <w:color w:val="auto"/>
        </w:rPr>
      </w:pPr>
      <w:r>
        <w:rPr>
          <w:rFonts w:ascii="Arial" w:cs="Arial" w:eastAsia="Arial" w:hAnsi="Arial"/>
          <w:sz w:val="22"/>
          <w:szCs w:val="22"/>
          <w:color w:val="auto"/>
        </w:rPr>
        <w:t>preserve the original graphic and pictorial appearance of a document has the same effect as delivery of an executed original of this Agreement.</w:t>
      </w:r>
    </w:p>
    <w:p>
      <w:pPr>
        <w:spacing w:after="0" w:line="175" w:lineRule="exact"/>
        <w:rPr>
          <w:sz w:val="20"/>
          <w:szCs w:val="20"/>
          <w:color w:val="auto"/>
        </w:rPr>
      </w:pPr>
    </w:p>
    <w:p>
      <w:pPr>
        <w:jc w:val="both"/>
        <w:ind w:right="140" w:firstLine="872"/>
        <w:spacing w:after="0"/>
        <w:tabs>
          <w:tab w:leader="none" w:pos="1782"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Nothing in this Agreement shall be construed as an admission by Arrowhead of any wrongdoing, liability, or noncompliance with any federal, state, city, or local rule, ordinance, statute, common law, or other legal obligation.</w:t>
      </w:r>
    </w:p>
    <w:p>
      <w:pPr>
        <w:spacing w:after="0" w:line="186" w:lineRule="exact"/>
        <w:rPr>
          <w:rFonts w:ascii="Arial" w:cs="Arial" w:eastAsia="Arial" w:hAnsi="Arial"/>
          <w:sz w:val="22"/>
          <w:szCs w:val="22"/>
          <w:color w:val="auto"/>
        </w:rPr>
      </w:pPr>
    </w:p>
    <w:p>
      <w:pPr>
        <w:ind w:right="780" w:firstLine="872"/>
        <w:spacing w:after="0" w:line="250" w:lineRule="auto"/>
        <w:tabs>
          <w:tab w:leader="none" w:pos="1782"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must be given in writing by regular or express mail at the addresses indicated in this Agreement.</w:t>
      </w:r>
    </w:p>
    <w:p>
      <w:pPr>
        <w:spacing w:after="0" w:line="174" w:lineRule="exact"/>
        <w:rPr>
          <w:rFonts w:ascii="Arial" w:cs="Arial" w:eastAsia="Arial" w:hAnsi="Arial"/>
          <w:sz w:val="22"/>
          <w:szCs w:val="22"/>
          <w:color w:val="auto"/>
        </w:rPr>
      </w:pPr>
    </w:p>
    <w:p>
      <w:pPr>
        <w:ind w:firstLine="872"/>
        <w:spacing w:after="0" w:line="272" w:lineRule="auto"/>
        <w:tabs>
          <w:tab w:leader="none" w:pos="1782" w:val="left"/>
        </w:tabs>
        <w:numPr>
          <w:ilvl w:val="0"/>
          <w:numId w:val="319"/>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Section 409A of the Internal Revenue Code of 1986, as amended (Section 409A), or any exemption under Section 409A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upon a termination of employment shall only be made upon a "separation from service" under Section 409A. Notwithstanding the foregoing, Arrowhead makes no representations that the payments and benefits provided under this Agreement comply with Section 409A and in no event shall Arrowhead be liable for all or any portion of any taxes, penalties, interest, or other expenses that may be incurred by the Employee on account of non-compliance with Section 409A.</w:t>
      </w:r>
    </w:p>
    <w:p>
      <w:pPr>
        <w:spacing w:after="0" w:line="160" w:lineRule="exact"/>
        <w:rPr>
          <w:rFonts w:ascii="Arial" w:cs="Arial" w:eastAsia="Arial" w:hAnsi="Arial"/>
          <w:sz w:val="19"/>
          <w:szCs w:val="19"/>
          <w:color w:val="auto"/>
        </w:rPr>
      </w:pPr>
    </w:p>
    <w:p>
      <w:pPr>
        <w:ind w:right="420" w:firstLine="872"/>
        <w:spacing w:after="0" w:line="238" w:lineRule="auto"/>
        <w:tabs>
          <w:tab w:leader="none" w:pos="1782"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Notice of Post-Termination Obligations</w:t>
      </w:r>
      <w:r>
        <w:rPr>
          <w:rFonts w:ascii="Arial" w:cs="Arial" w:eastAsia="Arial" w:hAnsi="Arial"/>
          <w:sz w:val="22"/>
          <w:szCs w:val="22"/>
          <w:color w:val="auto"/>
        </w:rPr>
        <w:t>. Employee agrees to notify any subsequent employer of the restrictive covenants referenced in this Agreement. In addition, the Employee authorizes Arrowhead to provide a copy of the restrictive covenants referenced in this Agreement to third parties, including but not limited to, the Employee's subsequent, anticipated, or possible future employer.</w:t>
      </w:r>
    </w:p>
    <w:p>
      <w:pPr>
        <w:spacing w:after="0" w:line="184" w:lineRule="exact"/>
        <w:rPr>
          <w:rFonts w:ascii="Arial" w:cs="Arial" w:eastAsia="Arial" w:hAnsi="Arial"/>
          <w:sz w:val="22"/>
          <w:szCs w:val="22"/>
          <w:color w:val="auto"/>
        </w:rPr>
      </w:pPr>
    </w:p>
    <w:p>
      <w:pPr>
        <w:ind w:right="20" w:firstLine="872"/>
        <w:spacing w:after="0" w:line="234" w:lineRule="auto"/>
        <w:tabs>
          <w:tab w:leader="none" w:pos="1782"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Acknowledgment of Full Understanding</w:t>
      </w:r>
      <w:r>
        <w:rPr>
          <w:rFonts w:ascii="Arial" w:cs="Arial" w:eastAsia="Arial" w:hAnsi="Arial"/>
          <w:sz w:val="22"/>
          <w:szCs w:val="22"/>
          <w:color w:val="auto"/>
        </w:rPr>
        <w:t>. THE EMPLOYEE ACKNOWLEDGES AND AGREES THAT THE EMPLOYEE HAS FULLY READ, UNDERSTANDS, AND VOLUNTARILY ENTERS INTO THIS AGREEMENT. THE EMPLOYEE ACKNOWLEDGES AND AGREES THAT THE EMPLOYEE HAS HAD AN OPPORTUNITY TO ASK QUESTIONS AND CONSULT WITH AN ATTORNEY OF EMPLOYEE'S CHOICE BEFORE SIGNING THIS AGREEMENT. THE EMPLOYEE FURTHER ACKNOWLEDGES THAT THE EMPLOYEE'S SIGNATURE BELOW IS AN AGREEMENT TO RELEASE ARROWHEAD PHARMACEUTICALS, INC. FROM ANY AND ALL CLAIMS THAT CAN BE RELEASED AS A MATTER OF LAW.</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97" w:name="page198"/>
    <w:bookmarkEnd w:id="197"/>
    <w:p>
      <w:pPr>
        <w:jc w:val="center"/>
        <w:ind w:right="-2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55" w:right="1440"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as of the Execution Date above.</w:t>
      </w:r>
    </w:p>
    <w:p>
      <w:pPr>
        <w:spacing w:after="0" w:line="28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Arrowhead Pharmaceuticals, Inc.</w:t>
      </w: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Chris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-17780</wp:posOffset>
            </wp:positionV>
            <wp:extent cx="13868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Chris Anzalone</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August 27,2021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James Hassard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James Hassard</w:t>
      </w:r>
      <w:r>
        <w:rPr>
          <w:rFonts w:ascii="Arial" w:cs="Arial" w:eastAsia="Arial" w:hAnsi="Arial"/>
          <w:sz w:val="22"/>
          <w:szCs w:val="22"/>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August 24,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39"/>
          </w:cols>
          <w:pgMar w:left="320" w:top="652"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4"/>
        <w:spacing w:after="0" w:line="263" w:lineRule="auto"/>
        <w:tabs>
          <w:tab w:leader="none" w:pos="125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4"/>
        <w:spacing w:after="0" w:line="263" w:lineRule="auto"/>
        <w:tabs>
          <w:tab w:leader="none" w:pos="126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4"/>
        <w:spacing w:after="0" w:line="334" w:lineRule="auto"/>
        <w:tabs>
          <w:tab w:leader="none" w:pos="1251" w:val="left"/>
        </w:tabs>
        <w:numPr>
          <w:ilvl w:val="1"/>
          <w:numId w:val="3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4"/>
        <w:spacing w:after="0" w:line="263" w:lineRule="auto"/>
        <w:tabs>
          <w:tab w:leader="none" w:pos="126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4"/>
        <w:spacing w:after="0" w:line="306" w:lineRule="auto"/>
        <w:tabs>
          <w:tab w:leader="none" w:pos="1241" w:val="left"/>
        </w:tabs>
        <w:numPr>
          <w:ilvl w:val="1"/>
          <w:numId w:val="3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4"/>
        <w:spacing w:after="0" w:line="277" w:lineRule="auto"/>
        <w:tabs>
          <w:tab w:leader="none" w:pos="125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3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180" w:firstLine="510"/>
        <w:spacing w:after="0" w:line="287"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2021, fully complies with the requirements of Section 13(a) or 15(d) of the Securities Exchange Act of 1934, and</w:t>
      </w:r>
    </w:p>
    <w:p>
      <w:pPr>
        <w:spacing w:after="0" w:line="2" w:lineRule="exact"/>
        <w:rPr>
          <w:sz w:val="20"/>
          <w:szCs w:val="20"/>
          <w:color w:val="auto"/>
        </w:rPr>
      </w:pPr>
    </w:p>
    <w:p>
      <w:pPr>
        <w:ind w:right="780" w:firstLine="8"/>
        <w:spacing w:after="0" w:line="260" w:lineRule="auto"/>
        <w:tabs>
          <w:tab w:leader="none" w:pos="26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13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180" w:firstLine="510"/>
        <w:spacing w:after="0" w:line="287"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2021, fully complies with the requirements of Section 13(a) or 15(d) of the Securities Exchange Act of 1934, and</w:t>
      </w:r>
    </w:p>
    <w:p>
      <w:pPr>
        <w:spacing w:after="0" w:line="2" w:lineRule="exact"/>
        <w:rPr>
          <w:sz w:val="20"/>
          <w:szCs w:val="20"/>
          <w:color w:val="auto"/>
        </w:rPr>
      </w:pPr>
    </w:p>
    <w:p>
      <w:pPr>
        <w:ind w:right="780" w:firstLine="8"/>
        <w:spacing w:after="0" w:line="260" w:lineRule="auto"/>
        <w:tabs>
          <w:tab w:leader="none" w:pos="26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13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
      <w:numFmt w:val="bullet"/>
      <w:start w:val="1"/>
    </w:lvl>
  </w:abstractNum>
  <w:abstractNum w:abstractNumId="2">
    <w:nsid w:val="F856867"/>
    <w:multiLevelType w:val="hybridMultilevel"/>
    <w:lvl w:ilvl="0">
      <w:lvlJc w:val="left"/>
      <w:lvlText w:val="%1)"/>
      <w:numFmt w:val="lowerRoman"/>
      <w:start w:val="1"/>
    </w:lvl>
  </w:abstractNum>
  <w:abstractNum w:abstractNumId="3">
    <w:nsid w:val="11B1CC33"/>
    <w:multiLevelType w:val="hybridMultilevel"/>
    <w:lvl w:ilvl="0">
      <w:lvlJc w:val="left"/>
      <w:lvlText w:val="%1)"/>
      <w:numFmt w:val="lowerRoman"/>
      <w:start w:val="1"/>
    </w:lvl>
  </w:abstractNum>
  <w:abstractNum w:abstractNumId="4">
    <w:nsid w:val="2E22FBB7"/>
    <w:multiLevelType w:val="hybridMultilevel"/>
    <w:lvl w:ilvl="0">
      <w:lvlJc w:val="left"/>
      <w:lvlText w:val="*"/>
      <w:numFmt w:val="bullet"/>
      <w:start w:val="1"/>
    </w:lvl>
  </w:abstractNum>
  <w:abstractNum w:abstractNumId="5">
    <w:nsid w:val="29934699"/>
    <w:multiLevelType w:val="hybridMultilevel"/>
    <w:lvl w:ilvl="0">
      <w:lvlJc w:val="left"/>
      <w:lvlText w:val="**"/>
      <w:numFmt w:val="bullet"/>
      <w:start w:val="1"/>
    </w:lvl>
  </w:abstractNum>
  <w:abstractNum w:abstractNumId="6">
    <w:nsid w:val="77485850"/>
    <w:multiLevelType w:val="hybridMultilevel"/>
    <w:lvl w:ilvl="0">
      <w:lvlJc w:val="left"/>
      <w:lvlText w:val="†"/>
      <w:numFmt w:val="bullet"/>
      <w:start w:val="1"/>
    </w:lvl>
  </w:abstractNum>
  <w:abstractNum w:abstractNumId="7">
    <w:nsid w:val="744939A3"/>
    <w:multiLevelType w:val="hybridMultilevel"/>
    <w:lvl w:ilvl="0">
      <w:lvlJc w:val="left"/>
      <w:lvlText w:val="[***]"/>
      <w:numFmt w:val="bullet"/>
      <w:start w:val="1"/>
    </w:lvl>
  </w:abstractNum>
  <w:abstractNum w:abstractNumId="8">
    <w:nsid w:val="4FA0D2E3"/>
    <w:multiLevelType w:val="hybridMultilevel"/>
    <w:lvl w:ilvl="0">
      <w:lvlJc w:val="left"/>
      <w:lvlText w:val="[***]"/>
      <w:numFmt w:val="bullet"/>
      <w:start w:val="1"/>
    </w:lvl>
  </w:abstractNum>
  <w:abstractNum w:abstractNumId="9">
    <w:nsid w:val="6B1D2C14"/>
    <w:multiLevelType w:val="hybridMultilevel"/>
    <w:lvl w:ilvl="0">
      <w:lvlJc w:val="left"/>
      <w:lvlText w:val="[***]"/>
      <w:numFmt w:val="bullet"/>
      <w:start w:val="1"/>
    </w:lvl>
  </w:abstractNum>
  <w:abstractNum w:abstractNumId="10">
    <w:nsid w:val="68B867D3"/>
    <w:multiLevelType w:val="hybridMultilevel"/>
    <w:lvl w:ilvl="0">
      <w:lvlJc w:val="left"/>
      <w:lvlText w:val="[***]"/>
      <w:numFmt w:val="bullet"/>
      <w:start w:val="1"/>
    </w:lvl>
  </w:abstractNum>
  <w:abstractNum w:abstractNumId="11">
    <w:nsid w:val="3F7F5DD9"/>
    <w:multiLevelType w:val="hybridMultilevel"/>
    <w:lvl w:ilvl="0">
      <w:lvlJc w:val="left"/>
      <w:lvlText w:val="[***]"/>
      <w:numFmt w:val="bullet"/>
      <w:start w:val="1"/>
    </w:lvl>
  </w:abstractNum>
  <w:abstractNum w:abstractNumId="12">
    <w:nsid w:val="2AE05A34"/>
    <w:multiLevelType w:val="hybridMultilevel"/>
    <w:lvl w:ilvl="0">
      <w:lvlJc w:val="left"/>
      <w:lvlText w:val="[***]"/>
      <w:numFmt w:val="bullet"/>
      <w:start w:val="1"/>
    </w:lvl>
  </w:abstractNum>
  <w:abstractNum w:abstractNumId="13">
    <w:nsid w:val="32794FF7"/>
    <w:multiLevelType w:val="hybridMultilevel"/>
    <w:lvl w:ilvl="0">
      <w:lvlJc w:val="left"/>
      <w:lvlText w:val="[***]"/>
      <w:numFmt w:val="bullet"/>
      <w:start w:val="1"/>
    </w:lvl>
  </w:abstractNum>
  <w:abstractNum w:abstractNumId="14">
    <w:nsid w:val="5454945E"/>
    <w:multiLevelType w:val="hybridMultilevel"/>
    <w:lvl w:ilvl="0">
      <w:lvlJc w:val="left"/>
      <w:lvlText w:val="[***]"/>
      <w:numFmt w:val="bullet"/>
      <w:start w:val="1"/>
    </w:lvl>
  </w:abstractNum>
  <w:abstractNum w:abstractNumId="15">
    <w:nsid w:val="4DEFDFA0"/>
    <w:multiLevelType w:val="hybridMultilevel"/>
    <w:lvl w:ilvl="0">
      <w:lvlJc w:val="left"/>
      <w:lvlText w:val="[***]"/>
      <w:numFmt w:val="bullet"/>
      <w:start w:val="1"/>
    </w:lvl>
  </w:abstractNum>
  <w:abstractNum w:abstractNumId="16">
    <w:nsid w:val="2123D5F2"/>
    <w:multiLevelType w:val="hybridMultilevel"/>
    <w:lvl w:ilvl="0">
      <w:lvlJc w:val="left"/>
      <w:lvlText w:val="[***]"/>
      <w:numFmt w:val="bullet"/>
      <w:start w:val="1"/>
    </w:lvl>
  </w:abstractNum>
  <w:abstractNum w:abstractNumId="17">
    <w:nsid w:val="135B8110"/>
    <w:multiLevelType w:val="hybridMultilevel"/>
    <w:lvl w:ilvl="0">
      <w:lvlJc w:val="left"/>
      <w:lvlText w:val="[***]"/>
      <w:numFmt w:val="bullet"/>
      <w:start w:val="1"/>
    </w:lvl>
  </w:abstractNum>
  <w:abstractNum w:abstractNumId="18">
    <w:nsid w:val="94927A8"/>
    <w:multiLevelType w:val="hybridMultilevel"/>
    <w:lvl w:ilvl="0">
      <w:lvlJc w:val="left"/>
      <w:lvlText w:val="[***]"/>
      <w:numFmt w:val="bullet"/>
      <w:start w:val="1"/>
    </w:lvl>
  </w:abstractNum>
  <w:abstractNum w:abstractNumId="19">
    <w:nsid w:val="DCDF8F6"/>
    <w:multiLevelType w:val="hybridMultilevel"/>
    <w:lvl w:ilvl="0">
      <w:lvlJc w:val="left"/>
      <w:lvlText w:val="[***]"/>
      <w:numFmt w:val="bullet"/>
      <w:start w:val="1"/>
    </w:lvl>
  </w:abstractNum>
  <w:abstractNum w:abstractNumId="20">
    <w:nsid w:val="52D7B105"/>
    <w:multiLevelType w:val="hybridMultilevel"/>
    <w:lvl w:ilvl="0">
      <w:lvlJc w:val="left"/>
      <w:lvlText w:val="[***]"/>
      <w:numFmt w:val="bullet"/>
      <w:start w:val="1"/>
    </w:lvl>
  </w:abstractNum>
  <w:abstractNum w:abstractNumId="21">
    <w:nsid w:val="2E8A6394"/>
    <w:multiLevelType w:val="hybridMultilevel"/>
    <w:lvl w:ilvl="0">
      <w:lvlJc w:val="left"/>
      <w:lvlText w:val="[***]"/>
      <w:numFmt w:val="bullet"/>
      <w:start w:val="1"/>
    </w:lvl>
  </w:abstractNum>
  <w:abstractNum w:abstractNumId="22">
    <w:nsid w:val="24E60401"/>
    <w:multiLevelType w:val="hybridMultilevel"/>
    <w:lvl w:ilvl="0">
      <w:lvlJc w:val="left"/>
      <w:lvlText w:val="[***]"/>
      <w:numFmt w:val="bullet"/>
      <w:start w:val="1"/>
    </w:lvl>
  </w:abstractNum>
  <w:abstractNum w:abstractNumId="23">
    <w:nsid w:val="2A6AD9BE"/>
    <w:multiLevelType w:val="hybridMultilevel"/>
    <w:lvl w:ilvl="0">
      <w:lvlJc w:val="left"/>
      <w:lvlText w:val="(%1)"/>
      <w:numFmt w:val="lowerLetter"/>
      <w:start w:val="1"/>
    </w:lvl>
  </w:abstractNum>
  <w:abstractNum w:abstractNumId="24">
    <w:nsid w:val="BAAC1B4"/>
    <w:multiLevelType w:val="hybridMultilevel"/>
    <w:lvl w:ilvl="0">
      <w:lvlJc w:val="left"/>
      <w:lvlText w:val="[***]"/>
      <w:numFmt w:val="bullet"/>
      <w:start w:val="1"/>
    </w:lvl>
  </w:abstractNum>
  <w:abstractNum w:abstractNumId="25">
    <w:nsid w:val="36B2ACBC"/>
    <w:multiLevelType w:val="hybridMultilevel"/>
    <w:lvl w:ilvl="0">
      <w:lvlJc w:val="left"/>
      <w:lvlText w:val="[***]"/>
      <w:numFmt w:val="bullet"/>
      <w:start w:val="1"/>
    </w:lvl>
  </w:abstractNum>
  <w:abstractNum w:abstractNumId="26">
    <w:nsid w:val="779D8544"/>
    <w:multiLevelType w:val="hybridMultilevel"/>
    <w:lvl w:ilvl="0">
      <w:lvlJc w:val="left"/>
      <w:lvlText w:val="%1."/>
      <w:numFmt w:val="lowerLetter"/>
      <w:start w:val="1"/>
    </w:lvl>
  </w:abstractNum>
  <w:abstractNum w:abstractNumId="27">
    <w:nsid w:val="4AB26E78"/>
    <w:multiLevelType w:val="hybridMultilevel"/>
    <w:lvl w:ilvl="0">
      <w:lvlJc w:val="left"/>
      <w:lvlText w:val="[***]"/>
      <w:numFmt w:val="bullet"/>
      <w:start w:val="1"/>
    </w:lvl>
  </w:abstractNum>
  <w:abstractNum w:abstractNumId="28">
    <w:nsid w:val="21FAA2FA"/>
    <w:multiLevelType w:val="hybridMultilevel"/>
    <w:lvl w:ilvl="0">
      <w:lvlJc w:val="left"/>
      <w:lvlText w:val="%1."/>
      <w:numFmt w:val="lowerLetter"/>
      <w:start w:val="4"/>
    </w:lvl>
  </w:abstractNum>
  <w:abstractNum w:abstractNumId="29">
    <w:nsid w:val="5451CF49"/>
    <w:multiLevelType w:val="hybridMultilevel"/>
    <w:lvl w:ilvl="0">
      <w:lvlJc w:val="left"/>
      <w:lvlText w:val="%1."/>
      <w:numFmt w:val="lowerLetter"/>
      <w:start w:val="1"/>
    </w:lvl>
  </w:abstractNum>
  <w:abstractNum w:abstractNumId="30">
    <w:nsid w:val="6181EF69"/>
    <w:multiLevelType w:val="hybridMultilevel"/>
    <w:lvl w:ilvl="0">
      <w:lvlJc w:val="left"/>
      <w:lvlText w:val="[***]"/>
      <w:numFmt w:val="bullet"/>
      <w:start w:val="1"/>
    </w:lvl>
    <w:lvl w:ilvl="1">
      <w:lvlJc w:val="left"/>
      <w:lvlText w:val="%2."/>
      <w:numFmt w:val="lowerLetter"/>
      <w:start w:val="2"/>
    </w:lvl>
  </w:abstractNum>
  <w:abstractNum w:abstractNumId="31">
    <w:nsid w:val="3E6400E6"/>
    <w:multiLevelType w:val="hybridMultilevel"/>
    <w:lvl w:ilvl="0">
      <w:lvlJc w:val="left"/>
      <w:lvlText w:val="[***]"/>
      <w:numFmt w:val="bullet"/>
      <w:start w:val="1"/>
    </w:lvl>
  </w:abstractNum>
  <w:abstractNum w:abstractNumId="32">
    <w:nsid w:val="14217E23"/>
    <w:multiLevelType w:val="hybridMultilevel"/>
    <w:lvl w:ilvl="0">
      <w:lvlJc w:val="left"/>
      <w:lvlText w:val="[***]"/>
      <w:numFmt w:val="bullet"/>
      <w:start w:val="1"/>
    </w:lvl>
  </w:abstractNum>
  <w:abstractNum w:abstractNumId="33">
    <w:nsid w:val="710757D0"/>
    <w:multiLevelType w:val="hybridMultilevel"/>
    <w:lvl w:ilvl="0">
      <w:lvlJc w:val="left"/>
      <w:lvlText w:val="[***]"/>
      <w:numFmt w:val="bullet"/>
      <w:start w:val="1"/>
    </w:lvl>
  </w:abstractNum>
  <w:abstractNum w:abstractNumId="34">
    <w:nsid w:val="5015CD1A"/>
    <w:multiLevelType w:val="hybridMultilevel"/>
    <w:lvl w:ilvl="0">
      <w:lvlJc w:val="left"/>
      <w:lvlText w:val="[***]"/>
      <w:numFmt w:val="bullet"/>
      <w:start w:val="1"/>
    </w:lvl>
  </w:abstractNum>
  <w:abstractNum w:abstractNumId="35">
    <w:nsid w:val="424479DA"/>
    <w:multiLevelType w:val="hybridMultilevel"/>
    <w:lvl w:ilvl="0">
      <w:lvlJc w:val="left"/>
      <w:lvlText w:val="[***]"/>
      <w:numFmt w:val="bullet"/>
      <w:start w:val="1"/>
    </w:lvl>
  </w:abstractNum>
  <w:abstractNum w:abstractNumId="36">
    <w:nsid w:val="1A9A9E69"/>
    <w:multiLevelType w:val="hybridMultilevel"/>
    <w:lvl w:ilvl="0">
      <w:lvlJc w:val="left"/>
      <w:lvlText w:val="(%1)"/>
      <w:numFmt w:val="lowerLetter"/>
      <w:start w:val="2"/>
    </w:lvl>
  </w:abstractNum>
  <w:abstractNum w:abstractNumId="37">
    <w:nsid w:val="475E256A"/>
    <w:multiLevelType w:val="hybridMultilevel"/>
    <w:lvl w:ilvl="0">
      <w:lvlJc w:val="left"/>
      <w:lvlText w:val="[***]"/>
      <w:numFmt w:val="bullet"/>
      <w:start w:val="1"/>
    </w:lvl>
  </w:abstractNum>
  <w:abstractNum w:abstractNumId="38">
    <w:nsid w:val="368DB37E"/>
    <w:multiLevelType w:val="hybridMultilevel"/>
    <w:lvl w:ilvl="0">
      <w:lvlJc w:val="left"/>
      <w:lvlText w:val="[***]"/>
      <w:numFmt w:val="bullet"/>
      <w:start w:val="1"/>
    </w:lvl>
  </w:abstractNum>
  <w:abstractNum w:abstractNumId="39">
    <w:nsid w:val="6A3B714C"/>
    <w:multiLevelType w:val="hybridMultilevel"/>
    <w:lvl w:ilvl="0">
      <w:lvlJc w:val="left"/>
      <w:lvlText w:val="."/>
      <w:numFmt w:val="bullet"/>
      <w:start w:val="1"/>
    </w:lvl>
  </w:abstractNum>
  <w:abstractNum w:abstractNumId="40">
    <w:nsid w:val="327B517E"/>
    <w:multiLevelType w:val="hybridMultilevel"/>
    <w:lvl w:ilvl="0">
      <w:lvlJc w:val="left"/>
      <w:lvlText w:val="."/>
      <w:numFmt w:val="bullet"/>
      <w:start w:val="1"/>
    </w:lvl>
  </w:abstractNum>
  <w:abstractNum w:abstractNumId="41">
    <w:nsid w:val="1F461B51"/>
    <w:multiLevelType w:val="hybridMultilevel"/>
    <w:lvl w:ilvl="0">
      <w:lvlJc w:val="left"/>
      <w:lvlText w:val="[***]"/>
      <w:numFmt w:val="bullet"/>
      <w:start w:val="1"/>
    </w:lvl>
  </w:abstractNum>
  <w:abstractNum w:abstractNumId="42">
    <w:nsid w:val="29BACF25"/>
    <w:multiLevelType w:val="hybridMultilevel"/>
    <w:lvl w:ilvl="0">
      <w:lvlJc w:val="left"/>
      <w:lvlText w:val="(%1)"/>
      <w:numFmt w:val="lowerLetter"/>
      <w:start w:val="2"/>
    </w:lvl>
  </w:abstractNum>
  <w:abstractNum w:abstractNumId="43">
    <w:nsid w:val="5D5BABB3"/>
    <w:multiLevelType w:val="hybridMultilevel"/>
    <w:lvl w:ilvl="0">
      <w:lvlJc w:val="left"/>
      <w:lvlText w:val="."/>
      <w:numFmt w:val="bullet"/>
      <w:start w:val="1"/>
    </w:lvl>
  </w:abstractNum>
  <w:abstractNum w:abstractNumId="44">
    <w:nsid w:val="51BF6B48"/>
    <w:multiLevelType w:val="hybridMultilevel"/>
    <w:lvl w:ilvl="0">
      <w:lvlJc w:val="left"/>
      <w:lvlText w:val="."/>
      <w:numFmt w:val="bullet"/>
      <w:start w:val="1"/>
    </w:lvl>
  </w:abstractNum>
  <w:abstractNum w:abstractNumId="45">
    <w:nsid w:val="7E0F6384"/>
    <w:multiLevelType w:val="hybridMultilevel"/>
    <w:lvl w:ilvl="0">
      <w:lvlJc w:val="left"/>
      <w:lvlText w:val="[***]"/>
      <w:numFmt w:val="bullet"/>
      <w:start w:val="1"/>
    </w:lvl>
  </w:abstractNum>
  <w:abstractNum w:abstractNumId="46">
    <w:nsid w:val="2B4B8B53"/>
    <w:multiLevelType w:val="hybridMultilevel"/>
    <w:lvl w:ilvl="0">
      <w:lvlJc w:val="left"/>
      <w:lvlText w:val="."/>
      <w:numFmt w:val="bullet"/>
      <w:start w:val="1"/>
    </w:lvl>
  </w:abstractNum>
  <w:abstractNum w:abstractNumId="47">
    <w:nsid w:val="72E3413A"/>
    <w:multiLevelType w:val="hybridMultilevel"/>
    <w:lvl w:ilvl="0">
      <w:lvlJc w:val="left"/>
      <w:lvlText w:val="."/>
      <w:numFmt w:val="bullet"/>
      <w:start w:val="1"/>
    </w:lvl>
  </w:abstractNum>
  <w:abstractNum w:abstractNumId="48">
    <w:nsid w:val="116AE494"/>
    <w:multiLevelType w:val="hybridMultilevel"/>
    <w:lvl w:ilvl="0">
      <w:lvlJc w:val="left"/>
      <w:lvlText w:val="(%1)"/>
      <w:numFmt w:val="lowerLetter"/>
      <w:start w:val="1"/>
    </w:lvl>
  </w:abstractNum>
  <w:abstractNum w:abstractNumId="49">
    <w:nsid w:val="3494B2FB"/>
    <w:multiLevelType w:val="hybridMultilevel"/>
    <w:lvl w:ilvl="0">
      <w:lvlJc w:val="left"/>
      <w:lvlText w:val="[***]"/>
      <w:numFmt w:val="bullet"/>
      <w:start w:val="1"/>
    </w:lvl>
  </w:abstractNum>
  <w:abstractNum w:abstractNumId="50">
    <w:nsid w:val="B13A31"/>
    <w:multiLevelType w:val="hybridMultilevel"/>
    <w:lvl w:ilvl="0">
      <w:lvlJc w:val="left"/>
      <w:lvlText w:val="(%1)"/>
      <w:numFmt w:val="lowerLetter"/>
      <w:start w:val="2"/>
    </w:lvl>
    <w:lvl w:ilvl="1">
      <w:lvlJc w:val="left"/>
      <w:lvlText w:val="(%2)"/>
      <w:numFmt w:val="lowerRoman"/>
      <w:start w:val="1"/>
    </w:lvl>
  </w:abstractNum>
  <w:abstractNum w:abstractNumId="51">
    <w:nsid w:val="6442959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52">
    <w:nsid w:val="631F1690"/>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53">
    <w:nsid w:val="25973E3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54">
    <w:nsid w:val="EAD6F57"/>
    <w:multiLevelType w:val="hybridMultilevel"/>
    <w:lvl w:ilvl="0">
      <w:lvlJc w:val="left"/>
      <w:lvlText w:val="(%1)"/>
      <w:numFmt w:val="lowerLetter"/>
      <w:start w:val="1"/>
    </w:lvl>
  </w:abstractNum>
  <w:abstractNum w:abstractNumId="55">
    <w:nsid w:val="6EC9D844"/>
    <w:multiLevelType w:val="hybridMultilevel"/>
    <w:lvl w:ilvl="0">
      <w:lvlJc w:val="left"/>
      <w:lvlText w:val="[***]"/>
      <w:numFmt w:val="bullet"/>
      <w:start w:val="1"/>
    </w:lvl>
  </w:abstractNum>
  <w:abstractNum w:abstractNumId="56">
    <w:nsid w:val="5C49EAEE"/>
    <w:multiLevelType w:val="hybridMultilevel"/>
    <w:lvl w:ilvl="0">
      <w:lvlJc w:val="left"/>
      <w:lvlText w:val="(%1)"/>
      <w:numFmt w:val="lowerLetter"/>
      <w:start w:val="3"/>
    </w:lvl>
  </w:abstractNum>
  <w:abstractNum w:abstractNumId="57">
    <w:nsid w:val="64AF49B"/>
    <w:multiLevelType w:val="hybridMultilevel"/>
    <w:lvl w:ilvl="0">
      <w:lvlJc w:val="left"/>
      <w:lvlText w:val="(%1)"/>
      <w:numFmt w:val="lowerLetter"/>
      <w:start w:val="1"/>
    </w:lvl>
    <w:lvl w:ilvl="1">
      <w:lvlJc w:val="left"/>
      <w:lvlText w:val="(%2)"/>
      <w:numFmt w:val="lowerLetter"/>
      <w:start w:val="9"/>
    </w:lvl>
  </w:abstractNum>
  <w:abstractNum w:abstractNumId="58">
    <w:nsid w:val="397C46BC"/>
    <w:multiLevelType w:val="hybridMultilevel"/>
    <w:lvl w:ilvl="0">
      <w:lvlJc w:val="left"/>
      <w:lvlText w:val="[***]"/>
      <w:numFmt w:val="bullet"/>
      <w:start w:val="1"/>
    </w:lvl>
  </w:abstractNum>
  <w:abstractNum w:abstractNumId="59">
    <w:nsid w:val="7E448DE9"/>
    <w:multiLevelType w:val="hybridMultilevel"/>
    <w:lvl w:ilvl="0">
      <w:lvlJc w:val="left"/>
      <w:lvlText w:val="(%1)"/>
      <w:numFmt w:val="lowerRoman"/>
      <w:start w:val="2"/>
    </w:lvl>
  </w:abstractNum>
  <w:abstractNum w:abstractNumId="60">
    <w:nsid w:val="5A9CC3E5"/>
    <w:multiLevelType w:val="hybridMultilevel"/>
    <w:lvl w:ilvl="0">
      <w:lvlJc w:val="left"/>
      <w:lvlText w:val="(%1)"/>
      <w:numFmt w:val="lowerLetter"/>
      <w:start w:val="1"/>
    </w:lvl>
  </w:abstractNum>
  <w:abstractNum w:abstractNumId="61">
    <w:nsid w:val="1AFE3625"/>
    <w:multiLevelType w:val="hybridMultilevel"/>
    <w:lvl w:ilvl="0">
      <w:lvlJc w:val="left"/>
      <w:lvlText w:val="[***]"/>
      <w:numFmt w:val="bullet"/>
      <w:start w:val="1"/>
    </w:lvl>
  </w:abstractNum>
  <w:abstractNum w:abstractNumId="62">
    <w:nsid w:val="3CA88ECF"/>
    <w:multiLevelType w:val="hybridMultilevel"/>
    <w:lvl w:ilvl="0">
      <w:lvlJc w:val="left"/>
      <w:lvlText w:val="(%1)"/>
      <w:numFmt w:val="lowerLetter"/>
      <w:start w:val="3"/>
    </w:lvl>
  </w:abstractNum>
  <w:abstractNum w:abstractNumId="63">
    <w:nsid w:val="6EBE4208"/>
    <w:multiLevelType w:val="hybridMultilevel"/>
    <w:lvl w:ilvl="0">
      <w:lvlJc w:val="left"/>
      <w:lvlText w:val="[***]"/>
      <w:numFmt w:val="bullet"/>
      <w:start w:val="1"/>
    </w:lvl>
  </w:abstractNum>
  <w:abstractNum w:abstractNumId="64">
    <w:nsid w:val="C058DF5"/>
    <w:multiLevelType w:val="hybridMultilevel"/>
    <w:lvl w:ilvl="0">
      <w:lvlJc w:val="left"/>
      <w:lvlText w:val="(%1)"/>
      <w:numFmt w:val="lowerLetter"/>
      <w:start w:val="5"/>
    </w:lvl>
  </w:abstractNum>
  <w:abstractNum w:abstractNumId="65">
    <w:nsid w:val="CBE5BE9"/>
    <w:multiLevelType w:val="hybridMultilevel"/>
    <w:lvl w:ilvl="0">
      <w:lvlJc w:val="left"/>
      <w:lvlText w:val="."/>
      <w:numFmt w:val="bullet"/>
      <w:start w:val="1"/>
    </w:lvl>
  </w:abstractNum>
  <w:abstractNum w:abstractNumId="66">
    <w:nsid w:val="3102BBE2"/>
    <w:multiLevelType w:val="hybridMultilevel"/>
    <w:lvl w:ilvl="0">
      <w:lvlJc w:val="left"/>
      <w:lvlText w:val="[***]"/>
      <w:numFmt w:val="bullet"/>
      <w:start w:val="1"/>
    </w:lvl>
  </w:abstractNum>
  <w:abstractNum w:abstractNumId="67">
    <w:nsid w:val="26A02C5E"/>
    <w:multiLevelType w:val="hybridMultilevel"/>
    <w:lvl w:ilvl="0">
      <w:lvlJc w:val="left"/>
      <w:lvlText w:val="."/>
      <w:numFmt w:val="bullet"/>
      <w:start w:val="1"/>
    </w:lvl>
  </w:abstractNum>
  <w:abstractNum w:abstractNumId="68">
    <w:nsid w:val="541C8153"/>
    <w:multiLevelType w:val="hybridMultilevel"/>
    <w:lvl w:ilvl="0">
      <w:lvlJc w:val="left"/>
      <w:lvlText w:val="(%1)"/>
      <w:numFmt w:val="lowerLetter"/>
      <w:start w:val="1"/>
    </w:lvl>
  </w:abstractNum>
  <w:abstractNum w:abstractNumId="69">
    <w:nsid w:val="67906F60"/>
    <w:multiLevelType w:val="hybridMultilevel"/>
    <w:lvl w:ilvl="0">
      <w:lvlJc w:val="left"/>
      <w:lvlText w:val="[***]"/>
      <w:numFmt w:val="bullet"/>
      <w:start w:val="1"/>
    </w:lvl>
  </w:abstractNum>
  <w:abstractNum w:abstractNumId="70">
    <w:nsid w:val="10DB9DAA"/>
    <w:multiLevelType w:val="hybridMultilevel"/>
    <w:lvl w:ilvl="0">
      <w:lvlJc w:val="left"/>
      <w:lvlText w:val="(%1)"/>
      <w:numFmt w:val="lowerLetter"/>
      <w:start w:val="3"/>
    </w:lvl>
  </w:abstractNum>
  <w:abstractNum w:abstractNumId="71">
    <w:nsid w:val="697D2D2"/>
    <w:multiLevelType w:val="hybridMultilevel"/>
    <w:lvl w:ilvl="0">
      <w:lvlJc w:val="left"/>
      <w:lvlText w:val="[***]"/>
      <w:numFmt w:val="bullet"/>
      <w:start w:val="1"/>
    </w:lvl>
    <w:lvl w:ilvl="1">
      <w:lvlJc w:val="left"/>
      <w:lvlText w:val="(%2)"/>
      <w:numFmt w:val="lowerLetter"/>
      <w:start w:val="1"/>
    </w:lvl>
  </w:abstractNum>
  <w:abstractNum w:abstractNumId="72">
    <w:nsid w:val="6D68AB2"/>
    <w:multiLevelType w:val="hybridMultilevel"/>
    <w:lvl w:ilvl="0">
      <w:lvlJc w:val="left"/>
      <w:lvlText w:val="."/>
      <w:numFmt w:val="bullet"/>
      <w:start w:val="1"/>
    </w:lvl>
  </w:abstractNum>
  <w:abstractNum w:abstractNumId="73">
    <w:nsid w:val="3A966CD0"/>
    <w:multiLevelType w:val="hybridMultilevel"/>
    <w:lvl w:ilvl="0">
      <w:lvlJc w:val="left"/>
      <w:lvlText w:val="."/>
      <w:numFmt w:val="bullet"/>
      <w:start w:val="1"/>
    </w:lvl>
  </w:abstractNum>
  <w:abstractNum w:abstractNumId="74">
    <w:nsid w:val="63F37E85"/>
    <w:multiLevelType w:val="hybridMultilevel"/>
    <w:lvl w:ilvl="0">
      <w:lvlJc w:val="left"/>
      <w:lvlText w:val="[***]"/>
      <w:numFmt w:val="bullet"/>
      <w:start w:val="1"/>
    </w:lvl>
  </w:abstractNum>
  <w:abstractNum w:abstractNumId="75">
    <w:nsid w:val="5895F5FA"/>
    <w:multiLevelType w:val="hybridMultilevel"/>
    <w:lvl w:ilvl="0">
      <w:lvlJc w:val="left"/>
      <w:lvlText w:val="."/>
      <w:numFmt w:val="bullet"/>
      <w:start w:val="1"/>
    </w:lvl>
  </w:abstractNum>
  <w:abstractNum w:abstractNumId="76">
    <w:nsid w:val="38A5D054"/>
    <w:multiLevelType w:val="hybridMultilevel"/>
    <w:lvl w:ilvl="0">
      <w:lvlJc w:val="left"/>
      <w:lvlText w:val="[***]"/>
      <w:numFmt w:val="bullet"/>
      <w:start w:val="1"/>
    </w:lvl>
  </w:abstractNum>
  <w:abstractNum w:abstractNumId="77">
    <w:nsid w:val="F3F09D8"/>
    <w:multiLevelType w:val="hybridMultilevel"/>
    <w:lvl w:ilvl="0">
      <w:lvlJc w:val="left"/>
      <w:lvlText w:val="(%1)"/>
      <w:numFmt w:val="lowerLetter"/>
      <w:start w:val="3"/>
    </w:lvl>
  </w:abstractNum>
  <w:abstractNum w:abstractNumId="78">
    <w:nsid w:val="4B793735"/>
    <w:multiLevelType w:val="hybridMultilevel"/>
    <w:lvl w:ilvl="0">
      <w:lvlJc w:val="left"/>
      <w:lvlText w:val="(%1)"/>
      <w:numFmt w:val="lowerLetter"/>
      <w:start w:val="35"/>
    </w:lvl>
  </w:abstractNum>
  <w:abstractNum w:abstractNumId="79">
    <w:nsid w:val="4A10B4E8"/>
    <w:multiLevelType w:val="hybridMultilevel"/>
    <w:lvl w:ilvl="0">
      <w:lvlJc w:val="left"/>
      <w:lvlText w:val="(%1)"/>
      <w:numFmt w:val="lowerLetter"/>
      <w:start w:val="4"/>
    </w:lvl>
  </w:abstractNum>
  <w:abstractNum w:abstractNumId="80">
    <w:nsid w:val="43D3BCD4"/>
    <w:multiLevelType w:val="hybridMultilevel"/>
    <w:lvl w:ilvl="0">
      <w:lvlJc w:val="left"/>
      <w:lvlText w:val="."/>
      <w:numFmt w:val="bullet"/>
      <w:start w:val="1"/>
    </w:lvl>
  </w:abstractNum>
  <w:abstractNum w:abstractNumId="81">
    <w:nsid w:val="4C2A7166"/>
    <w:multiLevelType w:val="hybridMultilevel"/>
    <w:lvl w:ilvl="0">
      <w:lvlJc w:val="left"/>
      <w:lvlText w:val="(%1)"/>
      <w:numFmt w:val="lowerLetter"/>
      <w:start w:val="1"/>
    </w:lvl>
  </w:abstractNum>
  <w:abstractNum w:abstractNumId="82">
    <w:nsid w:val="2E534A82"/>
    <w:multiLevelType w:val="hybridMultilevel"/>
    <w:lvl w:ilvl="0">
      <w:lvlJc w:val="left"/>
      <w:lvlText w:val="[***]"/>
      <w:numFmt w:val="bullet"/>
      <w:start w:val="1"/>
    </w:lvl>
  </w:abstractNum>
  <w:abstractNum w:abstractNumId="83">
    <w:nsid w:val="26F2D364"/>
    <w:multiLevelType w:val="hybridMultilevel"/>
    <w:lvl w:ilvl="0">
      <w:lvlJc w:val="left"/>
      <w:lvlText w:val="(%1)"/>
      <w:numFmt w:val="lowerLetter"/>
      <w:start w:val="2"/>
    </w:lvl>
  </w:abstractNum>
  <w:abstractNum w:abstractNumId="84">
    <w:nsid w:val="71C1AF98"/>
    <w:multiLevelType w:val="hybridMultilevel"/>
    <w:lvl w:ilvl="0">
      <w:lvlJc w:val="left"/>
      <w:lvlText w:val="[***]"/>
      <w:numFmt w:val="bullet"/>
      <w:start w:val="1"/>
    </w:lvl>
    <w:lvl w:ilvl="1">
      <w:lvlJc w:val="left"/>
      <w:lvlText w:val="(%2)"/>
      <w:numFmt w:val="lowerLetter"/>
      <w:start w:val="3"/>
    </w:lvl>
  </w:abstractNum>
  <w:abstractNum w:abstractNumId="85">
    <w:nsid w:val="3D00B9D9"/>
    <w:multiLevelType w:val="hybridMultilevel"/>
    <w:lvl w:ilvl="0">
      <w:lvlJc w:val="left"/>
      <w:lvlText w:val="."/>
      <w:numFmt w:val="bullet"/>
      <w:start w:val="1"/>
    </w:lvl>
  </w:abstractNum>
  <w:abstractNum w:abstractNumId="86">
    <w:nsid w:val="15BCABA8"/>
    <w:multiLevelType w:val="hybridMultilevel"/>
    <w:lvl w:ilvl="0">
      <w:lvlJc w:val="left"/>
      <w:lvlText w:val="(%1)"/>
      <w:numFmt w:val="lowerLetter"/>
      <w:start w:val="1"/>
    </w:lvl>
  </w:abstractNum>
  <w:abstractNum w:abstractNumId="87">
    <w:nsid w:val="4E0B9A87"/>
    <w:multiLevelType w:val="hybridMultilevel"/>
    <w:lvl w:ilvl="0">
      <w:lvlJc w:val="left"/>
      <w:lvlText w:val="[***]"/>
      <w:numFmt w:val="bullet"/>
      <w:start w:val="1"/>
    </w:lvl>
  </w:abstractNum>
  <w:abstractNum w:abstractNumId="88">
    <w:nsid w:val="434BAE75"/>
    <w:multiLevelType w:val="hybridMultilevel"/>
    <w:lvl w:ilvl="0">
      <w:lvlJc w:val="left"/>
      <w:lvlText w:val="(%1)"/>
      <w:numFmt w:val="lowerLetter"/>
      <w:start w:val="2"/>
    </w:lvl>
  </w:abstractNum>
  <w:abstractNum w:abstractNumId="89">
    <w:nsid w:val="4F38F265"/>
    <w:multiLevelType w:val="hybridMultilevel"/>
    <w:lvl w:ilvl="0">
      <w:lvlJc w:val="left"/>
      <w:lvlText w:val="."/>
      <w:numFmt w:val="bullet"/>
      <w:start w:val="1"/>
    </w:lvl>
  </w:abstractNum>
  <w:abstractNum w:abstractNumId="90">
    <w:nsid w:val="4C502870"/>
    <w:multiLevelType w:val="hybridMultilevel"/>
    <w:lvl w:ilvl="0">
      <w:lvlJc w:val="left"/>
      <w:lvlText w:val="[***]"/>
      <w:numFmt w:val="bullet"/>
      <w:start w:val="1"/>
    </w:lvl>
  </w:abstractNum>
  <w:abstractNum w:abstractNumId="91">
    <w:nsid w:val="1DE8725A"/>
    <w:multiLevelType w:val="hybridMultilevel"/>
    <w:lvl w:ilvl="0">
      <w:lvlJc w:val="left"/>
      <w:lvlText w:val="."/>
      <w:numFmt w:val="bullet"/>
      <w:start w:val="1"/>
    </w:lvl>
  </w:abstractNum>
  <w:abstractNum w:abstractNumId="92">
    <w:nsid w:val="6A37288A"/>
    <w:multiLevelType w:val="hybridMultilevel"/>
    <w:lvl w:ilvl="0">
      <w:lvlJc w:val="left"/>
      <w:lvlText w:val="."/>
      <w:numFmt w:val="bullet"/>
      <w:start w:val="1"/>
    </w:lvl>
  </w:abstractNum>
  <w:abstractNum w:abstractNumId="93">
    <w:nsid w:val="8F8B73F"/>
    <w:multiLevelType w:val="hybridMultilevel"/>
    <w:lvl w:ilvl="0">
      <w:lvlJc w:val="left"/>
      <w:lvlText w:val="[***]"/>
      <w:numFmt w:val="bullet"/>
      <w:start w:val="1"/>
    </w:lvl>
  </w:abstractNum>
  <w:abstractNum w:abstractNumId="94">
    <w:nsid w:val="CA6B462"/>
    <w:multiLevelType w:val="hybridMultilevel"/>
    <w:lvl w:ilvl="0">
      <w:lvlJc w:val="left"/>
      <w:lvlText w:val="."/>
      <w:numFmt w:val="bullet"/>
      <w:start w:val="1"/>
    </w:lvl>
  </w:abstractNum>
  <w:abstractNum w:abstractNumId="95">
    <w:nsid w:val="763CB680"/>
    <w:multiLevelType w:val="hybridMultilevel"/>
    <w:lvl w:ilvl="0">
      <w:lvlJc w:val="left"/>
      <w:lvlText w:val="."/>
      <w:numFmt w:val="bullet"/>
      <w:start w:val="1"/>
    </w:lvl>
  </w:abstractNum>
  <w:abstractNum w:abstractNumId="96">
    <w:nsid w:val="15B71329"/>
    <w:multiLevelType w:val="hybridMultilevel"/>
    <w:lvl w:ilvl="0">
      <w:lvlJc w:val="left"/>
      <w:lvlText w:val="."/>
      <w:numFmt w:val="bullet"/>
      <w:start w:val="1"/>
    </w:lvl>
  </w:abstractNum>
  <w:abstractNum w:abstractNumId="97">
    <w:nsid w:val="3DA97044"/>
    <w:multiLevelType w:val="hybridMultilevel"/>
    <w:lvl w:ilvl="0">
      <w:lvlJc w:val="left"/>
      <w:lvlText w:val="[***]"/>
      <w:numFmt w:val="bullet"/>
      <w:start w:val="1"/>
    </w:lvl>
  </w:abstractNum>
  <w:abstractNum w:abstractNumId="98">
    <w:nsid w:val="1CDCE2DE"/>
    <w:multiLevelType w:val="hybridMultilevel"/>
    <w:lvl w:ilvl="0">
      <w:lvlJc w:val="left"/>
      <w:lvlText w:val="."/>
      <w:numFmt w:val="bullet"/>
      <w:start w:val="1"/>
    </w:lvl>
  </w:abstractNum>
  <w:abstractNum w:abstractNumId="99">
    <w:nsid w:val="69D3947C"/>
    <w:multiLevelType w:val="hybridMultilevel"/>
    <w:lvl w:ilvl="0">
      <w:lvlJc w:val="left"/>
      <w:lvlText w:val="[***]"/>
      <w:numFmt w:val="bullet"/>
      <w:start w:val="1"/>
    </w:lvl>
  </w:abstractNum>
  <w:abstractNum w:abstractNumId="100">
    <w:nsid w:val="2539DFA5"/>
    <w:multiLevelType w:val="hybridMultilevel"/>
    <w:lvl w:ilvl="0">
      <w:lvlJc w:val="left"/>
      <w:lvlText w:val="."/>
      <w:numFmt w:val="bullet"/>
      <w:start w:val="1"/>
    </w:lvl>
  </w:abstractNum>
  <w:abstractNum w:abstractNumId="101">
    <w:nsid w:val="2DB88089"/>
    <w:multiLevelType w:val="hybridMultilevel"/>
    <w:lvl w:ilvl="0">
      <w:lvlJc w:val="left"/>
      <w:lvlText w:val="(%1)"/>
      <w:numFmt w:val="lowerLetter"/>
      <w:start w:val="1"/>
    </w:lvl>
  </w:abstractNum>
  <w:abstractNum w:abstractNumId="102">
    <w:nsid w:val="706B674E"/>
    <w:multiLevelType w:val="hybridMultilevel"/>
    <w:lvl w:ilvl="0">
      <w:lvlJc w:val="left"/>
      <w:lvlText w:val="[***]"/>
      <w:numFmt w:val="bullet"/>
      <w:start w:val="1"/>
    </w:lvl>
  </w:abstractNum>
  <w:abstractNum w:abstractNumId="103">
    <w:nsid w:val="2C106A57"/>
    <w:multiLevelType w:val="hybridMultilevel"/>
    <w:lvl w:ilvl="0">
      <w:lvlJc w:val="left"/>
      <w:lvlText w:val="(%1)"/>
      <w:numFmt w:val="lowerLetter"/>
      <w:start w:val="3"/>
    </w:lvl>
  </w:abstractNum>
  <w:abstractNum w:abstractNumId="104">
    <w:nsid w:val="684EED59"/>
    <w:multiLevelType w:val="hybridMultilevel"/>
    <w:lvl w:ilvl="0">
      <w:lvlJc w:val="left"/>
      <w:lvlText w:val="[***]"/>
      <w:numFmt w:val="bullet"/>
      <w:start w:val="1"/>
    </w:lvl>
  </w:abstractNum>
  <w:abstractNum w:abstractNumId="105">
    <w:nsid w:val="545EE5D3"/>
    <w:multiLevelType w:val="hybridMultilevel"/>
    <w:lvl w:ilvl="0">
      <w:lvlJc w:val="left"/>
      <w:lvlText w:val="(%1)"/>
      <w:numFmt w:val="lowerLetter"/>
      <w:start w:val="1"/>
    </w:lvl>
  </w:abstractNum>
  <w:abstractNum w:abstractNumId="106">
    <w:nsid w:val="4A66051"/>
    <w:multiLevelType w:val="hybridMultilevel"/>
    <w:lvl w:ilvl="0">
      <w:lvlJc w:val="left"/>
      <w:lvlText w:val="(%1)"/>
      <w:numFmt w:val="lowerLetter"/>
      <w:start w:val="1"/>
    </w:lvl>
  </w:abstractNum>
  <w:abstractNum w:abstractNumId="107">
    <w:nsid w:val="20F4BDAD"/>
    <w:multiLevelType w:val="hybridMultilevel"/>
    <w:lvl w:ilvl="0">
      <w:lvlJc w:val="left"/>
      <w:lvlText w:val="[***]"/>
      <w:numFmt w:val="bullet"/>
      <w:start w:val="1"/>
    </w:lvl>
  </w:abstractNum>
  <w:abstractNum w:abstractNumId="108">
    <w:nsid w:val="639DEFAC"/>
    <w:multiLevelType w:val="hybridMultilevel"/>
    <w:lvl w:ilvl="0">
      <w:lvlJc w:val="left"/>
      <w:lvlText w:val="(%1)"/>
      <w:numFmt w:val="lowerLetter"/>
      <w:start w:val="1"/>
    </w:lvl>
  </w:abstractNum>
  <w:abstractNum w:abstractNumId="109">
    <w:nsid w:val="501F9786"/>
    <w:multiLevelType w:val="hybridMultilevel"/>
    <w:lvl w:ilvl="0">
      <w:lvlJc w:val="left"/>
      <w:lvlText w:val="[***]"/>
      <w:numFmt w:val="bullet"/>
      <w:start w:val="1"/>
    </w:lvl>
  </w:abstractNum>
  <w:abstractNum w:abstractNumId="110">
    <w:nsid w:val="6B057295"/>
    <w:multiLevelType w:val="hybridMultilevel"/>
    <w:lvl w:ilvl="0">
      <w:lvlJc w:val="left"/>
      <w:lvlText w:val="(%1)"/>
      <w:numFmt w:val="lowerLetter"/>
      <w:start w:val="2"/>
    </w:lvl>
  </w:abstractNum>
  <w:abstractNum w:abstractNumId="111">
    <w:nsid w:val="2771AC80"/>
    <w:multiLevelType w:val="hybridMultilevel"/>
    <w:lvl w:ilvl="0">
      <w:lvlJc w:val="left"/>
      <w:lvlText w:val="(%1)"/>
      <w:numFmt w:val="lowerLetter"/>
      <w:start w:val="1"/>
    </w:lvl>
    <w:lvl w:ilvl="1">
      <w:lvlJc w:val="left"/>
      <w:lvlText w:val="(%2)"/>
      <w:numFmt w:val="lowerLetter"/>
      <w:start w:val="9"/>
    </w:lvl>
  </w:abstractNum>
  <w:abstractNum w:abstractNumId="112">
    <w:nsid w:val="1C4A08EC"/>
    <w:multiLevelType w:val="hybridMultilevel"/>
    <w:lvl w:ilvl="0">
      <w:lvlJc w:val="left"/>
      <w:lvlText w:val="[***]"/>
      <w:numFmt w:val="bullet"/>
      <w:start w:val="1"/>
    </w:lvl>
  </w:abstractNum>
  <w:abstractNum w:abstractNumId="113">
    <w:nsid w:val="1958BD17"/>
    <w:multiLevelType w:val="hybridMultilevel"/>
    <w:lvl w:ilvl="0">
      <w:lvlJc w:val="left"/>
      <w:lvlText w:val="%1"/>
      <w:numFmt w:val="lowerLetter"/>
      <w:start w:val="1"/>
    </w:lvl>
    <w:lvl w:ilvl="1">
      <w:lvlJc w:val="left"/>
      <w:lvlText w:val="(%2)"/>
      <w:numFmt w:val="lowerRoman"/>
      <w:start w:val="2"/>
    </w:lvl>
  </w:abstractNum>
  <w:abstractNum w:abstractNumId="114">
    <w:nsid w:val="4E647FE4"/>
    <w:multiLevelType w:val="hybridMultilevel"/>
    <w:lvl w:ilvl="0">
      <w:lvlJc w:val="left"/>
      <w:lvlText w:val="(%1)"/>
      <w:numFmt w:val="lowerLetter"/>
      <w:start w:val="2"/>
    </w:lvl>
    <w:lvl w:ilvl="1">
      <w:lvlJc w:val="left"/>
      <w:lvlText w:val="%2"/>
      <w:numFmt w:val="lowerRoman"/>
      <w:start w:val="1"/>
    </w:lvl>
  </w:abstractNum>
  <w:abstractNum w:abstractNumId="115">
    <w:nsid w:val="E0BB885"/>
    <w:multiLevelType w:val="hybridMultilevel"/>
    <w:lvl w:ilvl="0">
      <w:lvlJc w:val="left"/>
      <w:lvlText w:val="."/>
      <w:numFmt w:val="bullet"/>
      <w:start w:val="1"/>
    </w:lvl>
  </w:abstractNum>
  <w:abstractNum w:abstractNumId="116">
    <w:nsid w:val="565976F1"/>
    <w:multiLevelType w:val="hybridMultilevel"/>
    <w:lvl w:ilvl="0">
      <w:lvlJc w:val="left"/>
      <w:lvlText w:val="[***]"/>
      <w:numFmt w:val="bullet"/>
      <w:start w:val="1"/>
    </w:lvl>
  </w:abstractNum>
  <w:abstractNum w:abstractNumId="117">
    <w:nsid w:val="64212B8C"/>
    <w:multiLevelType w:val="hybridMultilevel"/>
    <w:lvl w:ilvl="0">
      <w:lvlJc w:val="left"/>
      <w:lvlText w:val="(%1)"/>
      <w:numFmt w:val="lowerLetter"/>
      <w:start w:val="1"/>
    </w:lvl>
  </w:abstractNum>
  <w:abstractNum w:abstractNumId="118">
    <w:nsid w:val="5C17530C"/>
    <w:multiLevelType w:val="hybridMultilevel"/>
    <w:lvl w:ilvl="0">
      <w:lvlJc w:val="left"/>
      <w:lvlText w:val="[***]"/>
      <w:numFmt w:val="bullet"/>
      <w:start w:val="1"/>
    </w:lvl>
  </w:abstractNum>
  <w:abstractNum w:abstractNumId="119">
    <w:nsid w:val="19A52566"/>
    <w:multiLevelType w:val="hybridMultilevel"/>
    <w:lvl w:ilvl="0">
      <w:lvlJc w:val="left"/>
      <w:lvlText w:val="(%1)"/>
      <w:numFmt w:val="lowerLetter"/>
      <w:start w:val="3"/>
    </w:lvl>
  </w:abstractNum>
  <w:abstractNum w:abstractNumId="120">
    <w:nsid w:val="335A1DF1"/>
    <w:multiLevelType w:val="hybridMultilevel"/>
    <w:lvl w:ilvl="0">
      <w:lvlJc w:val="left"/>
      <w:lvlText w:val="[***]"/>
      <w:numFmt w:val="bullet"/>
      <w:start w:val="1"/>
    </w:lvl>
    <w:lvl w:ilvl="1">
      <w:lvlJc w:val="left"/>
      <w:lvlText w:val="(%2)"/>
      <w:numFmt w:val="lowerLetter"/>
      <w:start w:val="5"/>
    </w:lvl>
  </w:abstractNum>
  <w:abstractNum w:abstractNumId="121">
    <w:nsid w:val="28677B7C"/>
    <w:multiLevelType w:val="hybridMultilevel"/>
    <w:lvl w:ilvl="0">
      <w:lvlJc w:val="left"/>
      <w:lvlText w:val="(%1)"/>
      <w:numFmt w:val="lowerLetter"/>
      <w:start w:val="1"/>
    </w:lvl>
  </w:abstractNum>
  <w:abstractNum w:abstractNumId="122">
    <w:nsid w:val="378D97C0"/>
    <w:multiLevelType w:val="hybridMultilevel"/>
    <w:lvl w:ilvl="0">
      <w:lvlJc w:val="left"/>
      <w:lvlText w:val="[***]"/>
      <w:numFmt w:val="bullet"/>
      <w:start w:val="1"/>
    </w:lvl>
  </w:abstractNum>
  <w:abstractNum w:abstractNumId="123">
    <w:nsid w:val="1D91467C"/>
    <w:multiLevelType w:val="hybridMultilevel"/>
    <w:lvl w:ilvl="0">
      <w:lvlJc w:val="left"/>
      <w:lvlText w:val="(%1)"/>
      <w:numFmt w:val="lowerLetter"/>
      <w:start w:val="3"/>
    </w:lvl>
  </w:abstractNum>
  <w:abstractNum w:abstractNumId="124">
    <w:nsid w:val="316032BB"/>
    <w:multiLevelType w:val="hybridMultilevel"/>
    <w:lvl w:ilvl="0">
      <w:lvlJc w:val="left"/>
      <w:lvlText w:val="[***]"/>
      <w:numFmt w:val="bullet"/>
      <w:start w:val="1"/>
    </w:lvl>
  </w:abstractNum>
  <w:abstractNum w:abstractNumId="125">
    <w:nsid w:val="44344C22"/>
    <w:multiLevelType w:val="hybridMultilevel"/>
    <w:lvl w:ilvl="0">
      <w:lvlJc w:val="left"/>
      <w:lvlText w:val="(%1)"/>
      <w:numFmt w:val="lowerLetter"/>
      <w:start w:val="6"/>
    </w:lvl>
  </w:abstractNum>
  <w:abstractNum w:abstractNumId="126">
    <w:nsid w:val="13CDFCFC"/>
    <w:multiLevelType w:val="hybridMultilevel"/>
    <w:lvl w:ilvl="0">
      <w:lvlJc w:val="left"/>
      <w:lvlText w:val="(%1)"/>
      <w:numFmt w:val="lowerLetter"/>
      <w:start w:val="1"/>
    </w:lvl>
  </w:abstractNum>
  <w:abstractNum w:abstractNumId="127">
    <w:nsid w:val="471745E4"/>
    <w:multiLevelType w:val="hybridMultilevel"/>
    <w:lvl w:ilvl="0">
      <w:lvlJc w:val="left"/>
      <w:lvlText w:val="[***]"/>
      <w:numFmt w:val="bullet"/>
      <w:start w:val="1"/>
    </w:lvl>
  </w:abstractNum>
  <w:abstractNum w:abstractNumId="128">
    <w:nsid w:val="1DDBC66"/>
    <w:multiLevelType w:val="hybridMultilevel"/>
    <w:lvl w:ilvl="0">
      <w:lvlJc w:val="left"/>
      <w:lvlText w:val="."/>
      <w:numFmt w:val="bullet"/>
      <w:start w:val="1"/>
    </w:lvl>
  </w:abstractNum>
  <w:abstractNum w:abstractNumId="129">
    <w:nsid w:val="30AADFDA"/>
    <w:multiLevelType w:val="hybridMultilevel"/>
    <w:lvl w:ilvl="0">
      <w:lvlJc w:val="left"/>
      <w:lvlText w:val="."/>
      <w:numFmt w:val="bullet"/>
      <w:start w:val="1"/>
    </w:lvl>
  </w:abstractNum>
  <w:abstractNum w:abstractNumId="130">
    <w:nsid w:val="30EADA61"/>
    <w:multiLevelType w:val="hybridMultilevel"/>
    <w:lvl w:ilvl="0">
      <w:lvlJc w:val="left"/>
      <w:lvlText w:val="."/>
      <w:numFmt w:val="bullet"/>
      <w:start w:val="1"/>
    </w:lvl>
    <w:lvl w:ilvl="1">
      <w:lvlJc w:val="left"/>
      <w:lvlText w:val="(%2)"/>
      <w:numFmt w:val="lowerLetter"/>
      <w:start w:val="1"/>
    </w:lvl>
  </w:abstractNum>
  <w:abstractNum w:abstractNumId="131">
    <w:nsid w:val="27179C0B"/>
    <w:multiLevelType w:val="hybridMultilevel"/>
    <w:lvl w:ilvl="0">
      <w:lvlJc w:val="left"/>
      <w:lvlText w:val="[***]"/>
      <w:numFmt w:val="bullet"/>
      <w:start w:val="1"/>
    </w:lvl>
    <w:lvl w:ilvl="1">
      <w:lvlJc w:val="left"/>
      <w:lvlText w:val="(%2)"/>
      <w:numFmt w:val="lowerLetter"/>
      <w:start w:val="2"/>
    </w:lvl>
  </w:abstractNum>
  <w:abstractNum w:abstractNumId="132">
    <w:nsid w:val="5E636063"/>
    <w:multiLevelType w:val="hybridMultilevel"/>
    <w:lvl w:ilvl="0">
      <w:lvlJc w:val="left"/>
      <w:lvlText w:val="."/>
      <w:numFmt w:val="bullet"/>
      <w:start w:val="1"/>
    </w:lvl>
    <w:lvl w:ilvl="1">
      <w:lvlJc w:val="left"/>
      <w:lvlText w:val="(%2)"/>
      <w:numFmt w:val="lowerLetter"/>
      <w:start w:val="1"/>
    </w:lvl>
  </w:abstractNum>
  <w:abstractNum w:abstractNumId="133">
    <w:nsid w:val="215641AF"/>
    <w:multiLevelType w:val="hybridMultilevel"/>
    <w:lvl w:ilvl="0">
      <w:lvlJc w:val="left"/>
      <w:lvlText w:val="[***]"/>
      <w:numFmt w:val="bullet"/>
      <w:start w:val="1"/>
    </w:lvl>
  </w:abstractNum>
  <w:abstractNum w:abstractNumId="134">
    <w:nsid w:val="53280662"/>
    <w:multiLevelType w:val="hybridMultilevel"/>
    <w:lvl w:ilvl="0">
      <w:lvlJc w:val="left"/>
      <w:lvlText w:val="."/>
      <w:numFmt w:val="bullet"/>
      <w:start w:val="1"/>
    </w:lvl>
  </w:abstractNum>
  <w:abstractNum w:abstractNumId="135">
    <w:nsid w:val="46B24DBC"/>
    <w:multiLevelType w:val="hybridMultilevel"/>
    <w:lvl w:ilvl="0">
      <w:lvlJc w:val="left"/>
      <w:lvlText w:val="."/>
      <w:numFmt w:val="bullet"/>
      <w:start w:val="1"/>
    </w:lvl>
  </w:abstractNum>
  <w:abstractNum w:abstractNumId="136">
    <w:nsid w:val="75B52783"/>
    <w:multiLevelType w:val="hybridMultilevel"/>
    <w:lvl w:ilvl="0">
      <w:lvlJc w:val="left"/>
      <w:lvlText w:val="[***]"/>
      <w:numFmt w:val="bullet"/>
      <w:start w:val="1"/>
    </w:lvl>
  </w:abstractNum>
  <w:abstractNum w:abstractNumId="137">
    <w:nsid w:val="57CE66B4"/>
    <w:multiLevelType w:val="hybridMultilevel"/>
    <w:lvl w:ilvl="0">
      <w:lvlJc w:val="left"/>
      <w:lvlText w:val="."/>
      <w:numFmt w:val="bullet"/>
      <w:start w:val="1"/>
    </w:lvl>
  </w:abstractNum>
  <w:abstractNum w:abstractNumId="138">
    <w:nsid w:val="67A70B69"/>
    <w:multiLevelType w:val="hybridMultilevel"/>
    <w:lvl w:ilvl="0">
      <w:lvlJc w:val="left"/>
      <w:lvlText w:val="."/>
      <w:numFmt w:val="bullet"/>
      <w:start w:val="1"/>
    </w:lvl>
  </w:abstractNum>
  <w:abstractNum w:abstractNumId="139">
    <w:nsid w:val="5953172F"/>
    <w:multiLevelType w:val="hybridMultilevel"/>
    <w:lvl w:ilvl="0">
      <w:lvlJc w:val="left"/>
      <w:lvlText w:val="[***]"/>
      <w:numFmt w:val="bullet"/>
      <w:start w:val="1"/>
    </w:lvl>
  </w:abstractNum>
  <w:abstractNum w:abstractNumId="140">
    <w:nsid w:val="27EDFE3A"/>
    <w:multiLevelType w:val="hybridMultilevel"/>
    <w:lvl w:ilvl="0">
      <w:lvlJc w:val="left"/>
      <w:lvlText w:val="."/>
      <w:numFmt w:val="bullet"/>
      <w:start w:val="1"/>
    </w:lvl>
  </w:abstractNum>
  <w:abstractNum w:abstractNumId="141">
    <w:nsid w:val="52AC7DFF"/>
    <w:multiLevelType w:val="hybridMultilevel"/>
    <w:lvl w:ilvl="0">
      <w:lvlJc w:val="left"/>
      <w:lvlText w:val="."/>
      <w:numFmt w:val="bullet"/>
      <w:start w:val="1"/>
    </w:lvl>
    <w:lvl w:ilvl="1">
      <w:lvlJc w:val="left"/>
      <w:lvlText w:val="(%2)"/>
      <w:numFmt w:val="lowerLetter"/>
      <w:start w:val="1"/>
    </w:lvl>
  </w:abstractNum>
  <w:abstractNum w:abstractNumId="142">
    <w:nsid w:val="C4C3AF"/>
    <w:multiLevelType w:val="hybridMultilevel"/>
    <w:lvl w:ilvl="0">
      <w:lvlJc w:val="left"/>
      <w:lvlText w:val="[***]"/>
      <w:numFmt w:val="bullet"/>
      <w:start w:val="1"/>
    </w:lvl>
    <w:lvl w:ilvl="1">
      <w:lvlJc w:val="left"/>
      <w:lvlText w:val="(%2)"/>
      <w:numFmt w:val="lowerLetter"/>
      <w:start w:val="7"/>
    </w:lvl>
  </w:abstractNum>
  <w:abstractNum w:abstractNumId="143">
    <w:nsid w:val="44380727"/>
    <w:multiLevelType w:val="hybridMultilevel"/>
    <w:lvl w:ilvl="0">
      <w:lvlJc w:val="left"/>
      <w:lvlText w:val="."/>
      <w:numFmt w:val="bullet"/>
      <w:start w:val="1"/>
    </w:lvl>
    <w:lvl w:ilvl="1">
      <w:lvlJc w:val="left"/>
      <w:lvlText w:val="(%2)"/>
      <w:numFmt w:val="lowerLetter"/>
      <w:start w:val="1"/>
    </w:lvl>
  </w:abstractNum>
  <w:abstractNum w:abstractNumId="144">
    <w:nsid w:val="6C053B16"/>
    <w:multiLevelType w:val="hybridMultilevel"/>
    <w:lvl w:ilvl="0">
      <w:lvlJc w:val="left"/>
      <w:lvlText w:val="[***]"/>
      <w:numFmt w:val="bullet"/>
      <w:start w:val="1"/>
    </w:lvl>
    <w:lvl w:ilvl="1">
      <w:lvlJc w:val="left"/>
      <w:lvlText w:val="(%2)"/>
      <w:numFmt w:val="lowerLetter"/>
      <w:start w:val="5"/>
    </w:lvl>
  </w:abstractNum>
  <w:abstractNum w:abstractNumId="145">
    <w:nsid w:val="4F294393"/>
    <w:multiLevelType w:val="hybridMultilevel"/>
    <w:lvl w:ilvl="0">
      <w:lvlJc w:val="left"/>
      <w:lvlText w:val="[***]"/>
      <w:numFmt w:val="bullet"/>
      <w:start w:val="1"/>
    </w:lvl>
    <w:lvl w:ilvl="1">
      <w:lvlJc w:val="left"/>
      <w:lvlText w:val="(%2)"/>
      <w:numFmt w:val="lowerLetter"/>
      <w:start w:val="12"/>
    </w:lvl>
  </w:abstractNum>
  <w:abstractNum w:abstractNumId="146">
    <w:nsid w:val="5243BFAC"/>
    <w:multiLevelType w:val="hybridMultilevel"/>
    <w:lvl w:ilvl="0">
      <w:lvlJc w:val="left"/>
      <w:lvlText w:val="[***]"/>
      <w:numFmt w:val="bullet"/>
      <w:start w:val="1"/>
    </w:lvl>
  </w:abstractNum>
  <w:abstractNum w:abstractNumId="147">
    <w:nsid w:val="425EB207"/>
    <w:multiLevelType w:val="hybridMultilevel"/>
    <w:lvl w:ilvl="0">
      <w:lvlJc w:val="left"/>
      <w:lvlText w:val="(%1)"/>
      <w:numFmt w:val="lowerLetter"/>
      <w:start w:val="17"/>
    </w:lvl>
  </w:abstractNum>
  <w:abstractNum w:abstractNumId="148">
    <w:nsid w:val="334A6F1F"/>
    <w:multiLevelType w:val="hybridMultilevel"/>
    <w:lvl w:ilvl="0">
      <w:lvlJc w:val="left"/>
      <w:lvlText w:val="."/>
      <w:numFmt w:val="bullet"/>
      <w:start w:val="1"/>
    </w:lvl>
  </w:abstractNum>
  <w:abstractNum w:abstractNumId="149">
    <w:nsid w:val="2E5B12B8"/>
    <w:multiLevelType w:val="hybridMultilevel"/>
    <w:lvl w:ilvl="0">
      <w:lvlJc w:val="left"/>
      <w:lvlText w:val="(%1)"/>
      <w:numFmt w:val="lowerLetter"/>
      <w:start w:val="1"/>
    </w:lvl>
  </w:abstractNum>
  <w:abstractNum w:abstractNumId="150">
    <w:nsid w:val="5C03D76D"/>
    <w:multiLevelType w:val="hybridMultilevel"/>
    <w:lvl w:ilvl="0">
      <w:lvlJc w:val="left"/>
      <w:lvlText w:val="[***]"/>
      <w:numFmt w:val="bullet"/>
      <w:start w:val="1"/>
    </w:lvl>
  </w:abstractNum>
  <w:abstractNum w:abstractNumId="151">
    <w:nsid w:val="66A48D11"/>
    <w:multiLevelType w:val="hybridMultilevel"/>
    <w:lvl w:ilvl="0">
      <w:lvlJc w:val="left"/>
      <w:lvlText w:val="(%1)"/>
      <w:numFmt w:val="lowerLetter"/>
      <w:start w:val="4"/>
    </w:lvl>
  </w:abstractNum>
  <w:abstractNum w:abstractNumId="152">
    <w:nsid w:val="56C28E34"/>
    <w:multiLevelType w:val="hybridMultilevel"/>
    <w:lvl w:ilvl="0">
      <w:lvlJc w:val="left"/>
      <w:lvlText w:val="."/>
      <w:numFmt w:val="bullet"/>
      <w:start w:val="1"/>
    </w:lvl>
  </w:abstractNum>
  <w:abstractNum w:abstractNumId="153">
    <w:nsid w:val="13916F2D"/>
    <w:multiLevelType w:val="hybridMultilevel"/>
    <w:lvl w:ilvl="0">
      <w:lvlJc w:val="left"/>
      <w:lvlText w:val="."/>
      <w:numFmt w:val="bullet"/>
      <w:start w:val="1"/>
    </w:lvl>
  </w:abstractNum>
  <w:abstractNum w:abstractNumId="154">
    <w:nsid w:val="435D38D"/>
    <w:multiLevelType w:val="hybridMultilevel"/>
    <w:lvl w:ilvl="0">
      <w:lvlJc w:val="left"/>
      <w:lvlText w:val="[***]"/>
      <w:numFmt w:val="bullet"/>
      <w:start w:val="1"/>
    </w:lvl>
  </w:abstractNum>
  <w:abstractNum w:abstractNumId="155">
    <w:nsid w:val="822C0EF"/>
    <w:multiLevelType w:val="hybridMultilevel"/>
    <w:lvl w:ilvl="0">
      <w:lvlJc w:val="left"/>
      <w:lvlText w:val="."/>
      <w:numFmt w:val="bullet"/>
      <w:start w:val="1"/>
    </w:lvl>
  </w:abstractNum>
  <w:abstractNum w:abstractNumId="156">
    <w:nsid w:val="57C5BB4F"/>
    <w:multiLevelType w:val="hybridMultilevel"/>
    <w:lvl w:ilvl="0">
      <w:lvlJc w:val="left"/>
      <w:lvlText w:val="(%1)"/>
      <w:numFmt w:val="lowerLetter"/>
      <w:start w:val="1"/>
    </w:lvl>
  </w:abstractNum>
  <w:abstractNum w:abstractNumId="157">
    <w:nsid w:val="1803D089"/>
    <w:multiLevelType w:val="hybridMultilevel"/>
    <w:lvl w:ilvl="0">
      <w:lvlJc w:val="left"/>
      <w:lvlText w:val="[***]"/>
      <w:numFmt w:val="bullet"/>
      <w:start w:val="1"/>
    </w:lvl>
  </w:abstractNum>
  <w:abstractNum w:abstractNumId="158">
    <w:nsid w:val="4F3A06D4"/>
    <w:multiLevelType w:val="hybridMultilevel"/>
    <w:lvl w:ilvl="0">
      <w:lvlJc w:val="left"/>
      <w:lvlText w:val="(%1)"/>
      <w:numFmt w:val="lowerLetter"/>
      <w:start w:val="2"/>
    </w:lvl>
  </w:abstractNum>
  <w:abstractNum w:abstractNumId="159">
    <w:nsid w:val="59A377B6"/>
    <w:multiLevelType w:val="hybridMultilevel"/>
    <w:lvl w:ilvl="0">
      <w:lvlJc w:val="left"/>
      <w:lvlText w:val="(%1)"/>
      <w:numFmt w:val="lowerLetter"/>
      <w:start w:val="1"/>
    </w:lvl>
  </w:abstractNum>
  <w:abstractNum w:abstractNumId="160">
    <w:nsid w:val="48AEB063"/>
    <w:multiLevelType w:val="hybridMultilevel"/>
    <w:lvl w:ilvl="0">
      <w:lvlJc w:val="left"/>
      <w:lvlText w:val="."/>
      <w:numFmt w:val="bullet"/>
      <w:start w:val="1"/>
    </w:lvl>
  </w:abstractNum>
  <w:abstractNum w:abstractNumId="161">
    <w:nsid w:val="24E135"/>
    <w:multiLevelType w:val="hybridMultilevel"/>
    <w:lvl w:ilvl="0">
      <w:lvlJc w:val="left"/>
      <w:lvlText w:val="[***]"/>
      <w:numFmt w:val="bullet"/>
      <w:start w:val="1"/>
    </w:lvl>
  </w:abstractNum>
  <w:abstractNum w:abstractNumId="162">
    <w:nsid w:val="BB13C1"/>
    <w:multiLevelType w:val="hybridMultilevel"/>
    <w:lvl w:ilvl="0">
      <w:lvlJc w:val="left"/>
      <w:lvlText w:val="."/>
      <w:numFmt w:val="bullet"/>
      <w:start w:val="1"/>
    </w:lvl>
  </w:abstractNum>
  <w:abstractNum w:abstractNumId="163">
    <w:nsid w:val="271210C7"/>
    <w:multiLevelType w:val="hybridMultilevel"/>
    <w:lvl w:ilvl="0">
      <w:lvlJc w:val="left"/>
      <w:lvlText w:val="."/>
      <w:numFmt w:val="bullet"/>
      <w:start w:val="1"/>
    </w:lvl>
  </w:abstractNum>
  <w:abstractNum w:abstractNumId="164">
    <w:nsid w:val="217B22E4"/>
    <w:multiLevelType w:val="hybridMultilevel"/>
    <w:lvl w:ilvl="0">
      <w:lvlJc w:val="left"/>
      <w:lvlText w:val="."/>
      <w:numFmt w:val="bullet"/>
      <w:start w:val="1"/>
    </w:lvl>
  </w:abstractNum>
  <w:abstractNum w:abstractNumId="165">
    <w:nsid w:val="53E31A24"/>
    <w:multiLevelType w:val="hybridMultilevel"/>
    <w:lvl w:ilvl="0">
      <w:lvlJc w:val="left"/>
      <w:lvlText w:val="."/>
      <w:numFmt w:val="bullet"/>
      <w:start w:val="1"/>
    </w:lvl>
  </w:abstractNum>
  <w:abstractNum w:abstractNumId="166">
    <w:nsid w:val="6DC45E83"/>
    <w:multiLevelType w:val="hybridMultilevel"/>
    <w:lvl w:ilvl="0">
      <w:lvlJc w:val="left"/>
      <w:lvlText w:val="[***]"/>
      <w:numFmt w:val="bullet"/>
      <w:start w:val="1"/>
    </w:lvl>
  </w:abstractNum>
  <w:abstractNum w:abstractNumId="167">
    <w:nsid w:val="17304A67"/>
    <w:multiLevelType w:val="hybridMultilevel"/>
    <w:lvl w:ilvl="0">
      <w:lvlJc w:val="left"/>
      <w:lvlText w:val="."/>
      <w:numFmt w:val="bullet"/>
      <w:start w:val="1"/>
    </w:lvl>
  </w:abstractNum>
  <w:abstractNum w:abstractNumId="168">
    <w:nsid w:val="2BB180D8"/>
    <w:multiLevelType w:val="hybridMultilevel"/>
    <w:lvl w:ilvl="0">
      <w:lvlJc w:val="left"/>
      <w:lvlText w:val="."/>
      <w:numFmt w:val="bullet"/>
      <w:start w:val="1"/>
    </w:lvl>
  </w:abstractNum>
  <w:abstractNum w:abstractNumId="169">
    <w:nsid w:val="556B69ED"/>
    <w:multiLevelType w:val="hybridMultilevel"/>
    <w:lvl w:ilvl="0">
      <w:lvlJc w:val="left"/>
      <w:lvlText w:val="[***]"/>
      <w:numFmt w:val="bullet"/>
      <w:start w:val="1"/>
    </w:lvl>
  </w:abstractNum>
  <w:abstractNum w:abstractNumId="170">
    <w:nsid w:val="70836196"/>
    <w:multiLevelType w:val="hybridMultilevel"/>
    <w:lvl w:ilvl="0">
      <w:lvlJc w:val="left"/>
      <w:lvlText w:val="(%1)"/>
      <w:numFmt w:val="lowerLetter"/>
      <w:start w:val="1"/>
    </w:lvl>
  </w:abstractNum>
  <w:abstractNum w:abstractNumId="171">
    <w:nsid w:val="539F7F12"/>
    <w:multiLevelType w:val="hybridMultilevel"/>
    <w:lvl w:ilvl="0">
      <w:lvlJc w:val="left"/>
      <w:lvlText w:val="."/>
      <w:numFmt w:val="bullet"/>
      <w:start w:val="1"/>
    </w:lvl>
    <w:lvl w:ilvl="1">
      <w:lvlJc w:val="left"/>
      <w:lvlText w:val="(%2)"/>
      <w:numFmt w:val="lowerLetter"/>
      <w:start w:val="1"/>
    </w:lvl>
  </w:abstractNum>
  <w:abstractNum w:abstractNumId="172">
    <w:nsid w:val="2817E7E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73">
    <w:nsid w:val="71482545"/>
    <w:multiLevelType w:val="hybridMultilevel"/>
    <w:lvl w:ilvl="0">
      <w:lvlJc w:val="left"/>
      <w:lvlText w:val="[***]"/>
      <w:numFmt w:val="bullet"/>
      <w:start w:val="1"/>
    </w:lvl>
    <w:lvl w:ilvl="1">
      <w:lvlJc w:val="left"/>
      <w:lvlText w:val="%2"/>
      <w:numFmt w:val="lowerRoman"/>
      <w:start w:val="1"/>
    </w:lvl>
    <w:lvl w:ilvl="2">
      <w:lvlJc w:val="left"/>
      <w:lvlText w:val="(%3)"/>
      <w:numFmt w:val="upperLetter"/>
      <w:start w:val="2"/>
    </w:lvl>
  </w:abstractNum>
  <w:abstractNum w:abstractNumId="174">
    <w:nsid w:val="17D78639"/>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175">
    <w:nsid w:val="141D2302"/>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176">
    <w:nsid w:val="407168D8"/>
    <w:multiLevelType w:val="hybridMultilevel"/>
    <w:lvl w:ilvl="0">
      <w:lvlJc w:val="left"/>
      <w:lvlText w:val="[***]"/>
      <w:numFmt w:val="bullet"/>
      <w:start w:val="1"/>
    </w:lvl>
  </w:abstractNum>
  <w:abstractNum w:abstractNumId="177">
    <w:nsid w:val="6A1B45E5"/>
    <w:multiLevelType w:val="hybridMultilevel"/>
    <w:lvl w:ilvl="0">
      <w:lvlJc w:val="left"/>
      <w:lvlText w:val="(%1)"/>
      <w:numFmt w:val="upperLetter"/>
      <w:start w:val="3"/>
    </w:lvl>
  </w:abstractNum>
  <w:abstractNum w:abstractNumId="178">
    <w:nsid w:val="567BD50A"/>
    <w:multiLevelType w:val="hybridMultilevel"/>
    <w:lvl w:ilvl="0">
      <w:lvlJc w:val="left"/>
      <w:lvlText w:val="[***]"/>
      <w:numFmt w:val="bullet"/>
      <w:start w:val="1"/>
    </w:lvl>
  </w:abstractNum>
  <w:abstractNum w:abstractNumId="179">
    <w:nsid w:val="73BBD7F8"/>
    <w:multiLevelType w:val="hybridMultilevel"/>
    <w:lvl w:ilvl="0">
      <w:lvlJc w:val="left"/>
      <w:lvlText w:val="(%1)"/>
      <w:numFmt w:val="upperLetter"/>
      <w:start w:val="5"/>
    </w:lvl>
    <w:lvl w:ilvl="1">
      <w:lvlJc w:val="left"/>
      <w:lvlText w:val="(%2)"/>
      <w:numFmt w:val="decimal"/>
      <w:start w:val="1"/>
    </w:lvl>
  </w:abstractNum>
  <w:abstractNum w:abstractNumId="180">
    <w:nsid w:val="1876589D"/>
    <w:multiLevelType w:val="hybridMultilevel"/>
    <w:lvl w:ilvl="0">
      <w:lvlJc w:val="left"/>
      <w:lvlText w:val="[***]"/>
      <w:numFmt w:val="bullet"/>
      <w:start w:val="1"/>
    </w:lvl>
  </w:abstractNum>
  <w:abstractNum w:abstractNumId="181">
    <w:nsid w:val="327FAC77"/>
    <w:multiLevelType w:val="hybridMultilevel"/>
    <w:lvl w:ilvl="0">
      <w:lvlJc w:val="left"/>
      <w:lvlText w:val="(%1)"/>
      <w:numFmt w:val="upperLetter"/>
      <w:start w:val="6"/>
    </w:lvl>
  </w:abstractNum>
  <w:abstractNum w:abstractNumId="182">
    <w:nsid w:val="5A606509"/>
    <w:multiLevelType w:val="hybridMultilevel"/>
    <w:lvl w:ilvl="0">
      <w:lvlJc w:val="left"/>
      <w:lvlText w:val="[***]"/>
      <w:numFmt w:val="bullet"/>
      <w:start w:val="1"/>
    </w:lvl>
  </w:abstractNum>
  <w:abstractNum w:abstractNumId="183">
    <w:nsid w:val="6F38E6D1"/>
    <w:multiLevelType w:val="hybridMultilevel"/>
    <w:lvl w:ilvl="0">
      <w:lvlJc w:val="left"/>
      <w:lvlText w:val="%1"/>
      <w:numFmt w:val="lowerLetter"/>
      <w:start w:val="1"/>
    </w:lvl>
    <w:lvl w:ilvl="1">
      <w:lvlJc w:val="left"/>
      <w:lvlText w:val="(%2)"/>
      <w:numFmt w:val="lowerRoman"/>
      <w:start w:val="5"/>
    </w:lvl>
  </w:abstractNum>
  <w:abstractNum w:abstractNumId="184">
    <w:nsid w:val="46111BA5"/>
    <w:multiLevelType w:val="hybridMultilevel"/>
    <w:lvl w:ilvl="0">
      <w:lvlJc w:val="left"/>
      <w:lvlText w:val="(%1)"/>
      <w:numFmt w:val="lowerLetter"/>
      <w:start w:val="4"/>
    </w:lvl>
    <w:lvl w:ilvl="1">
      <w:lvlJc w:val="left"/>
      <w:lvlText w:val="%2"/>
      <w:numFmt w:val="lowerRoman"/>
      <w:start w:val="1"/>
    </w:lvl>
  </w:abstractNum>
  <w:abstractNum w:abstractNumId="185">
    <w:nsid w:val="5E963896"/>
    <w:multiLevelType w:val="hybridMultilevel"/>
    <w:lvl w:ilvl="0">
      <w:lvlJc w:val="left"/>
      <w:lvlText w:val="[***]"/>
      <w:numFmt w:val="bullet"/>
      <w:start w:val="1"/>
    </w:lvl>
  </w:abstractNum>
  <w:abstractNum w:abstractNumId="186">
    <w:nsid w:val="775BA7C1"/>
    <w:multiLevelType w:val="hybridMultilevel"/>
    <w:lvl w:ilvl="0">
      <w:lvlJc w:val="left"/>
      <w:lvlText w:val="(%1)"/>
      <w:numFmt w:val="lowerLetter"/>
      <w:start w:val="5"/>
    </w:lvl>
  </w:abstractNum>
  <w:abstractNum w:abstractNumId="187">
    <w:nsid w:val="1DD6D6F4"/>
    <w:multiLevelType w:val="hybridMultilevel"/>
    <w:lvl w:ilvl="0">
      <w:lvlJc w:val="left"/>
      <w:lvlText w:val="."/>
      <w:numFmt w:val="bullet"/>
      <w:start w:val="1"/>
    </w:lvl>
  </w:abstractNum>
  <w:abstractNum w:abstractNumId="188">
    <w:nsid w:val="769A091F"/>
    <w:multiLevelType w:val="hybridMultilevel"/>
    <w:lvl w:ilvl="0">
      <w:lvlJc w:val="left"/>
      <w:lvlText w:val="."/>
      <w:numFmt w:val="bullet"/>
      <w:start w:val="1"/>
    </w:lvl>
  </w:abstractNum>
  <w:abstractNum w:abstractNumId="189">
    <w:nsid w:val="4695AE95"/>
    <w:multiLevelType w:val="hybridMultilevel"/>
    <w:lvl w:ilvl="0">
      <w:lvlJc w:val="left"/>
      <w:lvlText w:val="[***]"/>
      <w:numFmt w:val="bullet"/>
      <w:start w:val="1"/>
    </w:lvl>
  </w:abstractNum>
  <w:abstractNum w:abstractNumId="190">
    <w:nsid w:val="777A4EAA"/>
    <w:multiLevelType w:val="hybridMultilevel"/>
    <w:lvl w:ilvl="0">
      <w:lvlJc w:val="left"/>
      <w:lvlText w:val="."/>
      <w:numFmt w:val="bullet"/>
      <w:start w:val="1"/>
    </w:lvl>
    <w:lvl w:ilvl="1">
      <w:lvlJc w:val="left"/>
      <w:lvlText w:val="(%2)"/>
      <w:numFmt w:val="lowerLetter"/>
      <w:start w:val="1"/>
    </w:lvl>
  </w:abstractNum>
  <w:abstractNum w:abstractNumId="191">
    <w:nsid w:val="3F48B982"/>
    <w:multiLevelType w:val="hybridMultilevel"/>
    <w:lvl w:ilvl="0">
      <w:lvlJc w:val="left"/>
      <w:lvlText w:val="[***]"/>
      <w:numFmt w:val="bullet"/>
      <w:start w:val="1"/>
    </w:lvl>
    <w:lvl w:ilvl="1">
      <w:lvlJc w:val="left"/>
      <w:lvlText w:val="(%2)"/>
      <w:numFmt w:val="lowerLetter"/>
      <w:start w:val="4"/>
    </w:lvl>
  </w:abstractNum>
  <w:abstractNum w:abstractNumId="192">
    <w:nsid w:val="46BA8FCA"/>
    <w:multiLevelType w:val="hybridMultilevel"/>
    <w:lvl w:ilvl="0">
      <w:lvlJc w:val="left"/>
      <w:lvlText w:val="[***]"/>
      <w:numFmt w:val="bullet"/>
      <w:start w:val="1"/>
    </w:lvl>
  </w:abstractNum>
  <w:abstractNum w:abstractNumId="193">
    <w:nsid w:val="7835626C"/>
    <w:multiLevelType w:val="hybridMultilevel"/>
    <w:lvl w:ilvl="0">
      <w:lvlJc w:val="left"/>
      <w:lvlText w:val="(%1)"/>
      <w:numFmt w:val="lowerLetter"/>
      <w:start w:val="11"/>
    </w:lvl>
  </w:abstractNum>
  <w:abstractNum w:abstractNumId="194">
    <w:nsid w:val="665ACA49"/>
    <w:multiLevelType w:val="hybridMultilevel"/>
    <w:lvl w:ilvl="0">
      <w:lvlJc w:val="left"/>
      <w:lvlText w:val="."/>
      <w:numFmt w:val="bullet"/>
      <w:start w:val="1"/>
    </w:lvl>
  </w:abstractNum>
  <w:abstractNum w:abstractNumId="195">
    <w:nsid w:val="6835B2AE"/>
    <w:multiLevelType w:val="hybridMultilevel"/>
    <w:lvl w:ilvl="0">
      <w:lvlJc w:val="left"/>
      <w:lvlText w:val="."/>
      <w:numFmt w:val="bullet"/>
      <w:start w:val="1"/>
    </w:lvl>
  </w:abstractNum>
  <w:abstractNum w:abstractNumId="196">
    <w:nsid w:val="4C187C90"/>
    <w:multiLevelType w:val="hybridMultilevel"/>
    <w:lvl w:ilvl="0">
      <w:lvlJc w:val="left"/>
      <w:lvlText w:val="[***]"/>
      <w:numFmt w:val="bullet"/>
      <w:start w:val="1"/>
    </w:lvl>
  </w:abstractNum>
  <w:abstractNum w:abstractNumId="197">
    <w:nsid w:val="541F28CD"/>
    <w:multiLevelType w:val="hybridMultilevel"/>
    <w:lvl w:ilvl="0">
      <w:lvlJc w:val="left"/>
      <w:lvlText w:val="."/>
      <w:numFmt w:val="bullet"/>
      <w:start w:val="1"/>
    </w:lvl>
  </w:abstractNum>
  <w:abstractNum w:abstractNumId="198">
    <w:nsid w:val="7F65FD16"/>
    <w:multiLevelType w:val="hybridMultilevel"/>
    <w:lvl w:ilvl="0">
      <w:lvlJc w:val="left"/>
      <w:lvlText w:val="."/>
      <w:numFmt w:val="bullet"/>
      <w:start w:val="1"/>
    </w:lvl>
  </w:abstractNum>
  <w:abstractNum w:abstractNumId="199">
    <w:nsid w:val="77C9FD68"/>
    <w:multiLevelType w:val="hybridMultilevel"/>
    <w:lvl w:ilvl="0">
      <w:lvlJc w:val="left"/>
      <w:lvlText w:val="[***]"/>
      <w:numFmt w:val="bullet"/>
      <w:start w:val="1"/>
    </w:lvl>
  </w:abstractNum>
  <w:abstractNum w:abstractNumId="200">
    <w:nsid w:val="298A92BA"/>
    <w:multiLevelType w:val="hybridMultilevel"/>
    <w:lvl w:ilvl="0">
      <w:lvlJc w:val="left"/>
      <w:lvlText w:val="."/>
      <w:numFmt w:val="bullet"/>
      <w:start w:val="1"/>
    </w:lvl>
  </w:abstractNum>
  <w:abstractNum w:abstractNumId="201">
    <w:nsid w:val="6FE95EAC"/>
    <w:multiLevelType w:val="hybridMultilevel"/>
    <w:lvl w:ilvl="0">
      <w:lvlJc w:val="left"/>
      <w:lvlText w:val="."/>
      <w:numFmt w:val="bullet"/>
      <w:start w:val="1"/>
    </w:lvl>
  </w:abstractNum>
  <w:abstractNum w:abstractNumId="202">
    <w:nsid w:val="4B697C7A"/>
    <w:multiLevelType w:val="hybridMultilevel"/>
    <w:lvl w:ilvl="0">
      <w:lvlJc w:val="left"/>
      <w:lvlText w:val="."/>
      <w:numFmt w:val="bullet"/>
      <w:start w:val="1"/>
    </w:lvl>
  </w:abstractNum>
  <w:abstractNum w:abstractNumId="203">
    <w:nsid w:val="51A27AA6"/>
    <w:multiLevelType w:val="hybridMultilevel"/>
    <w:lvl w:ilvl="0">
      <w:lvlJc w:val="left"/>
      <w:lvlText w:val="(%1)"/>
      <w:numFmt w:val="lowerLetter"/>
      <w:start w:val="1"/>
    </w:lvl>
    <w:lvl w:ilvl="1">
      <w:lvlJc w:val="left"/>
      <w:lvlText w:val="(%2)"/>
      <w:numFmt w:val="lowerLetter"/>
      <w:start w:val="9"/>
    </w:lvl>
  </w:abstractNum>
  <w:abstractNum w:abstractNumId="204">
    <w:nsid w:val="613183F2"/>
    <w:multiLevelType w:val="hybridMultilevel"/>
    <w:lvl w:ilvl="0">
      <w:lvlJc w:val="left"/>
      <w:lvlText w:val="[***]"/>
      <w:numFmt w:val="bullet"/>
      <w:start w:val="1"/>
    </w:lvl>
  </w:abstractNum>
  <w:abstractNum w:abstractNumId="205">
    <w:nsid w:val="634102B4"/>
    <w:multiLevelType w:val="hybridMultilevel"/>
    <w:lvl w:ilvl="0">
      <w:lvlJc w:val="left"/>
      <w:lvlText w:val="%1"/>
      <w:numFmt w:val="lowerLetter"/>
      <w:start w:val="1"/>
    </w:lvl>
    <w:lvl w:ilvl="1">
      <w:lvlJc w:val="left"/>
      <w:lvlText w:val="(%2)"/>
      <w:numFmt w:val="lowerRoman"/>
      <w:start w:val="2"/>
    </w:lvl>
  </w:abstractNum>
  <w:abstractNum w:abstractNumId="206">
    <w:nsid w:val="65BF9DA8"/>
    <w:multiLevelType w:val="hybridMultilevel"/>
    <w:lvl w:ilvl="0">
      <w:lvlJc w:val="left"/>
      <w:lvlText w:val="(%1)"/>
      <w:numFmt w:val="lowerLetter"/>
      <w:start w:val="2"/>
    </w:lvl>
    <w:lvl w:ilvl="1">
      <w:lvlJc w:val="left"/>
      <w:lvlText w:val="%2"/>
      <w:numFmt w:val="lowerRoman"/>
      <w:start w:val="1"/>
    </w:lvl>
  </w:abstractNum>
  <w:abstractNum w:abstractNumId="207">
    <w:nsid w:val="21A2ECCA"/>
    <w:multiLevelType w:val="hybridMultilevel"/>
    <w:lvl w:ilvl="0">
      <w:lvlJc w:val="left"/>
      <w:lvlText w:val="."/>
      <w:numFmt w:val="bullet"/>
      <w:start w:val="1"/>
    </w:lvl>
  </w:abstractNum>
  <w:abstractNum w:abstractNumId="208">
    <w:nsid w:val="4D5C4899"/>
    <w:multiLevelType w:val="hybridMultilevel"/>
    <w:lvl w:ilvl="0">
      <w:lvlJc w:val="left"/>
      <w:lvlText w:val="."/>
      <w:numFmt w:val="bullet"/>
      <w:start w:val="1"/>
    </w:lvl>
  </w:abstractNum>
  <w:abstractNum w:abstractNumId="209">
    <w:nsid w:val="3C3B72B2"/>
    <w:multiLevelType w:val="hybridMultilevel"/>
    <w:lvl w:ilvl="0">
      <w:lvlJc w:val="left"/>
      <w:lvlText w:val="[***]"/>
      <w:numFmt w:val="bullet"/>
      <w:start w:val="1"/>
    </w:lvl>
  </w:abstractNum>
  <w:abstractNum w:abstractNumId="210">
    <w:nsid w:val="155EC4C2"/>
    <w:multiLevelType w:val="hybridMultilevel"/>
    <w:lvl w:ilvl="0">
      <w:lvlJc w:val="left"/>
      <w:lvlText w:val="."/>
      <w:numFmt w:val="bullet"/>
      <w:start w:val="1"/>
    </w:lvl>
  </w:abstractNum>
  <w:abstractNum w:abstractNumId="211">
    <w:nsid w:val="65D2A137"/>
    <w:multiLevelType w:val="hybridMultilevel"/>
    <w:lvl w:ilvl="0">
      <w:lvlJc w:val="left"/>
      <w:lvlText w:val="."/>
      <w:numFmt w:val="bullet"/>
      <w:start w:val="1"/>
    </w:lvl>
  </w:abstractNum>
  <w:abstractNum w:abstractNumId="212">
    <w:nsid w:val="6EBB1F2A"/>
    <w:multiLevelType w:val="hybridMultilevel"/>
    <w:lvl w:ilvl="0">
      <w:lvlJc w:val="left"/>
      <w:lvlText w:val="."/>
      <w:numFmt w:val="bullet"/>
      <w:start w:val="1"/>
    </w:lvl>
  </w:abstractNum>
  <w:abstractNum w:abstractNumId="213">
    <w:nsid w:val="6FBF29CB"/>
    <w:multiLevelType w:val="hybridMultilevel"/>
    <w:lvl w:ilvl="0">
      <w:lvlJc w:val="left"/>
      <w:lvlText w:val="."/>
      <w:numFmt w:val="bullet"/>
      <w:start w:val="1"/>
    </w:lvl>
  </w:abstractNum>
  <w:abstractNum w:abstractNumId="214">
    <w:nsid w:val="550B8808"/>
    <w:multiLevelType w:val="hybridMultilevel"/>
    <w:lvl w:ilvl="0">
      <w:lvlJc w:val="left"/>
      <w:lvlText w:val="[***]"/>
      <w:numFmt w:val="bullet"/>
      <w:start w:val="1"/>
    </w:lvl>
  </w:abstractNum>
  <w:abstractNum w:abstractNumId="215">
    <w:nsid w:val="34CC3ACF"/>
    <w:multiLevelType w:val="hybridMultilevel"/>
    <w:lvl w:ilvl="0">
      <w:lvlJc w:val="left"/>
      <w:lvlText w:val="."/>
      <w:numFmt w:val="bullet"/>
      <w:start w:val="1"/>
    </w:lvl>
  </w:abstractNum>
  <w:abstractNum w:abstractNumId="216">
    <w:nsid w:val="4E556261"/>
    <w:multiLevelType w:val="hybridMultilevel"/>
    <w:lvl w:ilvl="0">
      <w:lvlJc w:val="left"/>
      <w:lvlText w:val="."/>
      <w:numFmt w:val="bullet"/>
      <w:start w:val="1"/>
    </w:lvl>
  </w:abstractNum>
  <w:abstractNum w:abstractNumId="217">
    <w:nsid w:val="4C672FC9"/>
    <w:multiLevelType w:val="hybridMultilevel"/>
    <w:lvl w:ilvl="0">
      <w:lvlJc w:val="left"/>
      <w:lvlText w:val="."/>
      <w:numFmt w:val="bullet"/>
      <w:start w:val="1"/>
    </w:lvl>
  </w:abstractNum>
  <w:abstractNum w:abstractNumId="218">
    <w:nsid w:val="52A311C3"/>
    <w:multiLevelType w:val="hybridMultilevel"/>
    <w:lvl w:ilvl="0">
      <w:lvlJc w:val="left"/>
      <w:lvlText w:val="[***]"/>
      <w:numFmt w:val="bullet"/>
      <w:start w:val="1"/>
    </w:lvl>
  </w:abstractNum>
  <w:abstractNum w:abstractNumId="219">
    <w:nsid w:val="44EF6B80"/>
    <w:multiLevelType w:val="hybridMultilevel"/>
    <w:lvl w:ilvl="0">
      <w:lvlJc w:val="left"/>
      <w:lvlText w:val="."/>
      <w:numFmt w:val="bullet"/>
      <w:start w:val="1"/>
    </w:lvl>
  </w:abstractNum>
  <w:abstractNum w:abstractNumId="220">
    <w:nsid w:val="12FCDE5E"/>
    <w:multiLevelType w:val="hybridMultilevel"/>
    <w:lvl w:ilvl="0">
      <w:lvlJc w:val="left"/>
      <w:lvlText w:val="."/>
      <w:numFmt w:val="bullet"/>
      <w:start w:val="1"/>
    </w:lvl>
  </w:abstractNum>
  <w:abstractNum w:abstractNumId="221">
    <w:nsid w:val="4A1D606E"/>
    <w:multiLevelType w:val="hybridMultilevel"/>
    <w:lvl w:ilvl="0">
      <w:lvlJc w:val="left"/>
      <w:lvlText w:val="."/>
      <w:numFmt w:val="bullet"/>
      <w:start w:val="1"/>
    </w:lvl>
  </w:abstractNum>
  <w:abstractNum w:abstractNumId="222">
    <w:nsid w:val="4382503"/>
    <w:multiLevelType w:val="hybridMultilevel"/>
    <w:lvl w:ilvl="0">
      <w:lvlJc w:val="left"/>
      <w:lvlText w:val="."/>
      <w:numFmt w:val="bullet"/>
      <w:start w:val="1"/>
    </w:lvl>
  </w:abstractNum>
  <w:abstractNum w:abstractNumId="223">
    <w:nsid w:val="59B76E28"/>
    <w:multiLevelType w:val="hybridMultilevel"/>
    <w:lvl w:ilvl="0">
      <w:lvlJc w:val="left"/>
      <w:lvlText w:val="[***]"/>
      <w:numFmt w:val="bullet"/>
      <w:start w:val="1"/>
    </w:lvl>
  </w:abstractNum>
  <w:abstractNum w:abstractNumId="224">
    <w:nsid w:val="4252C2DA"/>
    <w:multiLevelType w:val="hybridMultilevel"/>
    <w:lvl w:ilvl="0">
      <w:lvlJc w:val="left"/>
      <w:lvlText w:val="."/>
      <w:numFmt w:val="bullet"/>
      <w:start w:val="1"/>
    </w:lvl>
  </w:abstractNum>
  <w:abstractNum w:abstractNumId="225">
    <w:nsid w:val="6A92EF4C"/>
    <w:multiLevelType w:val="hybridMultilevel"/>
    <w:lvl w:ilvl="0">
      <w:lvlJc w:val="left"/>
      <w:lvlText w:val="."/>
      <w:numFmt w:val="bullet"/>
      <w:start w:val="1"/>
    </w:lvl>
  </w:abstractNum>
  <w:abstractNum w:abstractNumId="226">
    <w:nsid w:val="41ED20D7"/>
    <w:multiLevelType w:val="hybridMultilevel"/>
    <w:lvl w:ilvl="0">
      <w:lvlJc w:val="left"/>
      <w:lvlText w:val="."/>
      <w:numFmt w:val="bullet"/>
      <w:start w:val="1"/>
    </w:lvl>
  </w:abstractNum>
  <w:abstractNum w:abstractNumId="227">
    <w:nsid w:val="E6B3F6A"/>
    <w:multiLevelType w:val="hybridMultilevel"/>
    <w:lvl w:ilvl="0">
      <w:lvlJc w:val="left"/>
      <w:lvlText w:val="%1."/>
      <w:numFmt w:val="decimal"/>
      <w:start w:val="1"/>
    </w:lvl>
  </w:abstractNum>
  <w:abstractNum w:abstractNumId="228">
    <w:nsid w:val="3EB21819"/>
    <w:multiLevelType w:val="hybridMultilevel"/>
    <w:lvl w:ilvl="0">
      <w:lvlJc w:val="left"/>
      <w:lvlText w:val="%1."/>
      <w:numFmt w:val="decimal"/>
      <w:start w:val="3"/>
    </w:lvl>
  </w:abstractNum>
  <w:abstractNum w:abstractNumId="229">
    <w:nsid w:val="41531DED"/>
    <w:multiLevelType w:val="hybridMultilevel"/>
    <w:lvl w:ilvl="0">
      <w:lvlJc w:val="left"/>
      <w:lvlText w:val="(%1)"/>
      <w:numFmt w:val="lowerLetter"/>
      <w:start w:val="1"/>
    </w:lvl>
  </w:abstractNum>
  <w:abstractNum w:abstractNumId="230">
    <w:nsid w:val="6353CD2"/>
    <w:multiLevelType w:val="hybridMultilevel"/>
    <w:lvl w:ilvl="0">
      <w:lvlJc w:val="left"/>
      <w:lvlText w:val="(%1)"/>
      <w:numFmt w:val="lowerLetter"/>
      <w:start w:val="2"/>
    </w:lvl>
  </w:abstractNum>
  <w:abstractNum w:abstractNumId="231">
    <w:nsid w:val="683CAAD3"/>
    <w:multiLevelType w:val="hybridMultilevel"/>
    <w:lvl w:ilvl="0">
      <w:lvlJc w:val="left"/>
      <w:lvlText w:val="%1."/>
      <w:numFmt w:val="decimal"/>
      <w:start w:val="4"/>
    </w:lvl>
  </w:abstractNum>
  <w:abstractNum w:abstractNumId="232">
    <w:nsid w:val="313C7C99"/>
    <w:multiLevelType w:val="hybridMultilevel"/>
    <w:lvl w:ilvl="0">
      <w:lvlJc w:val="left"/>
      <w:lvlText w:val="(%1)"/>
      <w:numFmt w:val="lowerLetter"/>
      <w:start w:val="1"/>
    </w:lvl>
  </w:abstractNum>
  <w:abstractNum w:abstractNumId="233">
    <w:nsid w:val="519EB94C"/>
    <w:multiLevelType w:val="hybridMultilevel"/>
    <w:lvl w:ilvl="0">
      <w:lvlJc w:val="left"/>
      <w:lvlText w:val="(%1)"/>
      <w:numFmt w:val="lowerLetter"/>
      <w:start w:val="2"/>
    </w:lvl>
  </w:abstractNum>
  <w:abstractNum w:abstractNumId="234">
    <w:nsid w:val="39DF2579"/>
    <w:multiLevelType w:val="hybridMultilevel"/>
    <w:lvl w:ilvl="0">
      <w:lvlJc w:val="left"/>
      <w:lvlText w:val="%1."/>
      <w:numFmt w:val="decimal"/>
      <w:start w:val="5"/>
    </w:lvl>
  </w:abstractNum>
  <w:abstractNum w:abstractNumId="235">
    <w:nsid w:val="126E008B"/>
    <w:multiLevelType w:val="hybridMultilevel"/>
    <w:lvl w:ilvl="0">
      <w:lvlJc w:val="left"/>
      <w:lvlText w:val="(%1)"/>
      <w:numFmt w:val="lowerLetter"/>
      <w:start w:val="1"/>
    </w:lvl>
  </w:abstractNum>
  <w:abstractNum w:abstractNumId="236">
    <w:nsid w:val="34DFBC00"/>
    <w:multiLevelType w:val="hybridMultilevel"/>
    <w:lvl w:ilvl="0">
      <w:lvlJc w:val="left"/>
      <w:lvlText w:val="(%1)"/>
      <w:numFmt w:val="lowerLetter"/>
      <w:start w:val="6"/>
    </w:lvl>
  </w:abstractNum>
  <w:abstractNum w:abstractNumId="237">
    <w:nsid w:val="1F9EC322"/>
    <w:multiLevelType w:val="hybridMultilevel"/>
    <w:lvl w:ilvl="0">
      <w:lvlJc w:val="left"/>
      <w:lvlText w:val="%1."/>
      <w:numFmt w:val="decimal"/>
      <w:start w:val="6"/>
    </w:lvl>
  </w:abstractNum>
  <w:abstractNum w:abstractNumId="238">
    <w:nsid w:val="3410ED56"/>
    <w:multiLevelType w:val="hybridMultilevel"/>
    <w:lvl w:ilvl="0">
      <w:lvlJc w:val="left"/>
      <w:lvlText w:val="%1."/>
      <w:numFmt w:val="decimal"/>
      <w:start w:val="7"/>
    </w:lvl>
  </w:abstractNum>
  <w:abstractNum w:abstractNumId="239">
    <w:nsid w:val="23C049A"/>
    <w:multiLevelType w:val="hybridMultilevel"/>
    <w:lvl w:ilvl="0">
      <w:lvlJc w:val="left"/>
      <w:lvlText w:val="%1."/>
      <w:numFmt w:val="decimal"/>
      <w:start w:val="8"/>
    </w:lvl>
  </w:abstractNum>
  <w:abstractNum w:abstractNumId="240">
    <w:nsid w:val="5BDA35D4"/>
    <w:multiLevelType w:val="hybridMultilevel"/>
    <w:lvl w:ilvl="0">
      <w:lvlJc w:val="left"/>
      <w:lvlText w:val="%1"/>
      <w:numFmt w:val="lowerRoman"/>
      <w:start w:val="1"/>
    </w:lvl>
    <w:lvl w:ilvl="1">
      <w:lvlJc w:val="left"/>
      <w:lvlText w:val="(%2)"/>
      <w:numFmt w:val="lowerLetter"/>
      <w:start w:val="1"/>
    </w:lvl>
  </w:abstractNum>
  <w:abstractNum w:abstractNumId="241">
    <w:nsid w:val="496FB218"/>
    <w:multiLevelType w:val="hybridMultilevel"/>
    <w:lvl w:ilvl="0">
      <w:lvlJc w:val="left"/>
      <w:lvlText w:val="(%1)"/>
      <w:numFmt w:val="lowerRoman"/>
      <w:start w:val="4"/>
    </w:lvl>
    <w:lvl w:ilvl="1">
      <w:lvlJc w:val="left"/>
      <w:lvlText w:val="%2"/>
      <w:numFmt w:val="lowerLetter"/>
      <w:start w:val="1"/>
    </w:lvl>
  </w:abstractNum>
  <w:abstractNum w:abstractNumId="242">
    <w:nsid w:val="680EA5D1"/>
    <w:multiLevelType w:val="hybridMultilevel"/>
    <w:lvl w:ilvl="0">
      <w:lvlJc w:val="left"/>
      <w:lvlText w:val="(%1)"/>
      <w:numFmt w:val="lowerLetter"/>
      <w:start w:val="2"/>
    </w:lvl>
  </w:abstractNum>
  <w:abstractNum w:abstractNumId="243">
    <w:nsid w:val="4A9554FE"/>
    <w:multiLevelType w:val="hybridMultilevel"/>
    <w:lvl w:ilvl="0">
      <w:lvlJc w:val="left"/>
      <w:lvlText w:val="%1."/>
      <w:numFmt w:val="decimal"/>
      <w:start w:val="10"/>
    </w:lvl>
  </w:abstractNum>
  <w:abstractNum w:abstractNumId="244">
    <w:nsid w:val="392EDBE4"/>
    <w:multiLevelType w:val="hybridMultilevel"/>
    <w:lvl w:ilvl="0">
      <w:lvlJc w:val="left"/>
      <w:lvlText w:val="%1."/>
      <w:numFmt w:val="decimal"/>
      <w:start w:val="12"/>
    </w:lvl>
  </w:abstractNum>
  <w:abstractNum w:abstractNumId="245">
    <w:nsid w:val="3D1A2DD9"/>
    <w:multiLevelType w:val="hybridMultilevel"/>
    <w:lvl w:ilvl="0">
      <w:lvlJc w:val="left"/>
      <w:lvlText w:val="%1."/>
      <w:numFmt w:val="decimal"/>
      <w:start w:val="13"/>
    </w:lvl>
  </w:abstractNum>
  <w:abstractNum w:abstractNumId="246">
    <w:nsid w:val="7F618FCD"/>
    <w:multiLevelType w:val="hybridMultilevel"/>
    <w:lvl w:ilvl="0">
      <w:lvlJc w:val="left"/>
      <w:lvlText w:val="%1."/>
      <w:numFmt w:val="decimal"/>
      <w:start w:val="14"/>
    </w:lvl>
  </w:abstractNum>
  <w:abstractNum w:abstractNumId="247">
    <w:nsid w:val="7843E45"/>
    <w:multiLevelType w:val="hybridMultilevel"/>
    <w:lvl w:ilvl="0">
      <w:lvlJc w:val="left"/>
      <w:lvlText w:val="%1."/>
      <w:numFmt w:val="decimal"/>
      <w:start w:val="15"/>
    </w:lvl>
  </w:abstractNum>
  <w:abstractNum w:abstractNumId="248">
    <w:nsid w:val="9815DA3"/>
    <w:multiLevelType w:val="hybridMultilevel"/>
    <w:lvl w:ilvl="0">
      <w:lvlJc w:val="left"/>
      <w:lvlText w:val="%1."/>
      <w:numFmt w:val="decimal"/>
      <w:start w:val="17"/>
    </w:lvl>
  </w:abstractNum>
  <w:abstractNum w:abstractNumId="249">
    <w:nsid w:val="5204A191"/>
    <w:multiLevelType w:val="hybridMultilevel"/>
    <w:lvl w:ilvl="0">
      <w:lvlJc w:val="left"/>
      <w:lvlText w:val="%1"/>
      <w:numFmt w:val="lowerRoman"/>
      <w:start w:val="1"/>
    </w:lvl>
    <w:lvl w:ilvl="1">
      <w:lvlJc w:val="left"/>
      <w:lvlText w:val="%2."/>
      <w:numFmt w:val="decimal"/>
      <w:start w:val="18"/>
    </w:lvl>
  </w:abstractNum>
  <w:abstractNum w:abstractNumId="250">
    <w:nsid w:val="4C73A9C6"/>
    <w:multiLevelType w:val="hybridMultilevel"/>
    <w:lvl w:ilvl="0">
      <w:lvlJc w:val="left"/>
      <w:lvlText w:val="(%1)"/>
      <w:numFmt w:val="lowerRoman"/>
      <w:start w:val="2"/>
    </w:lvl>
    <w:lvl w:ilvl="1">
      <w:lvlJc w:val="left"/>
      <w:lvlText w:val="%2"/>
      <w:numFmt w:val="decimal"/>
      <w:start w:val="1"/>
    </w:lvl>
  </w:abstractNum>
  <w:abstractNum w:abstractNumId="251">
    <w:nsid w:val="1C7E3C01"/>
    <w:multiLevelType w:val="hybridMultilevel"/>
    <w:lvl w:ilvl="0">
      <w:lvlJc w:val="left"/>
      <w:lvlText w:val="%1."/>
      <w:numFmt w:val="decimal"/>
      <w:start w:val="19"/>
    </w:lvl>
  </w:abstractNum>
  <w:abstractNum w:abstractNumId="252">
    <w:nsid w:val="1C2201FF"/>
    <w:multiLevelType w:val="hybridMultilevel"/>
    <w:lvl w:ilvl="0">
      <w:lvlJc w:val="left"/>
      <w:lvlText w:val="(%1)"/>
      <w:numFmt w:val="lowerLetter"/>
      <w:start w:val="1"/>
    </w:lvl>
  </w:abstractNum>
  <w:abstractNum w:abstractNumId="253">
    <w:nsid w:val="50ABCEC9"/>
    <w:multiLevelType w:val="hybridMultilevel"/>
    <w:lvl w:ilvl="0">
      <w:lvlJc w:val="left"/>
      <w:lvlText w:val="(%1)"/>
      <w:numFmt w:val="lowerLetter"/>
      <w:start w:val="4"/>
    </w:lvl>
  </w:abstractNum>
  <w:abstractNum w:abstractNumId="254">
    <w:nsid w:val="7635AA2A"/>
    <w:multiLevelType w:val="hybridMultilevel"/>
    <w:lvl w:ilvl="0">
      <w:lvlJc w:val="left"/>
      <w:lvlText w:val="%1."/>
      <w:numFmt w:val="decimal"/>
      <w:start w:val="21"/>
    </w:lvl>
  </w:abstractNum>
  <w:abstractNum w:abstractNumId="255">
    <w:nsid w:val="5E74C4D9"/>
    <w:multiLevelType w:val="hybridMultilevel"/>
    <w:lvl w:ilvl="0">
      <w:lvlJc w:val="left"/>
      <w:lvlText w:val="(%1)"/>
      <w:numFmt w:val="lowerLetter"/>
      <w:start w:val="1"/>
    </w:lvl>
  </w:abstractNum>
  <w:abstractNum w:abstractNumId="256">
    <w:nsid w:val="3B3EBE1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7">
    <w:nsid w:val="3822CB0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58">
    <w:nsid w:val="6CE0044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59">
    <w:nsid w:val="79F0D62F"/>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260">
    <w:nsid w:val="7975E8EE"/>
    <w:multiLevelType w:val="hybridMultilevel"/>
    <w:lvl w:ilvl="0">
      <w:lvlJc w:val="left"/>
      <w:lvlText w:val="%1."/>
      <w:numFmt w:val="decimal"/>
      <w:start w:val="22"/>
    </w:lvl>
  </w:abstractNum>
  <w:abstractNum w:abstractNumId="261">
    <w:nsid w:val="73154115"/>
    <w:multiLevelType w:val="hybridMultilevel"/>
    <w:lvl w:ilvl="0">
      <w:lvlJc w:val="left"/>
      <w:lvlText w:val="%1"/>
      <w:numFmt w:val="decimal"/>
      <w:start w:val="1"/>
    </w:lvl>
    <w:lvl w:ilvl="1">
      <w:lvlJc w:val="left"/>
      <w:lvlText w:val="(%2)"/>
      <w:numFmt w:val="lowerLetter"/>
      <w:start w:val="1"/>
    </w:lvl>
  </w:abstractNum>
  <w:abstractNum w:abstractNumId="262">
    <w:nsid w:val="622D8102"/>
    <w:multiLevelType w:val="hybridMultilevel"/>
    <w:lvl w:ilvl="0">
      <w:lvlJc w:val="left"/>
      <w:lvlText w:val="(%1)"/>
      <w:numFmt w:val="decimal"/>
      <w:start w:val="7"/>
    </w:lvl>
    <w:lvl w:ilvl="1">
      <w:lvlJc w:val="left"/>
      <w:lvlText w:val="%2"/>
      <w:numFmt w:val="lowerLetter"/>
      <w:start w:val="1"/>
    </w:lvl>
  </w:abstractNum>
  <w:abstractNum w:abstractNumId="263">
    <w:nsid w:val="2AB26587"/>
    <w:multiLevelType w:val="hybridMultilevel"/>
    <w:lvl w:ilvl="0">
      <w:lvlJc w:val="left"/>
      <w:lvlText w:val="(%1)"/>
      <w:numFmt w:val="lowerLetter"/>
      <w:start w:val="3"/>
    </w:lvl>
    <w:lvl w:ilvl="1">
      <w:lvlJc w:val="left"/>
      <w:lvlText w:val="(%2)"/>
      <w:numFmt w:val="lowerRoman"/>
      <w:start w:val="1"/>
    </w:lvl>
  </w:abstractNum>
  <w:abstractNum w:abstractNumId="264">
    <w:nsid w:val="44B3FA61"/>
    <w:multiLevelType w:val="hybridMultilevel"/>
    <w:lvl w:ilvl="0">
      <w:lvlJc w:val="left"/>
      <w:lvlText w:val="(%1)"/>
      <w:numFmt w:val="lowerLetter"/>
      <w:start w:val="5"/>
    </w:lvl>
  </w:abstractNum>
  <w:abstractNum w:abstractNumId="265">
    <w:nsid w:val="1C0CA67C"/>
    <w:multiLevelType w:val="hybridMultilevel"/>
    <w:lvl w:ilvl="0">
      <w:lvlJc w:val="left"/>
      <w:lvlText w:val="%1."/>
      <w:numFmt w:val="decimal"/>
      <w:start w:val="23"/>
    </w:lvl>
  </w:abstractNum>
  <w:abstractNum w:abstractNumId="266">
    <w:nsid w:val="3D206613"/>
    <w:multiLevelType w:val="hybridMultilevel"/>
    <w:lvl w:ilvl="0">
      <w:lvlJc w:val="left"/>
      <w:lvlText w:val="%1."/>
      <w:numFmt w:val="decimal"/>
      <w:start w:val="24"/>
    </w:lvl>
  </w:abstractNum>
  <w:abstractNum w:abstractNumId="267">
    <w:nsid w:val="7993B662"/>
    <w:multiLevelType w:val="hybridMultilevel"/>
    <w:lvl w:ilvl="0">
      <w:lvlJc w:val="left"/>
      <w:lvlText w:val="%1."/>
      <w:numFmt w:val="decimal"/>
      <w:start w:val="27"/>
    </w:lvl>
  </w:abstractNum>
  <w:abstractNum w:abstractNumId="268">
    <w:nsid w:val="3BAB699E"/>
    <w:multiLevelType w:val="hybridMultilevel"/>
    <w:lvl w:ilvl="0">
      <w:lvlJc w:val="left"/>
      <w:lvlText w:val="%1."/>
      <w:numFmt w:val="decimal"/>
      <w:start w:val="28"/>
    </w:lvl>
  </w:abstractNum>
  <w:abstractNum w:abstractNumId="269">
    <w:nsid w:val="71315369"/>
    <w:multiLevelType w:val="hybridMultilevel"/>
    <w:lvl w:ilvl="0">
      <w:lvlJc w:val="left"/>
      <w:lvlText w:val="%1."/>
      <w:numFmt w:val="decimal"/>
      <w:start w:val="29"/>
    </w:lvl>
  </w:abstractNum>
  <w:abstractNum w:abstractNumId="270">
    <w:nsid w:val="7BCFBAFC"/>
    <w:multiLevelType w:val="hybridMultilevel"/>
    <w:lvl w:ilvl="0">
      <w:lvlJc w:val="left"/>
      <w:lvlText w:val="(%1)"/>
      <w:numFmt w:val="lowerLetter"/>
      <w:start w:val="1"/>
    </w:lvl>
  </w:abstractNum>
  <w:abstractNum w:abstractNumId="271">
    <w:nsid w:val="17859F72"/>
    <w:multiLevelType w:val="hybridMultilevel"/>
    <w:lvl w:ilvl="0">
      <w:lvlJc w:val="left"/>
      <w:lvlText w:val="(%1)"/>
      <w:numFmt w:val="lowerLetter"/>
      <w:start w:val="2"/>
    </w:lvl>
  </w:abstractNum>
  <w:abstractNum w:abstractNumId="272">
    <w:nsid w:val="3AA10581"/>
    <w:multiLevelType w:val="hybridMultilevel"/>
    <w:lvl w:ilvl="0">
      <w:lvlJc w:val="left"/>
      <w:lvlText w:val="(%1)"/>
      <w:numFmt w:val="lowerLetter"/>
      <w:start w:val="3"/>
    </w:lvl>
  </w:abstractNum>
  <w:abstractNum w:abstractNumId="273">
    <w:nsid w:val="63DE60CD"/>
    <w:multiLevelType w:val="hybridMultilevel"/>
    <w:lvl w:ilvl="0">
      <w:lvlJc w:val="left"/>
      <w:lvlText w:val="%1."/>
      <w:numFmt w:val="decimal"/>
      <w:start w:val="31"/>
    </w:lvl>
  </w:abstractNum>
  <w:abstractNum w:abstractNumId="274">
    <w:nsid w:val="621AF471"/>
    <w:multiLevelType w:val="hybridMultilevel"/>
    <w:lvl w:ilvl="0">
      <w:lvlJc w:val="left"/>
      <w:lvlText w:val="%1."/>
      <w:numFmt w:val="decimal"/>
      <w:start w:val="32"/>
    </w:lvl>
  </w:abstractNum>
  <w:abstractNum w:abstractNumId="275">
    <w:nsid w:val="73CFE165"/>
    <w:multiLevelType w:val="hybridMultilevel"/>
    <w:lvl w:ilvl="0">
      <w:lvlJc w:val="left"/>
      <w:lvlText w:val="%1."/>
      <w:numFmt w:val="decimal"/>
      <w:start w:val="33"/>
    </w:lvl>
  </w:abstractNum>
  <w:abstractNum w:abstractNumId="276">
    <w:nsid w:val="20F88EA6"/>
    <w:multiLevelType w:val="hybridMultilevel"/>
    <w:lvl w:ilvl="0">
      <w:lvlJc w:val="left"/>
      <w:lvlText w:val="%1."/>
      <w:numFmt w:val="decimal"/>
      <w:start w:val="36"/>
    </w:lvl>
  </w:abstractNum>
  <w:abstractNum w:abstractNumId="277">
    <w:nsid w:val="617C843E"/>
    <w:multiLevelType w:val="hybridMultilevel"/>
    <w:lvl w:ilvl="0">
      <w:lvlJc w:val="left"/>
      <w:lvlText w:val="%1."/>
      <w:numFmt w:val="decimal"/>
      <w:start w:val="39"/>
    </w:lvl>
  </w:abstractNum>
  <w:abstractNum w:abstractNumId="278">
    <w:nsid w:val="7B541FAB"/>
    <w:multiLevelType w:val="hybridMultilevel"/>
    <w:lvl w:ilvl="0">
      <w:lvlJc w:val="left"/>
      <w:lvlText w:val="(%1)"/>
      <w:numFmt w:val="lowerLetter"/>
      <w:start w:val="1"/>
    </w:lvl>
  </w:abstractNum>
  <w:abstractNum w:abstractNumId="279">
    <w:nsid w:val="2A79EC49"/>
    <w:multiLevelType w:val="hybridMultilevel"/>
    <w:lvl w:ilvl="0">
      <w:lvlJc w:val="left"/>
      <w:lvlText w:val="(%1)"/>
      <w:numFmt w:val="lowerLetter"/>
      <w:start w:val="2"/>
    </w:lvl>
    <w:lvl w:ilvl="1">
      <w:lvlJc w:val="left"/>
      <w:lvlText w:val="(%2)"/>
      <w:numFmt w:val="lowerLetter"/>
      <w:start w:val="9"/>
    </w:lvl>
  </w:abstractNum>
  <w:abstractNum w:abstractNumId="280">
    <w:nsid w:val="338125CF"/>
    <w:multiLevelType w:val="hybridMultilevel"/>
    <w:lvl w:ilvl="0">
      <w:lvlJc w:val="left"/>
      <w:lvlText w:val="%1"/>
      <w:numFmt w:val="upperLetter"/>
      <w:start w:val="1"/>
    </w:lvl>
    <w:lvl w:ilvl="1">
      <w:lvlJc w:val="left"/>
      <w:lvlText w:val="(%2)"/>
      <w:numFmt w:val="lowerRoman"/>
      <w:start w:val="2"/>
    </w:lvl>
  </w:abstractNum>
  <w:abstractNum w:abstractNumId="281">
    <w:nsid w:val="47C7C971"/>
    <w:multiLevelType w:val="hybridMultilevel"/>
    <w:lvl w:ilvl="0">
      <w:lvlJc w:val="left"/>
      <w:lvlText w:val="(%1)"/>
      <w:numFmt w:val="upperLetter"/>
      <w:start w:val="2"/>
    </w:lvl>
    <w:lvl w:ilvl="1">
      <w:lvlJc w:val="left"/>
      <w:lvlText w:val="%2"/>
      <w:numFmt w:val="lowerRoman"/>
      <w:start w:val="1"/>
    </w:lvl>
  </w:abstractNum>
  <w:abstractNum w:abstractNumId="282">
    <w:nsid w:val="46F8284B"/>
    <w:multiLevelType w:val="hybridMultilevel"/>
    <w:lvl w:ilvl="0">
      <w:lvlJc w:val="left"/>
      <w:lvlText w:val="(%1)"/>
      <w:numFmt w:val="lowerLetter"/>
      <w:start w:val="3"/>
    </w:lvl>
    <w:lvl w:ilvl="1">
      <w:lvlJc w:val="left"/>
      <w:lvlText w:val="(%2)"/>
      <w:numFmt w:val="lowerRoman"/>
      <w:start w:val="1"/>
    </w:lvl>
  </w:abstractNum>
  <w:abstractNum w:abstractNumId="283">
    <w:nsid w:val="4FA327CE"/>
    <w:multiLevelType w:val="hybridMultilevel"/>
    <w:lvl w:ilvl="0">
      <w:lvlJc w:val="left"/>
      <w:lvlText w:val="%1"/>
      <w:numFmt w:val="lowerLetter"/>
      <w:start w:val="1"/>
    </w:lvl>
    <w:lvl w:ilvl="1">
      <w:lvlJc w:val="left"/>
      <w:lvlText w:val="(%2)"/>
      <w:numFmt w:val="lowerLetter"/>
      <w:start w:val="5"/>
    </w:lvl>
  </w:abstractNum>
  <w:abstractNum w:abstractNumId="284">
    <w:nsid w:val="1873983A"/>
    <w:multiLevelType w:val="hybridMultilevel"/>
    <w:lvl w:ilvl="0">
      <w:lvlJc w:val="left"/>
      <w:lvlText w:val="(%1)"/>
      <w:numFmt w:val="lowerLetter"/>
      <w:start w:val="9"/>
    </w:lvl>
    <w:lvl w:ilvl="1">
      <w:lvlJc w:val="left"/>
      <w:lvlText w:val="%2"/>
      <w:numFmt w:val="lowerLetter"/>
      <w:start w:val="1"/>
    </w:lvl>
  </w:abstractNum>
  <w:abstractNum w:abstractNumId="285">
    <w:nsid w:val="3D2DD275"/>
    <w:multiLevelType w:val="hybridMultilevel"/>
    <w:lvl w:ilvl="0">
      <w:lvlJc w:val="left"/>
      <w:lvlText w:val="%1."/>
      <w:numFmt w:val="decimal"/>
      <w:start w:val="40"/>
    </w:lvl>
  </w:abstractNum>
  <w:abstractNum w:abstractNumId="286">
    <w:nsid w:val="2E17ECA7"/>
    <w:multiLevelType w:val="hybridMultilevel"/>
    <w:lvl w:ilvl="0">
      <w:lvlJc w:val="left"/>
      <w:lvlText w:val="(%1)"/>
      <w:numFmt w:val="lowerLetter"/>
      <w:start w:val="1"/>
    </w:lvl>
  </w:abstractNum>
  <w:abstractNum w:abstractNumId="287">
    <w:nsid w:val="53B2564F"/>
    <w:multiLevelType w:val="hybridMultilevel"/>
    <w:lvl w:ilvl="0">
      <w:lvlJc w:val="left"/>
      <w:lvlText w:val="(%1)"/>
      <w:numFmt w:val="lowerLetter"/>
      <w:start w:val="4"/>
    </w:lvl>
  </w:abstractNum>
  <w:abstractNum w:abstractNumId="288">
    <w:nsid w:val="75509D76"/>
    <w:multiLevelType w:val="hybridMultilevel"/>
    <w:lvl w:ilvl="0">
      <w:lvlJc w:val="left"/>
      <w:lvlText w:val="(%1)"/>
      <w:numFmt w:val="lowerLetter"/>
      <w:start w:val="5"/>
    </w:lvl>
  </w:abstractNum>
  <w:abstractNum w:abstractNumId="289">
    <w:nsid w:val="1AF7F0EA"/>
    <w:multiLevelType w:val="hybridMultilevel"/>
    <w:lvl w:ilvl="0">
      <w:lvlJc w:val="left"/>
      <w:lvlText w:val="%1."/>
      <w:numFmt w:val="decimal"/>
      <w:start w:val="41"/>
    </w:lvl>
  </w:abstractNum>
  <w:abstractNum w:abstractNumId="290">
    <w:nsid w:val="4DA32C7E"/>
    <w:multiLevelType w:val="hybridMultilevel"/>
    <w:lvl w:ilvl="0">
      <w:lvlJc w:val="left"/>
      <w:lvlText w:val="(%1)"/>
      <w:numFmt w:val="lowerLetter"/>
      <w:start w:val="1"/>
    </w:lvl>
  </w:abstractNum>
  <w:abstractNum w:abstractNumId="291">
    <w:nsid w:val="6EC68664"/>
    <w:multiLevelType w:val="hybridMultilevel"/>
    <w:lvl w:ilvl="0">
      <w:lvlJc w:val="left"/>
      <w:lvlText w:val="(%1)"/>
      <w:numFmt w:val="lowerLetter"/>
      <w:start w:val="3"/>
    </w:lvl>
  </w:abstractNum>
  <w:abstractNum w:abstractNumId="292">
    <w:nsid w:val="E0D31FF"/>
    <w:multiLevelType w:val="hybridMultilevel"/>
    <w:lvl w:ilvl="0">
      <w:lvlJc w:val="left"/>
      <w:lvlText w:val="(%1)"/>
      <w:numFmt w:val="lowerLetter"/>
      <w:start w:val="11"/>
    </w:lvl>
  </w:abstractNum>
  <w:abstractNum w:abstractNumId="293">
    <w:nsid w:val="2FD0AD81"/>
    <w:multiLevelType w:val="hybridMultilevel"/>
    <w:lvl w:ilvl="0">
      <w:lvlJc w:val="left"/>
      <w:lvlText w:val="(%1)"/>
      <w:numFmt w:val="lowerLetter"/>
      <w:start w:val="17"/>
    </w:lvl>
  </w:abstractNum>
  <w:abstractNum w:abstractNumId="294">
    <w:nsid w:val="1978EBEB"/>
    <w:multiLevelType w:val="hybridMultilevel"/>
    <w:lvl w:ilvl="0">
      <w:lvlJc w:val="left"/>
      <w:lvlText w:val="(%1)"/>
      <w:numFmt w:val="lowerRoman"/>
      <w:start w:val="1"/>
    </w:lvl>
  </w:abstractNum>
  <w:abstractNum w:abstractNumId="295">
    <w:nsid w:val="52C12C61"/>
    <w:multiLevelType w:val="hybridMultilevel"/>
    <w:lvl w:ilvl="0">
      <w:lvlJc w:val="left"/>
      <w:lvlText w:val="%1"/>
      <w:numFmt w:val="lowerLetter"/>
      <w:start w:val="1"/>
    </w:lvl>
    <w:lvl w:ilvl="1">
      <w:lvlJc w:val="left"/>
      <w:lvlText w:val="(%2)"/>
      <w:numFmt w:val="lowerLetter"/>
      <w:start w:val="35"/>
    </w:lvl>
  </w:abstractNum>
  <w:abstractNum w:abstractNumId="296">
    <w:nsid w:val="4BDD53FD"/>
    <w:multiLevelType w:val="hybridMultilevel"/>
    <w:lvl w:ilvl="0">
      <w:lvlJc w:val="left"/>
      <w:lvlText w:val="(%1)"/>
      <w:numFmt w:val="lowerLetter"/>
      <w:start w:val="4"/>
    </w:lvl>
    <w:lvl w:ilvl="1">
      <w:lvlJc w:val="left"/>
      <w:lvlText w:val="(%2)"/>
      <w:numFmt w:val="lowerLetter"/>
      <w:start w:val="61"/>
    </w:lvl>
  </w:abstractNum>
  <w:abstractNum w:abstractNumId="297">
    <w:nsid w:val="569951FE"/>
    <w:multiLevelType w:val="hybridMultilevel"/>
    <w:lvl w:ilvl="0">
      <w:lvlJc w:val="left"/>
      <w:lvlText w:val="(%1)"/>
      <w:numFmt w:val="lowerLetter"/>
      <w:start w:val="21"/>
    </w:lvl>
  </w:abstractNum>
  <w:abstractNum w:abstractNumId="298">
    <w:nsid w:val="4C54E2C3"/>
    <w:multiLevelType w:val="hybridMultilevel"/>
    <w:lvl w:ilvl="0">
      <w:lvlJc w:val="left"/>
      <w:lvlText w:val="%1."/>
      <w:numFmt w:val="decimal"/>
      <w:start w:val="1"/>
    </w:lvl>
    <w:lvl w:ilvl="1">
      <w:lvlJc w:val="left"/>
      <w:lvlText w:val="(%2)"/>
      <w:numFmt w:val="lowerLetter"/>
      <w:start w:val="1"/>
    </w:lvl>
  </w:abstractNum>
  <w:abstractNum w:abstractNumId="299">
    <w:nsid w:val="788BD9B"/>
    <w:multiLevelType w:val="hybridMultilevel"/>
    <w:lvl w:ilvl="0">
      <w:lvlJc w:val="left"/>
      <w:lvlText w:val="%1."/>
      <w:numFmt w:val="decimal"/>
      <w:start w:val="3"/>
    </w:lvl>
    <w:lvl w:ilvl="1">
      <w:lvlJc w:val="left"/>
      <w:lvlText w:val="(%2)"/>
      <w:numFmt w:val="lowerLetter"/>
      <w:start w:val="1"/>
    </w:lvl>
  </w:abstractNum>
  <w:abstractNum w:abstractNumId="300">
    <w:nsid w:val="47CAA567"/>
    <w:multiLevelType w:val="hybridMultilevel"/>
    <w:lvl w:ilvl="0">
      <w:lvlJc w:val="left"/>
      <w:lvlText w:val="%1."/>
      <w:numFmt w:val="decimal"/>
      <w:start w:val="4"/>
    </w:lvl>
    <w:lvl w:ilvl="1">
      <w:lvlJc w:val="left"/>
      <w:lvlText w:val="(%2)"/>
      <w:numFmt w:val="lowerLetter"/>
      <w:start w:val="1"/>
    </w:lvl>
  </w:abstractNum>
  <w:abstractNum w:abstractNumId="301">
    <w:nsid w:val="48249DBF"/>
    <w:multiLevelType w:val="hybridMultilevel"/>
    <w:lvl w:ilvl="0">
      <w:lvlJc w:val="left"/>
      <w:lvlText w:val="(%1)"/>
      <w:numFmt w:val="lowerRoman"/>
      <w:start w:val="1"/>
    </w:lvl>
  </w:abstractNum>
  <w:abstractNum w:abstractNumId="302">
    <w:nsid w:val="1F0E5D0D"/>
    <w:multiLevelType w:val="hybridMultilevel"/>
    <w:lvl w:ilvl="0">
      <w:lvlJc w:val="left"/>
      <w:lvlText w:val="(%1)"/>
      <w:numFmt w:val="lowerLetter"/>
      <w:start w:val="2"/>
    </w:lvl>
  </w:abstractNum>
  <w:abstractNum w:abstractNumId="303">
    <w:nsid w:val="26BAAE9"/>
    <w:multiLevelType w:val="hybridMultilevel"/>
    <w:lvl w:ilvl="0">
      <w:lvlJc w:val="left"/>
      <w:lvlText w:val="(%1)"/>
      <w:numFmt w:val="lowerLetter"/>
      <w:start w:val="3"/>
    </w:lvl>
  </w:abstractNum>
  <w:abstractNum w:abstractNumId="304">
    <w:nsid w:val="2C02FE8C"/>
    <w:multiLevelType w:val="hybridMultilevel"/>
    <w:lvl w:ilvl="0">
      <w:lvlJc w:val="left"/>
      <w:lvlText w:val="(%1)"/>
      <w:numFmt w:val="lowerRoman"/>
      <w:start w:val="1"/>
    </w:lvl>
  </w:abstractNum>
  <w:abstractNum w:abstractNumId="305">
    <w:nsid w:val="129517E"/>
    <w:multiLevelType w:val="hybridMultilevel"/>
    <w:lvl w:ilvl="0">
      <w:lvlJc w:val="left"/>
      <w:lvlText w:val="(%1)"/>
      <w:numFmt w:val="lowerRoman"/>
      <w:start w:val="6"/>
    </w:lvl>
  </w:abstractNum>
  <w:abstractNum w:abstractNumId="306">
    <w:nsid w:val="763B8C4E"/>
    <w:multiLevelType w:val="hybridMultilevel"/>
    <w:lvl w:ilvl="0">
      <w:lvlJc w:val="left"/>
      <w:lvlText w:val="%1."/>
      <w:numFmt w:val="decimal"/>
      <w:start w:val="5"/>
    </w:lvl>
    <w:lvl w:ilvl="1">
      <w:lvlJc w:val="left"/>
      <w:lvlText w:val="(%2)"/>
      <w:numFmt w:val="lowerLetter"/>
      <w:start w:val="1"/>
    </w:lvl>
  </w:abstractNum>
  <w:abstractNum w:abstractNumId="307">
    <w:nsid w:val="4CFB8D32"/>
    <w:multiLevelType w:val="hybridMultilevel"/>
    <w:lvl w:ilvl="0">
      <w:lvlJc w:val="left"/>
      <w:lvlText w:val="(%1)"/>
      <w:numFmt w:val="lowerLetter"/>
      <w:start w:val="2"/>
    </w:lvl>
  </w:abstractNum>
  <w:abstractNum w:abstractNumId="308">
    <w:nsid w:val="62A5D5B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9">
    <w:nsid w:val="718FABF9"/>
    <w:multiLevelType w:val="hybridMultilevel"/>
    <w:lvl w:ilvl="0">
      <w:lvlJc w:val="left"/>
      <w:lvlText w:val="(%1)"/>
      <w:numFmt w:val="lowerRoman"/>
      <w:start w:val="2"/>
    </w:lvl>
  </w:abstractNum>
  <w:abstractNum w:abstractNumId="310">
    <w:nsid w:val="7775797C"/>
    <w:multiLevelType w:val="hybridMultilevel"/>
    <w:lvl w:ilvl="0">
      <w:lvlJc w:val="left"/>
      <w:lvlText w:val="(%1)"/>
      <w:numFmt w:val="lowerRoman"/>
      <w:start w:val="3"/>
    </w:lvl>
    <w:lvl w:ilvl="1">
      <w:lvlJc w:val="left"/>
      <w:lvlText w:val="(%2)"/>
      <w:numFmt w:val="upperLetter"/>
      <w:start w:val="1"/>
    </w:lvl>
  </w:abstractNum>
  <w:abstractNum w:abstractNumId="311">
    <w:nsid w:val="1626FB8C"/>
    <w:multiLevelType w:val="hybridMultilevel"/>
    <w:lvl w:ilvl="0">
      <w:lvlJc w:val="left"/>
      <w:lvlText w:val="%1"/>
      <w:numFmt w:val="decimal"/>
      <w:start w:val="1"/>
    </w:lvl>
    <w:lvl w:ilvl="1">
      <w:lvlJc w:val="left"/>
      <w:lvlText w:val="(%2)"/>
      <w:numFmt w:val="upperLetter"/>
      <w:start w:val="2"/>
    </w:lvl>
  </w:abstractNum>
  <w:abstractNum w:abstractNumId="312">
    <w:nsid w:val="3957756A"/>
    <w:multiLevelType w:val="hybridMultilevel"/>
    <w:lvl w:ilvl="0">
      <w:lvlJc w:val="left"/>
      <w:lvlText w:val="%1."/>
      <w:numFmt w:val="decimal"/>
      <w:start w:val="6"/>
    </w:lvl>
    <w:lvl w:ilvl="1">
      <w:lvlJc w:val="left"/>
      <w:lvlText w:val="%2"/>
      <w:numFmt w:val="upperLetter"/>
      <w:start w:val="1"/>
    </w:lvl>
  </w:abstractNum>
  <w:abstractNum w:abstractNumId="313">
    <w:nsid w:val="3E6DA1C7"/>
    <w:multiLevelType w:val="hybridMultilevel"/>
    <w:lvl w:ilvl="0">
      <w:lvlJc w:val="left"/>
      <w:lvlText w:val="%1."/>
      <w:numFmt w:val="decimal"/>
      <w:start w:val="7"/>
    </w:lvl>
    <w:lvl w:ilvl="1">
      <w:lvlJc w:val="left"/>
      <w:lvlText w:val="(%2)"/>
      <w:numFmt w:val="lowerLetter"/>
      <w:start w:val="1"/>
    </w:lvl>
  </w:abstractNum>
  <w:abstractNum w:abstractNumId="314">
    <w:nsid w:val="65CA235B"/>
    <w:multiLevelType w:val="hybridMultilevel"/>
    <w:lvl w:ilvl="0">
      <w:lvlJc w:val="left"/>
      <w:lvlText w:val="(%1)"/>
      <w:numFmt w:val="lowerLetter"/>
      <w:start w:val="2"/>
    </w:lvl>
  </w:abstractNum>
  <w:abstractNum w:abstractNumId="315">
    <w:nsid w:val="51CB0DA4"/>
    <w:multiLevelType w:val="hybridMultilevel"/>
    <w:lvl w:ilvl="0">
      <w:lvlJc w:val="left"/>
      <w:lvlText w:val="%1."/>
      <w:numFmt w:val="decimal"/>
      <w:start w:val="8"/>
    </w:lvl>
  </w:abstractNum>
  <w:abstractNum w:abstractNumId="316">
    <w:nsid w:val="7B9B743C"/>
    <w:multiLevelType w:val="hybridMultilevel"/>
    <w:lvl w:ilvl="0">
      <w:lvlJc w:val="left"/>
      <w:lvlText w:val="%1."/>
      <w:numFmt w:val="decimal"/>
      <w:start w:val="10"/>
    </w:lvl>
  </w:abstractNum>
  <w:abstractNum w:abstractNumId="317">
    <w:nsid w:val="13E21002"/>
    <w:multiLevelType w:val="hybridMultilevel"/>
    <w:lvl w:ilvl="0">
      <w:lvlJc w:val="left"/>
      <w:lvlText w:val="%1."/>
      <w:numFmt w:val="decimal"/>
      <w:start w:val="12"/>
    </w:lvl>
  </w:abstractNum>
  <w:abstractNum w:abstractNumId="318">
    <w:nsid w:val="257D63F4"/>
    <w:multiLevelType w:val="hybridMultilevel"/>
    <w:lvl w:ilvl="0">
      <w:lvlJc w:val="left"/>
      <w:lvlText w:val="%1."/>
      <w:numFmt w:val="decimal"/>
      <w:start w:val="14"/>
    </w:lvl>
  </w:abstractNum>
  <w:abstractNum w:abstractNumId="319">
    <w:nsid w:val="70EC11B2"/>
    <w:multiLevelType w:val="hybridMultilevel"/>
    <w:lvl w:ilvl="0">
      <w:lvlJc w:val="left"/>
      <w:lvlText w:val="%1."/>
      <w:numFmt w:val="decimal"/>
      <w:start w:val="1"/>
    </w:lvl>
    <w:lvl w:ilvl="1">
      <w:lvlJc w:val="left"/>
      <w:lvlText w:val="(%2)"/>
      <w:numFmt w:val="lowerLetter"/>
      <w:start w:val="1"/>
    </w:lvl>
  </w:abstractNum>
  <w:abstractNum w:abstractNumId="320">
    <w:nsid w:val="2EDA00ED"/>
    <w:multiLevelType w:val="hybridMultilevel"/>
    <w:lvl w:ilvl="0">
      <w:lvlJc w:val="left"/>
      <w:lvlText w:val="%1."/>
      <w:numFmt w:val="decimal"/>
      <w:start w:val="1"/>
    </w:lvl>
    <w:lvl w:ilvl="1">
      <w:lvlJc w:val="left"/>
      <w:lvlText w:val="(%2)"/>
      <w:numFmt w:val="lowerLetter"/>
      <w:start w:val="1"/>
    </w:lvl>
  </w:abstractNum>
  <w:abstractNum w:abstractNumId="321">
    <w:nsid w:val="73209072"/>
    <w:multiLevelType w:val="hybridMultilevel"/>
    <w:lvl w:ilvl="0">
      <w:lvlJc w:val="left"/>
      <w:lvlText w:val="(%1)"/>
      <w:numFmt w:val="lowerRoman"/>
      <w:start w:val="2"/>
    </w:lvl>
  </w:abstractNum>
  <w:abstractNum w:abstractNumId="322">
    <w:nsid w:val="5FB2981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48" Type="http://schemas.openxmlformats.org/officeDocument/2006/relationships/hyperlink" Target="http://www.sec.gov/Archives/edgar/data/0000879407/000119312521365055/d278970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2022-02-02T15:18:47Z</dcterms:created>
  <dcterms:modified xsi:type="dcterms:W3CDTF">2022-02-02T15:18:47Z</dcterms:modified>
</cp:coreProperties>
</file>