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66700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004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391795</wp:posOffset>
            </wp:positionV>
            <wp:extent cx="66700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0040" cy="6985"/>
                    </a:xfrm>
                    <a:prstGeom prst="rect">
                      <a:avLst/>
                    </a:prstGeom>
                    <a:noFill/>
                  </pic:spPr>
                </pic:pic>
              </a:graphicData>
            </a:graphic>
          </wp:anchor>
        </w:drawing>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4" w:lineRule="exact"/>
        <w:rPr>
          <w:sz w:val="24"/>
          <w:szCs w:val="24"/>
          <w:color w:val="auto"/>
        </w:rPr>
      </w:pPr>
    </w:p>
    <w:p>
      <w:pPr>
        <w:ind w:left="460" w:hanging="441"/>
        <w:spacing w:after="0"/>
        <w:tabs>
          <w:tab w:leader="none" w:pos="46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139" w:lineRule="exact"/>
        <w:rPr>
          <w:sz w:val="24"/>
          <w:szCs w:val="24"/>
          <w:color w:val="auto"/>
        </w:rPr>
      </w:pPr>
    </w:p>
    <w:p>
      <w:pPr>
        <w:ind w:left="440" w:hanging="421"/>
        <w:spacing w:after="0"/>
        <w:tabs>
          <w:tab w:leader="none" w:pos="44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4" w:lineRule="exact"/>
        <w:rPr>
          <w:sz w:val="24"/>
          <w:szCs w:val="24"/>
          <w:color w:val="auto"/>
        </w:rPr>
      </w:pPr>
    </w:p>
    <w:p>
      <w:pPr>
        <w:ind w:left="432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001-38042</w:t>
      </w:r>
    </w:p>
    <w:p>
      <w:pPr>
        <w:spacing w:after="0" w:line="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ARROWHEAD PHARMACEUTICALS, INC.</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3160" w:type="dxa"/>
            <w:vAlign w:val="bottom"/>
          </w:tcPr>
          <w:p>
            <w:pPr>
              <w:jc w:val="center"/>
              <w:ind w:left="19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20" w:type="dxa"/>
            <w:vAlign w:val="bottom"/>
          </w:tcPr>
          <w:p>
            <w:pPr>
              <w:jc w:val="right"/>
              <w:ind w:right="2220"/>
              <w:spacing w:after="0"/>
              <w:rPr>
                <w:sz w:val="20"/>
                <w:szCs w:val="20"/>
                <w:color w:val="auto"/>
              </w:rPr>
            </w:pPr>
            <w:r>
              <w:rPr>
                <w:rFonts w:ascii="Times New Roman" w:cs="Times New Roman" w:eastAsia="Times New Roman" w:hAnsi="Times New Roman"/>
                <w:sz w:val="14"/>
                <w:szCs w:val="14"/>
                <w:b w:val="1"/>
                <w:bCs w:val="1"/>
                <w:color w:val="auto"/>
              </w:rPr>
              <w:t>46-0408024</w:t>
            </w:r>
          </w:p>
        </w:tc>
      </w:tr>
      <w:tr>
        <w:trPr>
          <w:trHeight w:val="162"/>
        </w:trPr>
        <w:tc>
          <w:tcPr>
            <w:tcW w:w="400" w:type="dxa"/>
            <w:vAlign w:val="bottom"/>
          </w:tcPr>
          <w:p>
            <w:pPr>
              <w:spacing w:after="0"/>
              <w:rPr>
                <w:sz w:val="14"/>
                <w:szCs w:val="14"/>
                <w:color w:val="auto"/>
              </w:rPr>
            </w:pPr>
          </w:p>
        </w:tc>
        <w:tc>
          <w:tcPr>
            <w:tcW w:w="6880" w:type="dxa"/>
            <w:vAlign w:val="bottom"/>
            <w:gridSpan w:val="6"/>
          </w:tcPr>
          <w:p>
            <w:pPr>
              <w:jc w:val="center"/>
              <w:ind w:right="168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620" w:type="dxa"/>
            <w:vAlign w:val="bottom"/>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331"/>
        </w:trPr>
        <w:tc>
          <w:tcPr>
            <w:tcW w:w="4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177 E. Colorado Blvd, Suite 700</w:t>
            </w:r>
          </w:p>
        </w:tc>
        <w:tc>
          <w:tcPr>
            <w:tcW w:w="3620" w:type="dxa"/>
            <w:vAlign w:val="bottom"/>
          </w:tcPr>
          <w:p>
            <w:pPr>
              <w:spacing w:after="0"/>
              <w:rPr>
                <w:sz w:val="24"/>
                <w:szCs w:val="24"/>
                <w:color w:val="auto"/>
              </w:rPr>
            </w:pPr>
          </w:p>
        </w:tc>
      </w:tr>
      <w:tr>
        <w:trPr>
          <w:trHeight w:val="170"/>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Pasadena, California 91105</w:t>
            </w:r>
          </w:p>
        </w:tc>
        <w:tc>
          <w:tcPr>
            <w:tcW w:w="362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4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(626) 304-3400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149"/>
        </w:trPr>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720" w:type="dxa"/>
            <w:vAlign w:val="bottom"/>
            <w:gridSpan w:val="5"/>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rPr>
              <w:t>(Address and telephone number of principal executive offices)</w:t>
            </w:r>
          </w:p>
        </w:tc>
        <w:tc>
          <w:tcPr>
            <w:tcW w:w="3620" w:type="dxa"/>
            <w:vAlign w:val="bottom"/>
          </w:tcPr>
          <w:p>
            <w:pPr>
              <w:spacing w:after="0"/>
              <w:rPr>
                <w:sz w:val="12"/>
                <w:szCs w:val="12"/>
                <w:color w:val="auto"/>
              </w:rPr>
            </w:pPr>
          </w:p>
        </w:tc>
      </w:tr>
      <w:tr>
        <w:trPr>
          <w:trHeight w:val="206"/>
        </w:trPr>
        <w:tc>
          <w:tcPr>
            <w:tcW w:w="4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340" w:type="dxa"/>
            <w:vAlign w:val="bottom"/>
            <w:gridSpan w:val="6"/>
          </w:tcPr>
          <w:p>
            <w:pPr>
              <w:jc w:val="center"/>
              <w:ind w:right="3120"/>
              <w:spacing w:after="0"/>
              <w:rPr>
                <w:sz w:val="20"/>
                <w:szCs w:val="20"/>
                <w:color w:val="auto"/>
              </w:rPr>
            </w:pPr>
            <w:r>
              <w:rPr>
                <w:rFonts w:ascii="Times New Roman" w:cs="Times New Roman" w:eastAsia="Times New Roman" w:hAnsi="Times New Roman"/>
                <w:sz w:val="11"/>
                <w:szCs w:val="11"/>
                <w:color w:val="auto"/>
              </w:rPr>
              <w:t>Former name, former address, and former fiscal year, if changed since last report: N/A</w:t>
            </w:r>
          </w:p>
        </w:tc>
      </w:tr>
      <w:tr>
        <w:trPr>
          <w:trHeight w:val="184"/>
        </w:trPr>
        <w:tc>
          <w:tcPr>
            <w:tcW w:w="4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7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_____________________________________</w:t>
            </w:r>
          </w:p>
        </w:tc>
        <w:tc>
          <w:tcPr>
            <w:tcW w:w="3620" w:type="dxa"/>
            <w:vAlign w:val="bottom"/>
          </w:tcPr>
          <w:p>
            <w:pPr>
              <w:spacing w:after="0"/>
              <w:rPr>
                <w:sz w:val="16"/>
                <w:szCs w:val="16"/>
                <w:color w:val="auto"/>
              </w:rPr>
            </w:pPr>
          </w:p>
        </w:tc>
      </w:tr>
      <w:tr>
        <w:trPr>
          <w:trHeight w:val="215"/>
        </w:trPr>
        <w:tc>
          <w:tcPr>
            <w:tcW w:w="3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Exchange Act: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75"/>
        </w:trPr>
        <w:tc>
          <w:tcPr>
            <w:tcW w:w="400" w:type="dxa"/>
            <w:vAlign w:val="bottom"/>
          </w:tcPr>
          <w:p>
            <w:pPr>
              <w:spacing w:after="0"/>
              <w:rPr>
                <w:sz w:val="23"/>
                <w:szCs w:val="23"/>
                <w:color w:val="auto"/>
              </w:rPr>
            </w:pPr>
          </w:p>
        </w:tc>
        <w:tc>
          <w:tcPr>
            <w:tcW w:w="3160" w:type="dxa"/>
            <w:vAlign w:val="bottom"/>
            <w:tcBorders>
              <w:bottom w:val="single" w:sz="8" w:color="auto"/>
            </w:tcBorders>
          </w:tcPr>
          <w:p>
            <w:pPr>
              <w:jc w:val="center"/>
              <w:ind w:left="76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1"/>
        </w:trPr>
        <w:tc>
          <w:tcPr>
            <w:tcW w:w="400" w:type="dxa"/>
            <w:vAlign w:val="bottom"/>
          </w:tcPr>
          <w:p>
            <w:pPr>
              <w:spacing w:after="0"/>
              <w:rPr>
                <w:sz w:val="13"/>
                <w:szCs w:val="13"/>
                <w:color w:val="auto"/>
              </w:rPr>
            </w:pPr>
          </w:p>
        </w:tc>
        <w:tc>
          <w:tcPr>
            <w:tcW w:w="3160" w:type="dxa"/>
            <w:vAlign w:val="bottom"/>
          </w:tcPr>
          <w:p>
            <w:pPr>
              <w:jc w:val="center"/>
              <w:ind w:left="780"/>
              <w:spacing w:after="0"/>
              <w:rPr>
                <w:sz w:val="20"/>
                <w:szCs w:val="20"/>
                <w:color w:val="auto"/>
              </w:rPr>
            </w:pPr>
            <w:r>
              <w:rPr>
                <w:rFonts w:ascii="Times New Roman" w:cs="Times New Roman" w:eastAsia="Times New Roman" w:hAnsi="Times New Roman"/>
                <w:sz w:val="11"/>
                <w:szCs w:val="11"/>
                <w:b w:val="1"/>
                <w:bCs w:val="1"/>
                <w:color w:val="auto"/>
              </w:rPr>
              <w:t>Common Stock, par value $0.001 per share</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ARWR</w:t>
            </w:r>
          </w:p>
        </w:tc>
        <w:tc>
          <w:tcPr>
            <w:tcW w:w="3620" w:type="dxa"/>
            <w:vAlign w:val="bottom"/>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The Nasdaq Global Select Market</w:t>
            </w:r>
          </w:p>
        </w:tc>
      </w:tr>
    </w:tbl>
    <w:p>
      <w:pPr>
        <w:spacing w:after="0" w:line="164" w:lineRule="exact"/>
        <w:rPr>
          <w:sz w:val="24"/>
          <w:szCs w:val="24"/>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900" w:type="dxa"/>
            <w:vAlign w:val="bottom"/>
          </w:tcPr>
          <w:p>
            <w:pPr>
              <w:ind w:left="1600"/>
              <w:spacing w:after="0"/>
              <w:rPr>
                <w:sz w:val="20"/>
                <w:szCs w:val="20"/>
                <w:color w:val="auto"/>
              </w:rPr>
            </w:pPr>
            <w:r>
              <w:rPr>
                <w:rFonts w:ascii="Wingdings" w:cs="Wingdings" w:eastAsia="Wingdings" w:hAnsi="Wingdings"/>
                <w:sz w:val="14"/>
                <w:szCs w:val="14"/>
                <w:b w:val="1"/>
                <w:bCs w:val="1"/>
                <w:color w:val="auto"/>
              </w:rPr>
              <w:t>x</w:t>
            </w:r>
          </w:p>
        </w:tc>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720" w:type="dxa"/>
            <w:vAlign w:val="bottom"/>
          </w:tcPr>
          <w:p>
            <w:pPr>
              <w:ind w:left="1600"/>
              <w:spacing w:after="0"/>
              <w:rPr>
                <w:sz w:val="20"/>
                <w:szCs w:val="20"/>
                <w:color w:val="auto"/>
              </w:rPr>
            </w:pPr>
            <w:r>
              <w:rPr>
                <w:rFonts w:ascii="Wingdings" w:cs="Wingdings" w:eastAsia="Wingdings" w:hAnsi="Wingdings"/>
                <w:sz w:val="14"/>
                <w:szCs w:val="14"/>
                <w:b w:val="1"/>
                <w:bCs w:val="1"/>
                <w:color w:val="auto"/>
                <w:w w:val="79"/>
              </w:rPr>
              <w:t>o</w:t>
            </w:r>
          </w:p>
        </w:tc>
      </w:tr>
      <w:tr>
        <w:trPr>
          <w:trHeight w:val="24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900" w:type="dxa"/>
            <w:vAlign w:val="bottom"/>
          </w:tcPr>
          <w:p>
            <w:pPr>
              <w:ind w:left="1600"/>
              <w:spacing w:after="0"/>
              <w:rPr>
                <w:sz w:val="20"/>
                <w:szCs w:val="20"/>
                <w:color w:val="auto"/>
              </w:rPr>
            </w:pPr>
            <w:r>
              <w:rPr>
                <w:rFonts w:ascii="Wingdings" w:cs="Wingdings" w:eastAsia="Wingdings" w:hAnsi="Wingdings"/>
                <w:sz w:val="14"/>
                <w:szCs w:val="14"/>
                <w:b w:val="1"/>
                <w:bCs w:val="1"/>
                <w:color w:val="auto"/>
              </w:rPr>
              <w:t>o</w:t>
            </w:r>
          </w:p>
        </w:tc>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720" w:type="dxa"/>
            <w:vAlign w:val="bottom"/>
          </w:tcPr>
          <w:p>
            <w:pPr>
              <w:ind w:left="1600"/>
              <w:spacing w:after="0"/>
              <w:rPr>
                <w:sz w:val="20"/>
                <w:szCs w:val="20"/>
                <w:color w:val="auto"/>
              </w:rPr>
            </w:pPr>
            <w:r>
              <w:rPr>
                <w:rFonts w:ascii="Wingdings" w:cs="Wingdings" w:eastAsia="Wingdings" w:hAnsi="Wingdings"/>
                <w:sz w:val="14"/>
                <w:szCs w:val="14"/>
                <w:b w:val="1"/>
                <w:bCs w:val="1"/>
                <w:color w:val="auto"/>
                <w:w w:val="79"/>
              </w:rPr>
              <w:t>o</w:t>
            </w:r>
          </w:p>
        </w:tc>
      </w:tr>
      <w:tr>
        <w:trPr>
          <w:trHeight w:val="24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900" w:type="dxa"/>
            <w:vAlign w:val="bottom"/>
          </w:tcPr>
          <w:p>
            <w:pPr>
              <w:ind w:left="1600"/>
              <w:spacing w:after="0"/>
              <w:rPr>
                <w:sz w:val="20"/>
                <w:szCs w:val="20"/>
                <w:color w:val="auto"/>
              </w:rPr>
            </w:pPr>
            <w:r>
              <w:rPr>
                <w:rFonts w:ascii="Wingdings" w:cs="Wingdings" w:eastAsia="Wingdings" w:hAnsi="Wingdings"/>
                <w:sz w:val="14"/>
                <w:szCs w:val="14"/>
                <w:b w:val="1"/>
                <w:bCs w:val="1"/>
                <w:color w:val="auto"/>
              </w:rPr>
              <w:t>o</w:t>
            </w:r>
          </w:p>
        </w:tc>
        <w:tc>
          <w:tcPr>
            <w:tcW w:w="336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145" w:lineRule="exact"/>
        <w:rPr>
          <w:sz w:val="24"/>
          <w:szCs w:val="24"/>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right="4040"/>
        <w:spacing w:after="0" w:line="41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The number of shares of the registrant’s common stock outstanding as of August 1, 2024 was 124,315,274.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278130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66700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00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66700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0040" cy="6985"/>
                    </a:xfrm>
                    <a:prstGeom prst="rect">
                      <a:avLst/>
                    </a:prstGeom>
                    <a:noFill/>
                  </pic:spPr>
                </pic:pic>
              </a:graphicData>
            </a:graphic>
          </wp:anchor>
        </w:drawing>
      </w:r>
    </w:p>
    <w:p>
      <w:pPr>
        <w:sectPr>
          <w:pgSz w:w="11900" w:h="16838" w:orient="portrait"/>
          <w:cols w:equalWidth="0" w:num="1">
            <w:col w:w="11260"/>
          </w:cols>
          <w:pgMar w:left="300" w:top="7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Page(s)</w:t>
            </w: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1030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0300" w:type="dxa"/>
            <w:vAlign w:val="bottom"/>
            <w:gridSpan w:val="19"/>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ITEM 1. FINANCIAL STATEMENTS</w:t>
            </w:r>
          </w:p>
        </w:tc>
        <w:tc>
          <w:tcPr>
            <w:tcW w:w="320" w:type="dxa"/>
            <w:vAlign w:val="bottom"/>
            <w:tcBorders>
              <w:top w:val="single" w:sz="8" w:color="0000FF"/>
            </w:tcBorders>
            <w:gridSpan w:val="4"/>
          </w:tcPr>
          <w:p>
            <w:pPr>
              <w:spacing w:after="0"/>
              <w:rPr>
                <w:sz w:val="24"/>
                <w:szCs w:val="24"/>
                <w:color w:val="auto"/>
              </w:rPr>
            </w:pPr>
          </w:p>
        </w:tc>
        <w:tc>
          <w:tcPr>
            <w:tcW w:w="776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880" w:type="dxa"/>
            <w:vAlign w:val="bottom"/>
            <w:tcBorders>
              <w:top w:val="single" w:sz="8" w:color="0000FF"/>
            </w:tcBorders>
            <w:gridSpan w:val="2"/>
          </w:tcPr>
          <w:p>
            <w:pPr>
              <w:spacing w:after="0"/>
              <w:rPr>
                <w:sz w:val="19"/>
                <w:szCs w:val="19"/>
                <w:color w:val="auto"/>
              </w:rPr>
            </w:pPr>
          </w:p>
        </w:tc>
        <w:tc>
          <w:tcPr>
            <w:tcW w:w="6480" w:type="dxa"/>
            <w:vAlign w:val="bottom"/>
            <w:gridSpan w:val="4"/>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tcPr>
          <w:p>
            <w:pPr>
              <w:spacing w:after="0"/>
              <w:rPr>
                <w:sz w:val="19"/>
                <w:szCs w:val="19"/>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53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w w:val="99"/>
              </w:rPr>
              <w:t>ITEM 3. QUANTITATIVE AND QUALITATIVE DISCLOSURES ABOUT MARKET RISK</w:t>
            </w:r>
          </w:p>
        </w:tc>
        <w:tc>
          <w:tcPr>
            <w:tcW w:w="2180" w:type="dxa"/>
            <w:vAlign w:val="bottom"/>
            <w:tcBorders>
              <w:top w:val="single" w:sz="8" w:color="0000FF"/>
            </w:tcBorders>
          </w:tcPr>
          <w:p>
            <w:pPr>
              <w:spacing w:after="0"/>
              <w:rPr>
                <w:sz w:val="20"/>
                <w:szCs w:val="20"/>
                <w:color w:val="auto"/>
              </w:rPr>
            </w:pPr>
          </w:p>
        </w:tc>
        <w:tc>
          <w:tcPr>
            <w:tcW w:w="27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w w:val="99"/>
              </w:rPr>
              <w:t>PART II — OTHER INFORMATION</w:t>
            </w:r>
          </w:p>
        </w:tc>
        <w:tc>
          <w:tcPr>
            <w:tcW w:w="300" w:type="dxa"/>
            <w:vAlign w:val="bottom"/>
            <w:tcBorders>
              <w:top w:val="single" w:sz="8" w:color="0000FF"/>
            </w:tcBorders>
            <w:gridSpan w:val="4"/>
          </w:tcPr>
          <w:p>
            <w:pPr>
              <w:spacing w:after="0"/>
              <w:rPr>
                <w:sz w:val="20"/>
                <w:szCs w:val="20"/>
                <w:color w:val="auto"/>
              </w:rPr>
            </w:pPr>
          </w:p>
        </w:tc>
        <w:tc>
          <w:tcPr>
            <w:tcW w:w="7680" w:type="dxa"/>
            <w:vAlign w:val="bottom"/>
            <w:gridSpan w:val="7"/>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 LEGAL PROCEEDINGS</w:t>
            </w:r>
          </w:p>
        </w:tc>
        <w:tc>
          <w:tcPr>
            <w:tcW w:w="8300" w:type="dxa"/>
            <w:vAlign w:val="bottom"/>
            <w:gridSpan w:val="13"/>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0" w:type="dxa"/>
            <w:vAlign w:val="bottom"/>
          </w:tcPr>
          <w:p>
            <w:pPr>
              <w:spacing w:after="0"/>
              <w:rPr>
                <w:sz w:val="20"/>
                <w:szCs w:val="20"/>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52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3. DEFAULTS UPON SENIOR SECURITIES</w:t>
            </w:r>
          </w:p>
        </w:tc>
        <w:tc>
          <w:tcPr>
            <w:tcW w:w="5020" w:type="dxa"/>
            <w:vAlign w:val="bottom"/>
            <w:gridSpan w:val="3"/>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4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580" w:type="dxa"/>
            <w:vAlign w:val="bottom"/>
            <w:tcBorders>
              <w:top w:val="single" w:sz="8" w:color="0000FF"/>
            </w:tcBorders>
            <w:gridSpan w:val="4"/>
          </w:tcPr>
          <w:p>
            <w:pPr>
              <w:spacing w:after="0"/>
              <w:rPr>
                <w:sz w:val="20"/>
                <w:szCs w:val="20"/>
                <w:color w:val="auto"/>
              </w:rPr>
            </w:pPr>
          </w:p>
        </w:tc>
        <w:tc>
          <w:tcPr>
            <w:tcW w:w="7280" w:type="dxa"/>
            <w:vAlign w:val="bottom"/>
            <w:gridSpan w:val="5"/>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5. 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8300" w:type="dxa"/>
            <w:vAlign w:val="bottom"/>
            <w:gridSpan w:val="13"/>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SIGNATURE</w:t>
            </w:r>
          </w:p>
        </w:tc>
        <w:tc>
          <w:tcPr>
            <w:tcW w:w="9140" w:type="dxa"/>
            <w:vAlign w:val="bottom"/>
            <w:gridSpan w:val="16"/>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0"/>
        </w:trPr>
        <w:tc>
          <w:tcPr>
            <w:tcW w:w="10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1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202" w:lineRule="exact"/>
        <w:rPr>
          <w:sz w:val="20"/>
          <w:szCs w:val="20"/>
          <w:color w:val="auto"/>
        </w:rPr>
      </w:pPr>
    </w:p>
    <w:p>
      <w:pPr>
        <w:jc w:val="right"/>
        <w:ind w:right="360"/>
        <w:spacing w:after="0"/>
        <w:tabs>
          <w:tab w:leader="none" w:pos="920" w:val="left"/>
        </w:tabs>
        <w:rPr>
          <w:sz w:val="20"/>
          <w:szCs w:val="20"/>
          <w:color w:val="auto"/>
        </w:rPr>
      </w:pPr>
      <w:r>
        <w:rPr>
          <w:rFonts w:ascii="Times New Roman" w:cs="Times New Roman" w:eastAsia="Times New Roman" w:hAnsi="Times New Roman"/>
          <w:sz w:val="11"/>
          <w:szCs w:val="11"/>
          <w:b w:val="1"/>
          <w:bCs w:val="1"/>
          <w:color w:val="auto"/>
        </w:rPr>
        <w:t>June 30, 2024</w:t>
      </w:r>
      <w:r>
        <w:rPr>
          <w:sz w:val="20"/>
          <w:szCs w:val="20"/>
          <w:color w:val="auto"/>
        </w:rPr>
        <w:tab/>
      </w:r>
      <w:r>
        <w:rPr>
          <w:rFonts w:ascii="Times New Roman" w:cs="Times New Roman" w:eastAsia="Times New Roman" w:hAnsi="Times New Roman"/>
          <w:sz w:val="11"/>
          <w:szCs w:val="11"/>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26035</wp:posOffset>
            </wp:positionV>
            <wp:extent cx="21355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5505" cy="6985"/>
                    </a:xfrm>
                    <a:prstGeom prst="rect">
                      <a:avLst/>
                    </a:prstGeom>
                    <a:noFill/>
                  </pic:spPr>
                </pic:pic>
              </a:graphicData>
            </a:graphic>
          </wp:anchor>
        </w:drawing>
      </w:r>
    </w:p>
    <w:p>
      <w:pPr>
        <w:spacing w:after="0" w:line="3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1"/>
          <w:szCs w:val="11"/>
          <w:b w:val="1"/>
          <w:bCs w:val="1"/>
          <w:color w:val="auto"/>
        </w:rPr>
        <w:t>(unaudited)</w:t>
      </w:r>
    </w:p>
    <w:p>
      <w:pPr>
        <w:sectPr>
          <w:pgSz w:w="11900" w:h="16838" w:orient="portrait"/>
          <w:cols w:equalWidth="0" w:num="1">
            <w:col w:w="10960"/>
          </w:cols>
          <w:pgMar w:left="300" w:top="377" w:right="639" w:bottom="1440" w:gutter="0" w:footer="0" w:header="0"/>
        </w:sectPr>
      </w:pP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7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540" w:type="dxa"/>
            <w:vAlign w:val="bottom"/>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69,399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Available-for-sale securities, at fair value</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367,272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Prepaid expenses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current assets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rPr>
              <w:t>Total current assets</w:t>
            </w: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2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450,062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375,911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44,339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4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7240" w:type="dxa"/>
            <w:vAlign w:val="bottom"/>
            <w:vMerge w:val="continue"/>
          </w:tcPr>
          <w:p>
            <w:pPr>
              <w:spacing w:after="0"/>
              <w:rPr>
                <w:sz w:val="13"/>
                <w:szCs w:val="13"/>
                <w:color w:val="auto"/>
              </w:rPr>
            </w:pPr>
          </w:p>
        </w:tc>
        <w:tc>
          <w:tcPr>
            <w:tcW w:w="540" w:type="dxa"/>
            <w:vAlign w:val="bottom"/>
          </w:tcPr>
          <w:p>
            <w:pPr>
              <w:jc w:val="right"/>
              <w:ind w:right="4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883,759</w:t>
            </w: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240" w:type="dxa"/>
            <w:vAlign w:val="bottom"/>
            <w:vMerge w:val="restart"/>
          </w:tcPr>
          <w:p>
            <w:pPr>
              <w:ind w:left="1220"/>
              <w:spacing w:after="0"/>
              <w:rPr>
                <w:sz w:val="20"/>
                <w:szCs w:val="20"/>
                <w:color w:val="auto"/>
              </w:rPr>
            </w:pPr>
            <w:r>
              <w:rPr>
                <w:rFonts w:ascii="Times New Roman" w:cs="Times New Roman" w:eastAsia="Times New Roman" w:hAnsi="Times New Roman"/>
                <w:sz w:val="13"/>
                <w:szCs w:val="13"/>
                <w:b w:val="1"/>
                <w:bCs w:val="1"/>
                <w:color w:val="auto"/>
              </w:rPr>
              <w:t>LIABILITIES, NONCONTROLLING INTEREST AND STOCKHOLDERS’ EQUITY</w:t>
            </w: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72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540" w:type="dxa"/>
            <w:vAlign w:val="bottom"/>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26,550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expenses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payroll and benefits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Lease liabilities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revenue</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liabilities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2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Long-term liabilities: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Lease liabilities, net of current portion</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Liability related to the sale of future royalties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336,031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rPr>
              <w:t>Total long-term liabilities</w:t>
            </w: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2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448,071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7)</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and stockholders’ equity:</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 $0.001 par value:</w:t>
            </w:r>
          </w:p>
        </w:tc>
        <w:tc>
          <w:tcPr>
            <w:tcW w:w="5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Authorized 290,000 shares; issued and outstanding 124,227 and 107,312 shares</w:t>
            </w: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1,786,304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deficit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(1,454,987)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-3870325</wp:posOffset>
            </wp:positionV>
            <wp:extent cx="6737350" cy="121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-3627755</wp:posOffset>
            </wp:positionV>
            <wp:extent cx="6737350" cy="121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-3385185</wp:posOffset>
            </wp:positionV>
            <wp:extent cx="6737350" cy="121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-2893695</wp:posOffset>
            </wp:positionV>
            <wp:extent cx="6737350"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-2651125</wp:posOffset>
            </wp:positionV>
            <wp:extent cx="6737350"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-2145665</wp:posOffset>
            </wp:positionV>
            <wp:extent cx="6737350"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-1903095</wp:posOffset>
            </wp:positionV>
            <wp:extent cx="6737350"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-1660525</wp:posOffset>
            </wp:positionV>
            <wp:extent cx="6737350" cy="12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-1169035</wp:posOffset>
            </wp:positionV>
            <wp:extent cx="6737350"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-676910</wp:posOffset>
            </wp:positionV>
            <wp:extent cx="6737350"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-346710</wp:posOffset>
            </wp:positionV>
            <wp:extent cx="6737350"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-104140</wp:posOffset>
            </wp:positionV>
            <wp:extent cx="6737350"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-926465</wp:posOffset>
            </wp:positionV>
            <wp:extent cx="673735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7350" cy="128270"/>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-1417955</wp:posOffset>
            </wp:positionV>
            <wp:extent cx="673735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7350" cy="128270"/>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-2388235</wp:posOffset>
            </wp:positionV>
            <wp:extent cx="6737350" cy="121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7350" cy="1212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-3142615</wp:posOffset>
            </wp:positionV>
            <wp:extent cx="673735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735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110,891</w:t>
      </w:r>
    </w:p>
    <w:p>
      <w:pPr>
        <w:spacing w:after="0" w:line="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292,735</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8,813</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4,033</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416,472</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290,262</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10,262</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45,297</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3,259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26670</wp:posOffset>
            </wp:positionV>
            <wp:extent cx="10445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4575" cy="698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765,552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27940</wp:posOffset>
            </wp:positionV>
            <wp:extent cx="10445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4575"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35,866</w:t>
      </w:r>
    </w:p>
    <w:p>
      <w:pPr>
        <w:spacing w:after="0" w:line="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39,763</w:t>
      </w:r>
    </w:p>
    <w:p>
      <w:pPr>
        <w:spacing w:after="0" w:line="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17,963</w:t>
      </w:r>
    </w:p>
    <w:p>
      <w:pPr>
        <w:spacing w:after="0" w:line="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10,563</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866</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435</w:t>
      </w:r>
    </w:p>
    <w:p>
      <w:pPr>
        <w:spacing w:after="0" w:line="5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105,456</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104,608</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268,326</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372,934</w:t>
      </w:r>
    </w:p>
    <w:p>
      <w:pPr>
        <w:spacing w:after="0" w:line="200" w:lineRule="exact"/>
        <w:rPr>
          <w:sz w:val="20"/>
          <w:szCs w:val="20"/>
          <w:color w:val="auto"/>
        </w:rPr>
      </w:pPr>
    </w:p>
    <w:p>
      <w:pPr>
        <w:spacing w:after="0" w:line="37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200</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1,300,395</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color w:val="auto"/>
        </w:rPr>
        <w:t>(3,222)</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(1,026,030)</w:t>
      </w:r>
    </w:p>
    <w:p>
      <w:pPr>
        <w:spacing w:after="0" w:line="27" w:lineRule="exact"/>
        <w:rPr>
          <w:sz w:val="20"/>
          <w:szCs w:val="20"/>
          <w:color w:val="auto"/>
        </w:rPr>
      </w:pPr>
    </w:p>
    <w:p>
      <w:pPr>
        <w:sectPr>
          <w:pgSz w:w="11900" w:h="16838" w:orient="portrait"/>
          <w:cols w:equalWidth="0" w:num="2">
            <w:col w:w="9620" w:space="720"/>
            <w:col w:w="620"/>
          </w:cols>
          <w:pgMar w:left="300" w:top="377" w:right="639" w:bottom="1440" w:gutter="0" w:footer="0" w:header="0"/>
          <w:type w:val="continuous"/>
        </w:sectPr>
      </w:pPr>
    </w:p>
    <w:tbl>
      <w:tblPr>
        <w:tblLayout w:type="fixed"/>
        <w:tblInd w:w="340" w:type="dxa"/>
        <w:tblCellMar>
          <w:top w:w="0" w:type="dxa"/>
          <w:left w:w="0" w:type="dxa"/>
          <w:bottom w:w="0" w:type="dxa"/>
          <w:right w:w="0" w:type="dxa"/>
        </w:tblCellMar>
      </w:tblPr>
      <w:tr>
        <w:trPr>
          <w:trHeight w:val="191"/>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Arrowhead Pharmaceuticals, Inc. stockholders’ equity</w:t>
            </w:r>
          </w:p>
        </w:tc>
        <w:tc>
          <w:tcPr>
            <w:tcW w:w="6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330,547</w:t>
            </w:r>
          </w:p>
        </w:tc>
        <w:tc>
          <w:tcPr>
            <w:tcW w:w="6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271,343</w:t>
            </w:r>
          </w:p>
        </w:tc>
      </w:tr>
      <w:tr>
        <w:trPr>
          <w:trHeight w:val="187"/>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8,427</w:t>
            </w:r>
          </w:p>
        </w:tc>
        <w:tc>
          <w:tcPr>
            <w:tcW w:w="6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15,819</w:t>
            </w:r>
          </w:p>
        </w:tc>
      </w:tr>
      <w:tr>
        <w:trPr>
          <w:trHeight w:val="174"/>
        </w:trPr>
        <w:tc>
          <w:tcPr>
            <w:tcW w:w="7260" w:type="dxa"/>
            <w:vAlign w:val="bottom"/>
            <w:tcBorders>
              <w:bottom w:val="single" w:sz="8" w:color="CCEEFF"/>
            </w:tcBorders>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noncontrolling interest and stockholders’ equity</w:t>
            </w: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338,974</w:t>
            </w:r>
          </w:p>
        </w:tc>
        <w:tc>
          <w:tcPr>
            <w:tcW w:w="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287,162</w:t>
            </w:r>
          </w:p>
        </w:tc>
      </w:tr>
      <w:tr>
        <w:trPr>
          <w:trHeight w:val="207"/>
        </w:trPr>
        <w:tc>
          <w:tcPr>
            <w:tcW w:w="7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Noncontrolling Interest and Stockholders’ Equity</w:t>
            </w:r>
          </w:p>
        </w:tc>
        <w:tc>
          <w:tcPr>
            <w:tcW w:w="620" w:type="dxa"/>
            <w:vAlign w:val="bottom"/>
            <w:tcBorders>
              <w:bottom w:val="single" w:sz="8" w:color="auto"/>
            </w:tcBorders>
            <w:shd w:val="clear" w:color="auto" w:fill="CCEEFF"/>
          </w:tcPr>
          <w:p>
            <w:pPr>
              <w:jc w:val="right"/>
              <w:ind w:right="5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883,759</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765,552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377" w:right="6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6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r>
      <w:tr>
        <w:trPr>
          <w:trHeight w:val="160"/>
        </w:trPr>
        <w:tc>
          <w:tcPr>
            <w:tcW w:w="58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1"/>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760" w:type="dxa"/>
            <w:vAlign w:val="bottom"/>
            <w:tcBorders>
              <w:bottom w:val="single" w:sz="8" w:color="CCEEFF"/>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15,825</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3,551</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224,638</w:t>
            </w:r>
          </w:p>
        </w:tc>
      </w:tr>
      <w:tr>
        <w:trPr>
          <w:trHeight w:val="167"/>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1"/>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152,431</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94,757</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370,044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253,333</w:t>
            </w:r>
          </w:p>
        </w:tc>
      </w:tr>
      <w:tr>
        <w:trPr>
          <w:trHeight w:val="165"/>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72,384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67,977</w:t>
            </w:r>
          </w:p>
        </w:tc>
      </w:tr>
      <w:tr>
        <w:trPr>
          <w:trHeight w:val="26"/>
        </w:trPr>
        <w:tc>
          <w:tcPr>
            <w:tcW w:w="5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2"/>
        </w:trPr>
        <w:tc>
          <w:tcPr>
            <w:tcW w:w="5860" w:type="dxa"/>
            <w:vAlign w:val="bottom"/>
            <w:tcBorders>
              <w:bottom w:val="single" w:sz="8" w:color="CCEEFF"/>
            </w:tcBorders>
            <w:shd w:val="clear" w:color="auto" w:fill="CCEEFF"/>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operating expenses</w:t>
            </w: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176,141</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118,528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442,428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321,310</w:t>
            </w:r>
          </w:p>
        </w:tc>
      </w:tr>
      <w:tr>
        <w:trPr>
          <w:trHeight w:val="156"/>
        </w:trPr>
        <w:tc>
          <w:tcPr>
            <w:tcW w:w="5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Operating loss</w:t>
            </w:r>
          </w:p>
        </w:tc>
        <w:tc>
          <w:tcPr>
            <w:tcW w:w="7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(176,141)</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(102,703)</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(438,877)</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(96,672)</w:t>
            </w: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85"/>
        </w:trPr>
        <w:tc>
          <w:tcPr>
            <w:tcW w:w="58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167"/>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1"/>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6,498</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15,550</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11,414</w:t>
            </w:r>
          </w:p>
        </w:tc>
      </w:tr>
      <w:tr>
        <w:trPr>
          <w:trHeight w:val="165"/>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(5,094)</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(13,064)</w:t>
            </w: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1"/>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net</w:t>
            </w:r>
          </w:p>
        </w:tc>
        <w:tc>
          <w:tcPr>
            <w:tcW w:w="7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r>
      <w:tr>
        <w:trPr>
          <w:trHeight w:val="158"/>
        </w:trPr>
        <w:tc>
          <w:tcPr>
            <w:tcW w:w="5860" w:type="dxa"/>
            <w:vAlign w:val="bottom"/>
          </w:tcPr>
          <w:p>
            <w:pPr>
              <w:ind w:left="380"/>
              <w:spacing w:after="0" w:line="146" w:lineRule="exact"/>
              <w:rPr>
                <w:sz w:val="20"/>
                <w:szCs w:val="20"/>
                <w:color w:val="auto"/>
              </w:rPr>
            </w:pPr>
            <w:r>
              <w:rPr>
                <w:rFonts w:ascii="Times New Roman" w:cs="Times New Roman" w:eastAsia="Times New Roman" w:hAnsi="Times New Roman"/>
                <w:sz w:val="13"/>
                <w:szCs w:val="13"/>
                <w:color w:val="auto"/>
              </w:rPr>
              <w:t>Total other income (expense)</w:t>
            </w:r>
          </w:p>
        </w:tc>
        <w:tc>
          <w:tcPr>
            <w:tcW w:w="7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2,164</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(680)</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(785)</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(829)</w:t>
            </w:r>
          </w:p>
        </w:tc>
      </w:tr>
      <w:tr>
        <w:trPr>
          <w:trHeight w:val="24"/>
        </w:trPr>
        <w:tc>
          <w:tcPr>
            <w:tcW w:w="5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65"/>
        </w:trPr>
        <w:tc>
          <w:tcPr>
            <w:tcW w:w="58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167"/>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income tax expense (benefit) and noncontrolling interest</w:t>
            </w: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(173,977)</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(103,383)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(439,662)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(97,501)</w:t>
            </w:r>
          </w:p>
        </w:tc>
      </w:tr>
      <w:tr>
        <w:trPr>
          <w:trHeight w:val="24"/>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1"/>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7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r>
      <w:tr>
        <w:trPr>
          <w:trHeight w:val="158"/>
        </w:trPr>
        <w:tc>
          <w:tcPr>
            <w:tcW w:w="5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loss including noncontrolling interest</w:t>
            </w:r>
          </w:p>
        </w:tc>
        <w:tc>
          <w:tcPr>
            <w:tcW w:w="7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(173,977)</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(104,125)</w:t>
            </w:r>
          </w:p>
        </w:tc>
        <w:tc>
          <w:tcPr>
            <w:tcW w:w="80" w:type="dxa"/>
            <w:vAlign w:val="bottom"/>
          </w:tcPr>
          <w:p>
            <w:pPr>
              <w:spacing w:after="0"/>
              <w:rPr>
                <w:sz w:val="13"/>
                <w:szCs w:val="13"/>
                <w:color w:val="auto"/>
              </w:rPr>
            </w:pPr>
          </w:p>
        </w:tc>
        <w:tc>
          <w:tcPr>
            <w:tcW w:w="3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(436,349)</w:t>
            </w:r>
          </w:p>
        </w:tc>
        <w:tc>
          <w:tcPr>
            <w:tcW w:w="80" w:type="dxa"/>
            <w:vAlign w:val="bottom"/>
          </w:tcPr>
          <w:p>
            <w:pPr>
              <w:spacing w:after="0"/>
              <w:rPr>
                <w:sz w:val="13"/>
                <w:szCs w:val="13"/>
                <w:color w:val="auto"/>
              </w:rPr>
            </w:pPr>
          </w:p>
        </w:tc>
        <w:tc>
          <w:tcPr>
            <w:tcW w:w="3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(98,260)</w:t>
            </w:r>
          </w:p>
        </w:tc>
      </w:tr>
      <w:tr>
        <w:trPr>
          <w:trHeight w:val="24"/>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 net of tax</w:t>
            </w:r>
          </w:p>
        </w:tc>
        <w:tc>
          <w:tcPr>
            <w:tcW w:w="7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(7,392)</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w:t>
            </w:r>
          </w:p>
        </w:tc>
      </w:tr>
      <w:tr>
        <w:trPr>
          <w:trHeight w:val="158"/>
        </w:trPr>
        <w:tc>
          <w:tcPr>
            <w:tcW w:w="5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loss attributable to Arrowhead Pharmaceuticals, Inc.</w:t>
            </w: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(170,793)</w:t>
            </w:r>
          </w:p>
        </w:tc>
        <w:tc>
          <w:tcPr>
            <w:tcW w:w="100" w:type="dxa"/>
            <w:vAlign w:val="bottom"/>
          </w:tcPr>
          <w:p>
            <w:pPr>
              <w:spacing w:after="0"/>
              <w:rPr>
                <w:sz w:val="13"/>
                <w:szCs w:val="13"/>
                <w:color w:val="auto"/>
              </w:rPr>
            </w:pP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(102,946)</w:t>
            </w:r>
          </w:p>
        </w:tc>
        <w:tc>
          <w:tcPr>
            <w:tcW w:w="8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(428,957)</w:t>
            </w:r>
          </w:p>
        </w:tc>
        <w:tc>
          <w:tcPr>
            <w:tcW w:w="8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(95,596)</w:t>
            </w:r>
          </w:p>
        </w:tc>
      </w:tr>
      <w:tr>
        <w:trPr>
          <w:trHeight w:val="24"/>
        </w:trPr>
        <w:tc>
          <w:tcPr>
            <w:tcW w:w="5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71"/>
        </w:trPr>
        <w:tc>
          <w:tcPr>
            <w:tcW w:w="586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183"/>
        </w:trPr>
        <w:tc>
          <w:tcPr>
            <w:tcW w:w="5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per share attributable to Arrowhead Pharmaceuticals, Inc.:</w:t>
            </w:r>
          </w:p>
        </w:tc>
        <w:tc>
          <w:tcPr>
            <w:tcW w:w="7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r>
      <w:tr>
        <w:trPr>
          <w:trHeight w:val="179"/>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760" w:type="dxa"/>
            <w:vAlign w:val="bottom"/>
            <w:tcBorders>
              <w:bottom w:val="single" w:sz="8" w:color="CCEEFF"/>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(0.90)</w:t>
            </w:r>
          </w:p>
        </w:tc>
      </w:tr>
      <w:tr>
        <w:trPr>
          <w:trHeight w:val="165"/>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(0.90)</w:t>
            </w: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1"/>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used in calculating</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r>
      <w:tr>
        <w:trPr>
          <w:trHeight w:val="165"/>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124,199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107,004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118,260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106,597</w:t>
            </w: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1"/>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124,199</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107,004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118,260</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106,597</w:t>
            </w:r>
          </w:p>
        </w:tc>
      </w:tr>
      <w:tr>
        <w:trPr>
          <w:trHeight w:val="85"/>
        </w:trPr>
        <w:tc>
          <w:tcPr>
            <w:tcW w:w="5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71"/>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r>
      <w:tr>
        <w:trPr>
          <w:trHeight w:val="165"/>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 in unrealized losses on available-for-sale securities</w:t>
            </w:r>
          </w:p>
        </w:tc>
        <w:tc>
          <w:tcPr>
            <w:tcW w:w="7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1"/>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7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r>
      <w:tr>
        <w:trPr>
          <w:trHeight w:val="158"/>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760" w:type="dxa"/>
            <w:vAlign w:val="bottom"/>
            <w:tcBorders>
              <w:top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(173,869)</w:t>
            </w:r>
          </w:p>
        </w:tc>
        <w:tc>
          <w:tcPr>
            <w:tcW w:w="100" w:type="dxa"/>
            <w:vAlign w:val="bottom"/>
          </w:tcPr>
          <w:p>
            <w:pPr>
              <w:spacing w:after="0"/>
              <w:rPr>
                <w:sz w:val="13"/>
                <w:szCs w:val="13"/>
                <w:color w:val="auto"/>
              </w:rPr>
            </w:pPr>
          </w:p>
        </w:tc>
        <w:tc>
          <w:tcPr>
            <w:tcW w:w="760" w:type="dxa"/>
            <w:vAlign w:val="bottom"/>
            <w:tcBorders>
              <w:top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(104,204)</w:t>
            </w:r>
          </w:p>
        </w:tc>
        <w:tc>
          <w:tcPr>
            <w:tcW w:w="80" w:type="dxa"/>
            <w:vAlign w:val="bottom"/>
          </w:tcPr>
          <w:p>
            <w:pPr>
              <w:spacing w:after="0"/>
              <w:rPr>
                <w:sz w:val="13"/>
                <w:szCs w:val="13"/>
                <w:color w:val="auto"/>
              </w:rPr>
            </w:pPr>
          </w:p>
        </w:tc>
        <w:tc>
          <w:tcPr>
            <w:tcW w:w="3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(434,114)</w:t>
            </w:r>
          </w:p>
        </w:tc>
        <w:tc>
          <w:tcPr>
            <w:tcW w:w="80" w:type="dxa"/>
            <w:vAlign w:val="bottom"/>
          </w:tcPr>
          <w:p>
            <w:pPr>
              <w:spacing w:after="0"/>
              <w:rPr>
                <w:sz w:val="13"/>
                <w:szCs w:val="13"/>
                <w:color w:val="auto"/>
              </w:rPr>
            </w:pPr>
          </w:p>
        </w:tc>
        <w:tc>
          <w:tcPr>
            <w:tcW w:w="3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(98,535)</w:t>
            </w:r>
          </w:p>
        </w:tc>
      </w:tr>
      <w:tr>
        <w:trPr>
          <w:trHeight w:val="24"/>
        </w:trPr>
        <w:tc>
          <w:tcPr>
            <w:tcW w:w="5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Non-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 ($)</w:t>
            </w:r>
          </w:p>
        </w:tc>
        <w:tc>
          <w:tcPr>
            <w:tcW w:w="180" w:type="dxa"/>
            <w:vAlign w:val="bottom"/>
          </w:tcPr>
          <w:p>
            <w:pPr>
              <w:spacing w:after="0"/>
              <w:rPr>
                <w:sz w:val="11"/>
                <w:szCs w:val="11"/>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Loss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20" w:type="dxa"/>
            <w:vAlign w:val="bottom"/>
          </w:tcPr>
          <w:p>
            <w:pPr>
              <w:spacing w:after="0"/>
              <w:rPr>
                <w:sz w:val="11"/>
                <w:szCs w:val="11"/>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controlling Interest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September 30, 2023</w:t>
            </w: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vMerge w:val="continue"/>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107,312</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200</w:t>
            </w:r>
          </w:p>
        </w:tc>
        <w:tc>
          <w:tcPr>
            <w:tcW w:w="6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1,300,395</w:t>
            </w:r>
          </w:p>
        </w:tc>
        <w:tc>
          <w:tcPr>
            <w:tcW w:w="40" w:type="dxa"/>
            <w:vAlign w:val="bottom"/>
          </w:tcPr>
          <w:p>
            <w:pPr>
              <w:spacing w:after="0"/>
              <w:rPr>
                <w:sz w:val="11"/>
                <w:szCs w:val="11"/>
                <w:color w:val="auto"/>
              </w:rPr>
            </w:pPr>
          </w:p>
        </w:tc>
        <w:tc>
          <w:tcPr>
            <w:tcW w:w="200" w:type="dxa"/>
            <w:vAlign w:val="bottom"/>
            <w:gridSpan w:val="3"/>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(3,222)</w:t>
            </w:r>
          </w:p>
        </w:tc>
        <w:tc>
          <w:tcPr>
            <w:tcW w:w="200" w:type="dxa"/>
            <w:vAlign w:val="bottom"/>
            <w:gridSpan w:val="3"/>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(1,026,030)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15,819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287,162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Stock-based compensation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19,694</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19,694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Change in unrealized losses on available-for-sale securities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(132,864)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(135,376)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107,500</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200</w:t>
            </w:r>
          </w:p>
        </w:tc>
        <w:tc>
          <w:tcPr>
            <w:tcW w:w="6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1,320,356</w:t>
            </w:r>
          </w:p>
        </w:tc>
        <w:tc>
          <w:tcPr>
            <w:tcW w:w="40" w:type="dxa"/>
            <w:vAlign w:val="bottom"/>
          </w:tcPr>
          <w:p>
            <w:pPr>
              <w:spacing w:after="0"/>
              <w:rPr>
                <w:sz w:val="11"/>
                <w:szCs w:val="11"/>
                <w:color w:val="auto"/>
              </w:rPr>
            </w:pPr>
          </w:p>
        </w:tc>
        <w:tc>
          <w:tcPr>
            <w:tcW w:w="200" w:type="dxa"/>
            <w:vAlign w:val="bottom"/>
            <w:gridSpan w:val="3"/>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(1,255)</w:t>
            </w:r>
          </w:p>
        </w:tc>
        <w:tc>
          <w:tcPr>
            <w:tcW w:w="200" w:type="dxa"/>
            <w:vAlign w:val="bottom"/>
            <w:gridSpan w:val="3"/>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(1,158,894)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13,307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173,714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tcBorders>
              <w:bottom w:val="single" w:sz="8" w:color="CCEEFF"/>
            </w:tcBorders>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17,750</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17,750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Common stock issued, net of offering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429,249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429,265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(56)</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Change in unrealized losses on available-for-sale securities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Net loss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(125,300)</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(126,996)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March 31, 2024</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124,133</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217</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1,768,866</w:t>
            </w:r>
          </w:p>
        </w:tc>
        <w:tc>
          <w:tcPr>
            <w:tcW w:w="40" w:type="dxa"/>
            <w:vAlign w:val="bottom"/>
            <w:tcBorders>
              <w:top w:val="single" w:sz="8" w:color="auto"/>
            </w:tcBorders>
          </w:tcPr>
          <w:p>
            <w:pPr>
              <w:spacing w:after="0"/>
              <w:rPr>
                <w:sz w:val="11"/>
                <w:szCs w:val="11"/>
                <w:color w:val="auto"/>
              </w:rPr>
            </w:pPr>
          </w:p>
        </w:tc>
        <w:tc>
          <w:tcPr>
            <w:tcW w:w="80" w:type="dxa"/>
            <w:vAlign w:val="bottom"/>
            <w:gridSpan w:val="2"/>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(1,095)</w:t>
            </w:r>
          </w:p>
        </w:tc>
        <w:tc>
          <w:tcPr>
            <w:tcW w:w="80" w:type="dxa"/>
            <w:vAlign w:val="bottom"/>
            <w:gridSpan w:val="2"/>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(1,284,194)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11,611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495,405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tcBorders>
              <w:bottom w:val="single" w:sz="8" w:color="CCEEFF"/>
            </w:tcBorders>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17,050</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691"/>
              <w:spacing w:after="0"/>
              <w:rPr>
                <w:sz w:val="20"/>
                <w:szCs w:val="20"/>
                <w:color w:val="auto"/>
              </w:rPr>
            </w:pPr>
            <w:r>
              <w:rPr>
                <w:rFonts w:ascii="Times New Roman" w:cs="Times New Roman" w:eastAsia="Times New Roman" w:hAnsi="Times New Roman"/>
                <w:sz w:val="10"/>
                <w:szCs w:val="10"/>
                <w:color w:val="auto"/>
              </w:rPr>
              <w:t>(141)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Change in unrealized losses on available-for-sale securities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(170,793)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(173,977)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June 30,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124,227</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217</w:t>
            </w:r>
          </w:p>
        </w:tc>
        <w:tc>
          <w:tcPr>
            <w:tcW w:w="6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1,786,304</w:t>
            </w:r>
          </w:p>
        </w:tc>
        <w:tc>
          <w:tcPr>
            <w:tcW w:w="40" w:type="dxa"/>
            <w:vAlign w:val="bottom"/>
          </w:tcPr>
          <w:p>
            <w:pPr>
              <w:spacing w:after="0"/>
              <w:rPr>
                <w:sz w:val="11"/>
                <w:szCs w:val="11"/>
                <w:color w:val="auto"/>
              </w:rPr>
            </w:pPr>
          </w:p>
        </w:tc>
        <w:tc>
          <w:tcPr>
            <w:tcW w:w="200" w:type="dxa"/>
            <w:vAlign w:val="bottom"/>
            <w:gridSpan w:val="3"/>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1000" w:type="dxa"/>
            <w:vAlign w:val="bottom"/>
            <w:gridSpan w:val="2"/>
          </w:tcPr>
          <w:p>
            <w:pPr>
              <w:jc w:val="center"/>
              <w:ind w:left="691"/>
              <w:spacing w:after="0"/>
              <w:rPr>
                <w:sz w:val="20"/>
                <w:szCs w:val="20"/>
                <w:color w:val="auto"/>
              </w:rPr>
            </w:pPr>
            <w:r>
              <w:rPr>
                <w:rFonts w:ascii="Times New Roman" w:cs="Times New Roman" w:eastAsia="Times New Roman" w:hAnsi="Times New Roman"/>
                <w:sz w:val="10"/>
                <w:szCs w:val="10"/>
                <w:b w:val="1"/>
                <w:bCs w:val="1"/>
                <w:color w:val="auto"/>
              </w:rPr>
              <w:t>(987)</w:t>
            </w:r>
          </w:p>
        </w:tc>
        <w:tc>
          <w:tcPr>
            <w:tcW w:w="200" w:type="dxa"/>
            <w:vAlign w:val="bottom"/>
            <w:gridSpan w:val="3"/>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(1,454,987)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8,427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338,974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 ($)</w:t>
            </w:r>
          </w:p>
        </w:tc>
        <w:tc>
          <w:tcPr>
            <w:tcW w:w="18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Loss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20" w:type="dxa"/>
            <w:vAlign w:val="bottom"/>
          </w:tcPr>
          <w:p>
            <w:pPr>
              <w:spacing w:after="0"/>
              <w:rPr>
                <w:sz w:val="11"/>
                <w:szCs w:val="11"/>
                <w:color w:val="auto"/>
              </w:rPr>
            </w:pPr>
          </w:p>
        </w:tc>
        <w:tc>
          <w:tcPr>
            <w:tcW w:w="94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controlling Interest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Balance at September 30, 2022</w:t>
            </w: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20" w:type="dxa"/>
            <w:vAlign w:val="bottom"/>
            <w:gridSpan w:val="2"/>
            <w:vMerge w:val="continue"/>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105,960</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198</w:t>
            </w:r>
          </w:p>
        </w:tc>
        <w:tc>
          <w:tcPr>
            <w:tcW w:w="6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1,219,213</w:t>
            </w:r>
          </w:p>
        </w:tc>
        <w:tc>
          <w:tcPr>
            <w:tcW w:w="40" w:type="dxa"/>
            <w:vAlign w:val="bottom"/>
          </w:tcPr>
          <w:p>
            <w:pPr>
              <w:spacing w:after="0"/>
              <w:rPr>
                <w:sz w:val="11"/>
                <w:szCs w:val="11"/>
                <w:color w:val="auto"/>
              </w:rPr>
            </w:pPr>
          </w:p>
        </w:tc>
        <w:tc>
          <w:tcPr>
            <w:tcW w:w="200" w:type="dxa"/>
            <w:vAlign w:val="bottom"/>
            <w:gridSpan w:val="3"/>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(136)</w:t>
            </w:r>
          </w:p>
        </w:tc>
        <w:tc>
          <w:tcPr>
            <w:tcW w:w="40" w:type="dxa"/>
            <w:vAlign w:val="bottom"/>
          </w:tcPr>
          <w:p>
            <w:pPr>
              <w:spacing w:after="0"/>
              <w:rPr>
                <w:sz w:val="11"/>
                <w:szCs w:val="11"/>
                <w:color w:val="auto"/>
              </w:rPr>
            </w:pPr>
          </w:p>
        </w:tc>
        <w:tc>
          <w:tcPr>
            <w:tcW w:w="200" w:type="dxa"/>
            <w:vAlign w:val="bottom"/>
            <w:gridSpan w:val="3"/>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(820,755)</w:t>
            </w:r>
          </w:p>
        </w:tc>
        <w:tc>
          <w:tcPr>
            <w:tcW w:w="60" w:type="dxa"/>
            <w:vAlign w:val="bottom"/>
          </w:tcPr>
          <w:p>
            <w:pPr>
              <w:spacing w:after="0"/>
              <w:rPr>
                <w:sz w:val="11"/>
                <w:szCs w:val="11"/>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19,819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418,339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Stock-based compensation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19,390</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19,390</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(122)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Net loss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(41,325)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(486)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(41,811)</w:t>
            </w:r>
          </w:p>
        </w:tc>
        <w:tc>
          <w:tcPr>
            <w:tcW w:w="0" w:type="dxa"/>
            <w:vAlign w:val="bottom"/>
          </w:tcPr>
          <w:p>
            <w:pPr>
              <w:spacing w:after="0"/>
              <w:rPr>
                <w:sz w:val="1"/>
                <w:szCs w:val="1"/>
                <w:color w:val="auto"/>
              </w:rPr>
            </w:pPr>
          </w:p>
        </w:tc>
      </w:tr>
      <w:tr>
        <w:trPr>
          <w:trHeight w:val="127"/>
        </w:trPr>
        <w:tc>
          <w:tcPr>
            <w:tcW w:w="40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106,140</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199</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1,239,178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(258)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(862,080)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19,333</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396,372</w:t>
            </w:r>
          </w:p>
        </w:tc>
        <w:tc>
          <w:tcPr>
            <w:tcW w:w="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Borders>
              <w:bottom w:val="single" w:sz="8" w:color="CCEEFF"/>
            </w:tcBorders>
            <w:shd w:val="clear" w:color="auto" w:fill="CCEEFF"/>
          </w:tcPr>
          <w:p>
            <w:pPr>
              <w:spacing w:after="0"/>
              <w:rPr>
                <w:sz w:val="10"/>
                <w:szCs w:val="10"/>
                <w:color w:val="auto"/>
              </w:rPr>
            </w:pPr>
          </w:p>
        </w:tc>
        <w:tc>
          <w:tcPr>
            <w:tcW w:w="4000" w:type="dxa"/>
            <w:vAlign w:val="bottom"/>
            <w:tcBorders>
              <w:bottom w:val="single" w:sz="8" w:color="CCEEFF"/>
            </w:tcBorders>
            <w:shd w:val="clear" w:color="auto" w:fill="CCEEFF"/>
          </w:tcPr>
          <w:p>
            <w:pPr>
              <w:ind w:left="40"/>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20,612</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20,612</w:t>
            </w: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(74)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Net income</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48,675</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(999)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47,676</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at March 31, 2023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106,869</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199</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1,260,310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(332)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(813,405)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18,334</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465,106</w:t>
            </w:r>
          </w:p>
        </w:tc>
        <w:tc>
          <w:tcPr>
            <w:tcW w:w="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Borders>
              <w:bottom w:val="single" w:sz="8" w:color="CCEEFF"/>
            </w:tcBorders>
            <w:shd w:val="clear" w:color="auto" w:fill="CCEEFF"/>
          </w:tcPr>
          <w:p>
            <w:pPr>
              <w:spacing w:after="0"/>
              <w:rPr>
                <w:sz w:val="10"/>
                <w:szCs w:val="10"/>
                <w:color w:val="auto"/>
              </w:rPr>
            </w:pPr>
          </w:p>
        </w:tc>
        <w:tc>
          <w:tcPr>
            <w:tcW w:w="4000" w:type="dxa"/>
            <w:vAlign w:val="bottom"/>
            <w:tcBorders>
              <w:bottom w:val="single" w:sz="8" w:color="CCEEFF"/>
            </w:tcBorders>
            <w:shd w:val="clear" w:color="auto" w:fill="CCEEFF"/>
          </w:tcPr>
          <w:p>
            <w:pPr>
              <w:ind w:left="40"/>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19,947</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19,947</w:t>
            </w: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(79)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Net loss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(102,946)</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(1,179)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(104,125)</w:t>
            </w:r>
          </w:p>
        </w:tc>
        <w:tc>
          <w:tcPr>
            <w:tcW w:w="0" w:type="dxa"/>
            <w:vAlign w:val="bottom"/>
          </w:tcPr>
          <w:p>
            <w:pPr>
              <w:spacing w:after="0"/>
              <w:rPr>
                <w:sz w:val="1"/>
                <w:szCs w:val="1"/>
                <w:color w:val="auto"/>
              </w:rPr>
            </w:pPr>
          </w:p>
        </w:tc>
      </w:tr>
      <w:tr>
        <w:trPr>
          <w:trHeight w:val="127"/>
        </w:trPr>
        <w:tc>
          <w:tcPr>
            <w:tcW w:w="40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at June 30, 2023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107,102</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199</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1,281,393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(411)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(916,351)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17,155</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381,985</w:t>
            </w:r>
          </w:p>
        </w:tc>
        <w:tc>
          <w:tcPr>
            <w:tcW w:w="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c>
          <w:tcPr>
            <w:tcW w:w="58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9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r>
      <w:tr>
        <w:trPr>
          <w:trHeight w:val="165"/>
        </w:trPr>
        <w:tc>
          <w:tcPr>
            <w:tcW w:w="8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(436,349)</w:t>
            </w:r>
          </w:p>
        </w:tc>
        <w:tc>
          <w:tcPr>
            <w:tcW w:w="100" w:type="dxa"/>
            <w:vAlign w:val="bottom"/>
          </w:tcPr>
          <w:p>
            <w:pPr>
              <w:spacing w:after="0"/>
              <w:rPr>
                <w:sz w:val="14"/>
                <w:szCs w:val="14"/>
                <w:color w:val="auto"/>
              </w:rPr>
            </w:pPr>
          </w:p>
        </w:tc>
        <w:tc>
          <w:tcPr>
            <w:tcW w:w="900" w:type="dxa"/>
            <w:vAlign w:val="bottom"/>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(98,260)</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Adjustments to reconcile net loss to net cash flow from operating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65"/>
        </w:trPr>
        <w:tc>
          <w:tcPr>
            <w:tcW w:w="8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54,494</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59,949</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13,570</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8,634</w:t>
            </w:r>
          </w:p>
        </w:tc>
      </w:tr>
      <w:tr>
        <w:trPr>
          <w:trHeight w:val="165"/>
        </w:trPr>
        <w:tc>
          <w:tcPr>
            <w:tcW w:w="8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Amortization (accretion) of note premiums/discounts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Realized gain on investments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8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Non-cash interest expense on liability related to the sale of future royalties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13,064</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65"/>
        </w:trPr>
        <w:tc>
          <w:tcPr>
            <w:tcW w:w="8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receivable</w:t>
            </w:r>
          </w:p>
        </w:tc>
        <w:tc>
          <w:tcPr>
            <w:tcW w:w="9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27,913</w:t>
            </w:r>
          </w:p>
        </w:tc>
      </w:tr>
      <w:tr>
        <w:trPr>
          <w:trHeight w:val="165"/>
        </w:trPr>
        <w:tc>
          <w:tcPr>
            <w:tcW w:w="8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5,001</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Accrued expenses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13,086</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(32,082)</w:t>
            </w:r>
          </w:p>
        </w:tc>
      </w:tr>
      <w:tr>
        <w:trPr>
          <w:trHeight w:val="165"/>
        </w:trPr>
        <w:tc>
          <w:tcPr>
            <w:tcW w:w="8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Deferred revenue</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(113,144)</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Operating lease, net</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w:t>
            </w:r>
          </w:p>
        </w:tc>
      </w:tr>
      <w:tr>
        <w:trPr>
          <w:trHeight w:val="156"/>
        </w:trPr>
        <w:tc>
          <w:tcPr>
            <w:tcW w:w="82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(325,635)</w:t>
            </w: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(127,964)</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74"/>
        </w:trPr>
        <w:tc>
          <w:tcPr>
            <w:tcW w:w="8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(117,180)</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(112,830)</w:t>
            </w:r>
          </w:p>
        </w:tc>
      </w:tr>
      <w:tr>
        <w:trPr>
          <w:trHeight w:val="165"/>
        </w:trPr>
        <w:tc>
          <w:tcPr>
            <w:tcW w:w="8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(428,611)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(233,984)</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sales and maturities of investments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348,642</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220,150</w:t>
            </w:r>
          </w:p>
        </w:tc>
      </w:tr>
      <w:tr>
        <w:trPr>
          <w:trHeight w:val="156"/>
        </w:trPr>
        <w:tc>
          <w:tcPr>
            <w:tcW w:w="82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(197,149)</w:t>
            </w: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(126,664)</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74"/>
        </w:trPr>
        <w:tc>
          <w:tcPr>
            <w:tcW w:w="8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the exercises of stock options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w:t>
            </w:r>
          </w:p>
        </w:tc>
      </w:tr>
      <w:tr>
        <w:trPr>
          <w:trHeight w:val="165"/>
        </w:trPr>
        <w:tc>
          <w:tcPr>
            <w:tcW w:w="8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the issuance of common stock, net of offering costs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429,265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the sale of future royalties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r>
      <w:tr>
        <w:trPr>
          <w:trHeight w:val="156"/>
        </w:trPr>
        <w:tc>
          <w:tcPr>
            <w:tcW w:w="82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481,431</w:t>
            </w: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252,232</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74"/>
        </w:trPr>
        <w:tc>
          <w:tcPr>
            <w:tcW w:w="8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65"/>
        </w:trPr>
        <w:tc>
          <w:tcPr>
            <w:tcW w:w="8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74"/>
        </w:trPr>
        <w:tc>
          <w:tcPr>
            <w:tcW w:w="8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65"/>
        </w:trPr>
        <w:tc>
          <w:tcPr>
            <w:tcW w:w="8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exchange rate on cash, cash equivalents and restricted cash</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2"/>
        </w:trPr>
        <w:tc>
          <w:tcPr>
            <w:tcW w:w="8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6"/>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BEGINNING OF PERIOD</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110,891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108,005</w:t>
            </w:r>
          </w:p>
        </w:tc>
      </w:tr>
      <w:tr>
        <w:trPr>
          <w:trHeight w:val="179"/>
        </w:trPr>
        <w:tc>
          <w:tcPr>
            <w:tcW w:w="8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END OF PERIOD</w:t>
            </w:r>
          </w:p>
        </w:tc>
        <w:tc>
          <w:tcPr>
            <w:tcW w:w="90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69,399</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105,334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5"/>
        </w:trPr>
        <w:tc>
          <w:tcPr>
            <w:tcW w:w="8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7"/>
        </w:trPr>
        <w:tc>
          <w:tcPr>
            <w:tcW w:w="82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Supplementary disclosure of cash flows: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4"/>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1"/>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paid</w:t>
            </w:r>
          </w:p>
        </w:tc>
        <w:tc>
          <w:tcPr>
            <w:tcW w:w="9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76"/>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 expenditures included in accrued expenses</w:t>
            </w:r>
          </w:p>
        </w:tc>
        <w:tc>
          <w:tcPr>
            <w:tcW w:w="900" w:type="dxa"/>
            <w:vAlign w:val="bottom"/>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6,909</w:t>
            </w:r>
          </w:p>
        </w:tc>
        <w:tc>
          <w:tcPr>
            <w:tcW w:w="100" w:type="dxa"/>
            <w:vAlign w:val="bottom"/>
          </w:tcPr>
          <w:p>
            <w:pPr>
              <w:spacing w:after="0"/>
              <w:rPr>
                <w:sz w:val="15"/>
                <w:szCs w:val="15"/>
                <w:color w:val="auto"/>
              </w:rPr>
            </w:pPr>
          </w:p>
        </w:tc>
        <w:tc>
          <w:tcPr>
            <w:tcW w:w="900" w:type="dxa"/>
            <w:vAlign w:val="bottom"/>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15,624</w:t>
            </w: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ORGANIZATION AND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Recent Developments</w:t>
      </w:r>
    </w:p>
    <w:p>
      <w:pPr>
        <w:spacing w:after="0" w:line="96" w:lineRule="exact"/>
        <w:rPr>
          <w:sz w:val="20"/>
          <w:szCs w:val="20"/>
          <w:color w:val="auto"/>
        </w:rPr>
      </w:pPr>
    </w:p>
    <w:p>
      <w:pPr>
        <w:jc w:val="both"/>
        <w:ind w:right="20" w:firstLine="382"/>
        <w:spacing w:after="0" w:line="264" w:lineRule="auto"/>
        <w:rPr>
          <w:sz w:val="20"/>
          <w:szCs w:val="20"/>
          <w:color w:val="auto"/>
        </w:rPr>
      </w:pPr>
      <w:r>
        <w:rPr>
          <w:rFonts w:ascii="Times New Roman" w:cs="Times New Roman" w:eastAsia="Times New Roman" w:hAnsi="Times New Roman"/>
          <w:sz w:val="14"/>
          <w:szCs w:val="14"/>
          <w:color w:val="auto"/>
        </w:rPr>
        <w:t>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Company’s current pipeline:</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12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Therapeutic Area</w:t>
            </w:r>
          </w:p>
        </w:tc>
        <w:tc>
          <w:tcPr>
            <w:tcW w:w="38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Stage</w:t>
            </w:r>
          </w:p>
        </w:tc>
        <w:tc>
          <w:tcPr>
            <w:tcW w:w="3360" w:type="dxa"/>
            <w:vAlign w:val="bottom"/>
            <w:tcBorders>
              <w:top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3"/>
                <w:szCs w:val="13"/>
                <w:b w:val="1"/>
                <w:bCs w:val="1"/>
                <w:color w:val="auto"/>
              </w:rPr>
              <w:t>Product Rights</w:t>
            </w:r>
          </w:p>
        </w:tc>
      </w:tr>
      <w:tr>
        <w:trPr>
          <w:trHeight w:val="174"/>
        </w:trPr>
        <w:tc>
          <w:tcPr>
            <w:tcW w:w="21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Cardiometabolic</w:t>
            </w: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plozasiran (ARO-APOC3)</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3</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91"/>
        </w:trPr>
        <w:tc>
          <w:tcPr>
            <w:tcW w:w="2120" w:type="dxa"/>
            <w:vAlign w:val="bottom"/>
            <w:tcBorders>
              <w:left w:val="single" w:sz="8" w:color="auto"/>
            </w:tcBorders>
          </w:tcPr>
          <w:p>
            <w:pPr>
              <w:spacing w:after="0"/>
              <w:rPr>
                <w:sz w:val="16"/>
                <w:szCs w:val="16"/>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zodasiran (ARO-ANG3)</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2b</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99"/>
        </w:trPr>
        <w:tc>
          <w:tcPr>
            <w:tcW w:w="2120" w:type="dxa"/>
            <w:vAlign w:val="bottom"/>
            <w:tcBorders>
              <w:left w:val="single" w:sz="8" w:color="auto"/>
              <w:bottom w:val="single" w:sz="8" w:color="auto"/>
            </w:tcBorders>
          </w:tcPr>
          <w:p>
            <w:pPr>
              <w:spacing w:after="0"/>
              <w:rPr>
                <w:sz w:val="17"/>
                <w:szCs w:val="17"/>
                <w:color w:val="auto"/>
              </w:rPr>
            </w:pPr>
          </w:p>
        </w:tc>
        <w:tc>
          <w:tcPr>
            <w:tcW w:w="3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olpasiran</w:t>
            </w:r>
          </w:p>
        </w:tc>
        <w:tc>
          <w:tcPr>
            <w:tcW w:w="2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Phase 3</w:t>
            </w:r>
          </w:p>
        </w:tc>
        <w:tc>
          <w:tcPr>
            <w:tcW w:w="336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Amgen</w:t>
            </w:r>
          </w:p>
        </w:tc>
      </w:tr>
      <w:tr>
        <w:trPr>
          <w:trHeight w:val="174"/>
        </w:trPr>
        <w:tc>
          <w:tcPr>
            <w:tcW w:w="21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Pulmonary</w:t>
            </w: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ARO-RAGE</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1/2a</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91"/>
        </w:trPr>
        <w:tc>
          <w:tcPr>
            <w:tcW w:w="2120" w:type="dxa"/>
            <w:vAlign w:val="bottom"/>
            <w:tcBorders>
              <w:left w:val="single" w:sz="8" w:color="auto"/>
            </w:tcBorders>
          </w:tcPr>
          <w:p>
            <w:pPr>
              <w:spacing w:after="0"/>
              <w:rPr>
                <w:sz w:val="16"/>
                <w:szCs w:val="16"/>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ARO-MUC5AC</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1/2a</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99"/>
        </w:trPr>
        <w:tc>
          <w:tcPr>
            <w:tcW w:w="2120" w:type="dxa"/>
            <w:vAlign w:val="bottom"/>
            <w:tcBorders>
              <w:left w:val="single" w:sz="8" w:color="auto"/>
              <w:bottom w:val="single" w:sz="8" w:color="auto"/>
            </w:tcBorders>
          </w:tcPr>
          <w:p>
            <w:pPr>
              <w:spacing w:after="0"/>
              <w:rPr>
                <w:sz w:val="17"/>
                <w:szCs w:val="17"/>
                <w:color w:val="auto"/>
              </w:rPr>
            </w:pPr>
          </w:p>
        </w:tc>
        <w:tc>
          <w:tcPr>
            <w:tcW w:w="3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ARO-MMP7</w:t>
            </w:r>
          </w:p>
        </w:tc>
        <w:tc>
          <w:tcPr>
            <w:tcW w:w="2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Phase 1/2a</w:t>
            </w:r>
          </w:p>
        </w:tc>
        <w:tc>
          <w:tcPr>
            <w:tcW w:w="336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74"/>
        </w:trPr>
        <w:tc>
          <w:tcPr>
            <w:tcW w:w="21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Liver</w:t>
            </w: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GSK-4532990</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2b</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GSK</w:t>
            </w:r>
          </w:p>
        </w:tc>
      </w:tr>
      <w:tr>
        <w:trPr>
          <w:trHeight w:val="191"/>
        </w:trPr>
        <w:tc>
          <w:tcPr>
            <w:tcW w:w="2120" w:type="dxa"/>
            <w:vAlign w:val="bottom"/>
            <w:tcBorders>
              <w:left w:val="single" w:sz="8" w:color="auto"/>
            </w:tcBorders>
          </w:tcPr>
          <w:p>
            <w:pPr>
              <w:spacing w:after="0"/>
              <w:rPr>
                <w:sz w:val="16"/>
                <w:szCs w:val="16"/>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fazirsiran</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3</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Takeda and Arrowhead</w:t>
            </w:r>
          </w:p>
        </w:tc>
      </w:tr>
      <w:tr>
        <w:trPr>
          <w:trHeight w:val="191"/>
        </w:trPr>
        <w:tc>
          <w:tcPr>
            <w:tcW w:w="2120" w:type="dxa"/>
            <w:vAlign w:val="bottom"/>
            <w:tcBorders>
              <w:left w:val="single" w:sz="8" w:color="auto"/>
            </w:tcBorders>
          </w:tcPr>
          <w:p>
            <w:pPr>
              <w:spacing w:after="0"/>
              <w:rPr>
                <w:sz w:val="16"/>
                <w:szCs w:val="16"/>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daplusiran/tomligisiran (GSK5637608, formerly JNJ-3989)</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2</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GSK</w:t>
            </w:r>
          </w:p>
        </w:tc>
      </w:tr>
      <w:tr>
        <w:trPr>
          <w:trHeight w:val="191"/>
        </w:trPr>
        <w:tc>
          <w:tcPr>
            <w:tcW w:w="2120" w:type="dxa"/>
            <w:vAlign w:val="bottom"/>
            <w:tcBorders>
              <w:left w:val="single" w:sz="8" w:color="auto"/>
            </w:tcBorders>
          </w:tcPr>
          <w:p>
            <w:pPr>
              <w:spacing w:after="0"/>
              <w:rPr>
                <w:sz w:val="16"/>
                <w:szCs w:val="16"/>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ARO-PNPLA3</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1</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91"/>
        </w:trPr>
        <w:tc>
          <w:tcPr>
            <w:tcW w:w="2120" w:type="dxa"/>
            <w:vAlign w:val="bottom"/>
            <w:tcBorders>
              <w:left w:val="single" w:sz="8" w:color="auto"/>
            </w:tcBorders>
          </w:tcPr>
          <w:p>
            <w:pPr>
              <w:spacing w:after="0"/>
              <w:rPr>
                <w:sz w:val="16"/>
                <w:szCs w:val="16"/>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ARO-C3</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1/2a</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99"/>
        </w:trPr>
        <w:tc>
          <w:tcPr>
            <w:tcW w:w="2120" w:type="dxa"/>
            <w:vAlign w:val="bottom"/>
            <w:tcBorders>
              <w:left w:val="single" w:sz="8" w:color="auto"/>
              <w:bottom w:val="single" w:sz="8" w:color="auto"/>
            </w:tcBorders>
          </w:tcPr>
          <w:p>
            <w:pPr>
              <w:spacing w:after="0"/>
              <w:rPr>
                <w:sz w:val="17"/>
                <w:szCs w:val="17"/>
                <w:color w:val="auto"/>
              </w:rPr>
            </w:pPr>
          </w:p>
        </w:tc>
        <w:tc>
          <w:tcPr>
            <w:tcW w:w="3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ARO-CFB</w:t>
            </w:r>
          </w:p>
        </w:tc>
        <w:tc>
          <w:tcPr>
            <w:tcW w:w="2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Phase 1/2a</w:t>
            </w:r>
          </w:p>
        </w:tc>
        <w:tc>
          <w:tcPr>
            <w:tcW w:w="336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74"/>
        </w:trPr>
        <w:tc>
          <w:tcPr>
            <w:tcW w:w="21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Muscle</w:t>
            </w:r>
          </w:p>
        </w:tc>
        <w:tc>
          <w:tcPr>
            <w:tcW w:w="3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ARO-DUX4</w:t>
            </w:r>
          </w:p>
        </w:tc>
        <w:tc>
          <w:tcPr>
            <w:tcW w:w="20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Phase 1/2a</w:t>
            </w:r>
          </w:p>
        </w:tc>
        <w:tc>
          <w:tcPr>
            <w:tcW w:w="3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199"/>
        </w:trPr>
        <w:tc>
          <w:tcPr>
            <w:tcW w:w="2120" w:type="dxa"/>
            <w:vAlign w:val="bottom"/>
            <w:tcBorders>
              <w:left w:val="single" w:sz="8" w:color="auto"/>
              <w:bottom w:val="single" w:sz="8" w:color="auto"/>
            </w:tcBorders>
          </w:tcPr>
          <w:p>
            <w:pPr>
              <w:spacing w:after="0"/>
              <w:rPr>
                <w:sz w:val="17"/>
                <w:szCs w:val="17"/>
                <w:color w:val="auto"/>
              </w:rPr>
            </w:pPr>
          </w:p>
        </w:tc>
        <w:tc>
          <w:tcPr>
            <w:tcW w:w="3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ARO-DM1</w:t>
            </w:r>
          </w:p>
        </w:tc>
        <w:tc>
          <w:tcPr>
            <w:tcW w:w="2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Phase 1/2a</w:t>
            </w:r>
          </w:p>
        </w:tc>
        <w:tc>
          <w:tcPr>
            <w:tcW w:w="336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r>
        <w:trPr>
          <w:trHeight w:val="266"/>
        </w:trPr>
        <w:tc>
          <w:tcPr>
            <w:tcW w:w="21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Central Nervous System (CNS)</w:t>
            </w:r>
          </w:p>
        </w:tc>
        <w:tc>
          <w:tcPr>
            <w:tcW w:w="3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Various</w:t>
            </w:r>
          </w:p>
        </w:tc>
        <w:tc>
          <w:tcPr>
            <w:tcW w:w="2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Pre-Clinical</w:t>
            </w:r>
          </w:p>
        </w:tc>
        <w:tc>
          <w:tcPr>
            <w:tcW w:w="336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Arrowhead</w:t>
            </w:r>
          </w:p>
        </w:tc>
      </w:tr>
    </w:tbl>
    <w:p>
      <w:pPr>
        <w:spacing w:after="0" w:line="144"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The Company operates lab facilities in California and Wisconsin, where its research and development activities, including the development of RNAi therapeutics, take place. The Company’s principal executive offices are located in Pasadena, California.</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Thus far in fiscal 2024, the Company has continued to develop and advance its pipeline and partnered candidates. Several key recent developments include:</w:t>
      </w:r>
    </w:p>
    <w:p>
      <w:pPr>
        <w:spacing w:after="0" w:line="94" w:lineRule="exact"/>
        <w:rPr>
          <w:sz w:val="20"/>
          <w:szCs w:val="20"/>
          <w:color w:val="auto"/>
        </w:rPr>
      </w:pPr>
    </w:p>
    <w:p>
      <w:pPr>
        <w:ind w:left="760" w:right="20" w:hanging="182"/>
        <w:spacing w:after="0" w:line="287" w:lineRule="auto"/>
        <w:tabs>
          <w:tab w:leader="none" w:pos="757" w:val="left"/>
        </w:tabs>
        <w:numPr>
          <w:ilvl w:val="0"/>
          <w:numId w:val="3"/>
        </w:numPr>
        <w:rPr>
          <w:rFonts w:ascii="Times New Roman" w:cs="Times New Roman" w:eastAsia="Times New Roman" w:hAnsi="Times New Roman"/>
          <w:sz w:val="11"/>
          <w:szCs w:val="11"/>
          <w:b w:val="1"/>
          <w:bCs w:val="1"/>
          <w:i w:val="1"/>
          <w:iCs w:val="1"/>
          <w:color w:val="auto"/>
        </w:rPr>
      </w:pPr>
      <w:r>
        <w:rPr>
          <w:rFonts w:ascii="Times New Roman" w:cs="Times New Roman" w:eastAsia="Times New Roman" w:hAnsi="Times New Roman"/>
          <w:sz w:val="14"/>
          <w:szCs w:val="14"/>
          <w:color w:val="auto"/>
        </w:rPr>
        <w:t>Announced plans to advance investigational plozasiran into a Phase 3 cardiovascular outcomes trial called CAPITAN, which is designed to enroll patients with mixed hyperlipidemia and residual risk of atherosclerotic cardiovascular disease;</w:t>
      </w:r>
    </w:p>
    <w:p>
      <w:pPr>
        <w:spacing w:after="0" w:line="39" w:lineRule="exact"/>
        <w:rPr>
          <w:rFonts w:ascii="Times New Roman" w:cs="Times New Roman" w:eastAsia="Times New Roman" w:hAnsi="Times New Roman"/>
          <w:sz w:val="11"/>
          <w:szCs w:val="11"/>
          <w:b w:val="1"/>
          <w:bCs w:val="1"/>
          <w:i w:val="1"/>
          <w:iCs w:val="1"/>
          <w:color w:val="auto"/>
        </w:rPr>
      </w:pPr>
    </w:p>
    <w:p>
      <w:pPr>
        <w:ind w:left="760" w:right="20" w:hanging="182"/>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successful top-line results from the pivotal Phase 3 PALISADE study of investigational plozasiran in patients with familial chylomicronemia syndrome (FCS). The Company highlighted recent data for its cardiometabolic pipeline at its June 25, 2024, Cardiometabolic event;</w:t>
      </w:r>
    </w:p>
    <w:p>
      <w:pPr>
        <w:spacing w:after="0" w:line="36" w:lineRule="exact"/>
        <w:rPr>
          <w:rFonts w:ascii="Times New Roman" w:cs="Times New Roman" w:eastAsia="Times New Roman" w:hAnsi="Times New Roman"/>
          <w:sz w:val="14"/>
          <w:szCs w:val="14"/>
          <w:color w:val="auto"/>
        </w:rPr>
      </w:pPr>
    </w:p>
    <w:p>
      <w:pPr>
        <w:jc w:val="both"/>
        <w:ind w:left="760" w:right="20" w:hanging="182"/>
        <w:spacing w:after="0" w:line="238"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preclinical data on ARO-INHBE for the treatment of obesity and metabolic diseases at the American Diabetes Association 84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Scientific Sessions. INHBE small interfering RNA (siRNA) administration resulted in multiple promising findings including: (1) 95% reduction in INHBE mRNA expression, (2) 19% suppression of body weight compared to saline controls, (3) 26% loss of fat mass, and (4) preservation of lean mass;</w:t>
      </w:r>
    </w:p>
    <w:p>
      <w:pPr>
        <w:spacing w:after="0" w:line="72" w:lineRule="exact"/>
        <w:rPr>
          <w:rFonts w:ascii="Times New Roman" w:cs="Times New Roman" w:eastAsia="Times New Roman" w:hAnsi="Times New Roman"/>
          <w:sz w:val="14"/>
          <w:szCs w:val="14"/>
          <w:color w:val="auto"/>
        </w:rPr>
      </w:pPr>
    </w:p>
    <w:p>
      <w:pPr>
        <w:ind w:left="760" w:hanging="18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results from the Phase 2b double blind, randomized ARCHES-2 study of investigational zodasiran in patients with mixed hyperlipidemia;</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7" w:name="page8"/>
    <w:bookmarkEnd w:id="7"/>
    <w:p>
      <w:pPr>
        <w:ind w:left="760" w:hanging="182"/>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that new interim clinical data on ARO-RAGE achieves high level of gene knockdown in patients with asthma;</w:t>
      </w:r>
    </w:p>
    <w:p>
      <w:pPr>
        <w:spacing w:after="0" w:line="93" w:lineRule="exact"/>
        <w:rPr>
          <w:rFonts w:ascii="Times New Roman" w:cs="Times New Roman" w:eastAsia="Times New Roman" w:hAnsi="Times New Roman"/>
          <w:sz w:val="14"/>
          <w:szCs w:val="14"/>
          <w:color w:val="auto"/>
        </w:rPr>
      </w:pPr>
    </w:p>
    <w:p>
      <w:pPr>
        <w:ind w:left="760" w:hanging="182"/>
        <w:spacing w:after="0" w:line="287"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Completed enrollment in Amgen’s Phase 3 OCEAN(a) - outcome trial of olpasiran, triggering a $50.0 million milestone payment to the Company, which was paid in the third quarter of fiscal 2024;</w:t>
      </w:r>
    </w:p>
    <w:p>
      <w:pPr>
        <w:spacing w:after="0" w:line="39" w:lineRule="exact"/>
        <w:rPr>
          <w:rFonts w:ascii="Times New Roman" w:cs="Times New Roman" w:eastAsia="Times New Roman" w:hAnsi="Times New Roman"/>
          <w:sz w:val="14"/>
          <w:szCs w:val="14"/>
          <w:color w:val="auto"/>
        </w:rPr>
      </w:pPr>
    </w:p>
    <w:p>
      <w:pPr>
        <w:jc w:val="both"/>
        <w:ind w:left="760" w:hanging="182"/>
        <w:spacing w:after="0" w:line="270"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final data from the double-blind treatment period of the Company’s Phase 2 SHASTA-2 study of investigational plozasiran in patients with severe Hypertriglyceridemia. Results from the SHASTA-2 study showed dramatic, consistent, and sustained reductions in Apolipoprotein C-III (APOC3) and triglycerides and improvement in multiple atherogenic lipoprotein levels;</w:t>
      </w:r>
    </w:p>
    <w:p>
      <w:pPr>
        <w:spacing w:after="0" w:line="50" w:lineRule="exact"/>
        <w:rPr>
          <w:rFonts w:ascii="Times New Roman" w:cs="Times New Roman" w:eastAsia="Times New Roman" w:hAnsi="Times New Roman"/>
          <w:sz w:val="14"/>
          <w:szCs w:val="14"/>
          <w:color w:val="auto"/>
        </w:rPr>
      </w:pPr>
    </w:p>
    <w:p>
      <w:pPr>
        <w:ind w:left="760" w:hanging="182"/>
        <w:spacing w:after="0"/>
        <w:tabs>
          <w:tab w:leader="none" w:pos="760" w:val="left"/>
        </w:tabs>
        <w:numPr>
          <w:ilvl w:val="0"/>
          <w:numId w:val="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Announced an Expanded Access Program (“EAP”) to make investigational plozasiran available outside of a clinical trial for qualifying patients with FCS;</w:t>
      </w:r>
    </w:p>
    <w:p>
      <w:pPr>
        <w:spacing w:after="0" w:line="93" w:lineRule="exact"/>
        <w:rPr>
          <w:rFonts w:ascii="Times New Roman" w:cs="Times New Roman" w:eastAsia="Times New Roman" w:hAnsi="Times New Roman"/>
          <w:sz w:val="14"/>
          <w:szCs w:val="14"/>
          <w:b w:val="1"/>
          <w:bCs w:val="1"/>
          <w:i w:val="1"/>
          <w:iCs w:val="1"/>
          <w:color w:val="auto"/>
        </w:rPr>
      </w:pPr>
    </w:p>
    <w:p>
      <w:pPr>
        <w:ind w:left="760" w:hanging="182"/>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Initiated a Phase 1/2a clinical trial of ARO-DM1, being developed as a potential treatment for type 1 myotonic dystrophy (DM1), the most common adult-onset muscular dystrophy;</w:t>
      </w:r>
    </w:p>
    <w:p>
      <w:pPr>
        <w:spacing w:after="0" w:line="93" w:lineRule="exact"/>
        <w:rPr>
          <w:rFonts w:ascii="Times New Roman" w:cs="Times New Roman" w:eastAsia="Times New Roman" w:hAnsi="Times New Roman"/>
          <w:sz w:val="14"/>
          <w:szCs w:val="14"/>
          <w:color w:val="auto"/>
        </w:rPr>
      </w:pPr>
    </w:p>
    <w:p>
      <w:pPr>
        <w:ind w:left="760" w:hanging="182"/>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an application for clearance to initiate a Phase 1/2a clinical trial of ARO-CFB, being developed as a potential treatment for complement mediated renal disease;</w:t>
      </w:r>
    </w:p>
    <w:p>
      <w:pPr>
        <w:spacing w:after="0" w:line="93" w:lineRule="exact"/>
        <w:rPr>
          <w:rFonts w:ascii="Times New Roman" w:cs="Times New Roman" w:eastAsia="Times New Roman" w:hAnsi="Times New Roman"/>
          <w:sz w:val="14"/>
          <w:szCs w:val="14"/>
          <w:color w:val="auto"/>
        </w:rPr>
      </w:pPr>
    </w:p>
    <w:p>
      <w:pPr>
        <w:ind w:left="760" w:hanging="182"/>
        <w:spacing w:after="0" w:line="287"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an Amended and Restated License Agreement with GSK, pursuant to which GSK received a worldwide, exclusive license to develop and commercialize daplusiran/tomligisiran (GSK5637608, formerly JNJ-3989). Daplusiran/tomligisiran had previously been licensed to Janssen Pharmaceuticals, Inc. See Note 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 and Basis of Presentation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interim Consolidated Financial Statements include the accounts of Arrowhead Pharmaceuticals, Inc. and its subsidiaries (wholly-owned subsidiaries and a variable interest entity for which the Company is the primary beneficiary). Subsidiaries refer to Arrowhead Madison, Inc., Visirna Therapeutics, Inc. (“Visirna”), and Arrowhead Australia Pty Ltd.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at June 30, 2024 and the results of operations and cash flows for the periods presented. All intercompany transactions and balances have been eliminated. Certain prior period amounts have been reclassified to conform with the current period presentation.</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year ended September 30, 2023 for more complete descriptions and discussions. Operating results and cash flows for the nine months ended June 30, 2024 are not necessarily indicative of the results that may be expected for the fiscal year ending September 30,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primary sources of financing have been through the sale of its equity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Additionally, significant capital investment will be required as the Company’s pipeline matures into later stage clinical trials.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of June 30, 2024, the Company had $69.4 million in cash, cash equivalents and restricted cash ($2.2 million in restricted cash) and $367.3 million in available-for-sale securities to fund operations. During the nine months ended June 30, 2024, the Company’s cash, cash equivalents and restricted cash and investments balance increased by $33.0 million which was primarily due to the net proceeds of $429.3 million from the underwritten offering in January 2024 discussed below, offset by ongoing expenses related to the Company’s research and development programs, general and administrative expenses and capital expenditures.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January 2, 2024, the Company entered into an underwriting agreement with Jefferies LLC, BofA Securities, Inc.,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 w:name="page9"/>
    <w:bookmarkEnd w:id="8"/>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and Cowen and Company, LLC, as representatives of the several underwriters. The Company issued 15,790,000 shares of common stock at a price of $28.50 per share. The aggregate purchase price paid by investors was $450.0 million and the Company received net proceeds of $429.3 million after deducting advisory fees and offering expenses.</w:t>
      </w:r>
    </w:p>
    <w:p>
      <w:pPr>
        <w:spacing w:after="0" w:line="39"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In total, the Company is eligible to receive up to $2.7 billion in developmental, regulatory and sales milestones, and may receive various royalties on net sales from its licensing and collaboration agreements, subject to the terms and conditions of those agreements. The revenue recognition for these collaboration agreements is discussed further in Note 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Significant Accounting Policies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have been no changes to the significant accounting policies disclosed in the Company’s most recent Annual Report on Form 10-K for the fiscal year ended September 30,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Uncertainty in Income Taxes</w:t>
      </w:r>
    </w:p>
    <w:p>
      <w:pPr>
        <w:spacing w:after="0" w:line="96"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The Company recorded an income tax benefit of $3.3 million and expense of $0.8 million for the nine months ended June 30, 2024 and 2023, respectively. The income tax benefit is primarily due to the discrete change in the Company’s uncertain tax positions related to the statute of limitation expiration.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4" w:lineRule="exact"/>
        <w:rPr>
          <w:sz w:val="20"/>
          <w:szCs w:val="20"/>
          <w:color w:val="auto"/>
        </w:rPr>
      </w:pPr>
    </w:p>
    <w:p>
      <w:pPr>
        <w:jc w:val="both"/>
        <w:ind w:right="80" w:firstLine="382"/>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Financial Accounting Standards Board (“FASB”) issued Accounting Standard Update (“ASU”) 2023-09, </w:t>
      </w:r>
      <w:r>
        <w:rPr>
          <w:rFonts w:ascii="Times New Roman" w:cs="Times New Roman" w:eastAsia="Times New Roman" w:hAnsi="Times New Roman"/>
          <w:sz w:val="14"/>
          <w:szCs w:val="14"/>
          <w:i w:val="1"/>
          <w:iCs w:val="1"/>
          <w:color w:val="auto"/>
        </w:rPr>
        <w:t>Income Taxes (Topic 740): Improvements to Income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Disclosures</w:t>
      </w:r>
      <w:r>
        <w:rPr>
          <w:rFonts w:ascii="Times New Roman" w:cs="Times New Roman" w:eastAsia="Times New Roman" w:hAnsi="Times New Roman"/>
          <w:sz w:val="14"/>
          <w:szCs w:val="14"/>
          <w:color w:val="auto"/>
        </w:rPr>
        <w:t>, to improve its income tax disclosure requirements. Under the guidance, entities must annually (1) disclose specific categories in the rate reconciliation and (2) provide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for reconciling items that meet a quantitative threshold. This guidance will become effective for the Company beginning on October 1, 2025. The Company does not expect any material impact on its consolidated financial statements and related disclosures resulting from applying this ASU.</w:t>
      </w:r>
    </w:p>
    <w:p>
      <w:pPr>
        <w:spacing w:after="0" w:line="53" w:lineRule="exact"/>
        <w:rPr>
          <w:sz w:val="20"/>
          <w:szCs w:val="20"/>
          <w:color w:val="auto"/>
        </w:rPr>
      </w:pPr>
    </w:p>
    <w:p>
      <w:pPr>
        <w:jc w:val="both"/>
        <w:ind w:right="80" w:firstLine="382"/>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which is intended to improve reportable segment disclosure requirements, primarily through additional disclosures about significant segment expenses. The guidance requires public companies with a single reportable segment to provide all disclosures required under ASC 280. In addition, the guidance requires public companies to include in interim reports all disclosures related to a reportable segment’s profit or loss and assets that are currently required in annual reports.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does not expect any material impact on its consolidated financial statements and related disclosures resulting from applying this ASU.</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COLLABORATION AND LICENSE AGREEMENTS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a summary of revenue recognized:</w:t>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c>
          <w:tcPr>
            <w:tcW w:w="700" w:type="dxa"/>
            <w:vAlign w:val="bottom"/>
          </w:tcPr>
          <w:p>
            <w:pPr>
              <w:spacing w:after="0"/>
              <w:rPr>
                <w:sz w:val="12"/>
                <w:szCs w:val="12"/>
                <w:color w:val="auto"/>
              </w:rPr>
            </w:pPr>
          </w:p>
        </w:tc>
      </w:tr>
      <w:tr>
        <w:trPr>
          <w:trHeight w:val="30"/>
        </w:trPr>
        <w:tc>
          <w:tcPr>
            <w:tcW w:w="4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41"/>
        </w:trPr>
        <w:tc>
          <w:tcPr>
            <w:tcW w:w="4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4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41"/>
        </w:trPr>
        <w:tc>
          <w:tcPr>
            <w:tcW w:w="4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30"/>
        </w:trPr>
        <w:tc>
          <w:tcPr>
            <w:tcW w:w="4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GSK</w:t>
            </w:r>
          </w:p>
        </w:tc>
        <w:tc>
          <w:tcPr>
            <w:tcW w:w="98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83"/>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Horizon</w:t>
            </w:r>
          </w:p>
        </w:tc>
        <w:tc>
          <w:tcPr>
            <w:tcW w:w="98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9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Takeda</w:t>
            </w:r>
          </w:p>
        </w:tc>
        <w:tc>
          <w:tcPr>
            <w:tcW w:w="9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83"/>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Janssen</w:t>
            </w:r>
          </w:p>
        </w:tc>
        <w:tc>
          <w:tcPr>
            <w:tcW w:w="98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Amgen</w:t>
            </w:r>
          </w:p>
        </w:tc>
        <w:tc>
          <w:tcPr>
            <w:tcW w:w="9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9"/>
        </w:trPr>
        <w:tc>
          <w:tcPr>
            <w:tcW w:w="42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15,825</w:t>
            </w:r>
          </w:p>
        </w:tc>
        <w:tc>
          <w:tcPr>
            <w:tcW w:w="80" w:type="dxa"/>
            <w:vAlign w:val="bottom"/>
          </w:tcPr>
          <w:p>
            <w:pPr>
              <w:spacing w:after="0"/>
              <w:rPr>
                <w:sz w:val="16"/>
                <w:szCs w:val="16"/>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80" w:type="dxa"/>
            <w:vAlign w:val="bottom"/>
          </w:tcPr>
          <w:p>
            <w:pPr>
              <w:spacing w:after="0"/>
              <w:rPr>
                <w:sz w:val="16"/>
                <w:szCs w:val="16"/>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20"/>
        </w:trPr>
        <w:tc>
          <w:tcPr>
            <w:tcW w:w="4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balance of receivables and contract liabilities related to the Company’s</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4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collaboration and license agreements:</w:t>
      </w:r>
    </w:p>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60"/>
        </w:trPr>
        <w:tc>
          <w:tcPr>
            <w:tcW w:w="68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80" w:type="dxa"/>
            <w:vAlign w:val="bottom"/>
          </w:tcPr>
          <w:p>
            <w:pPr>
              <w:spacing w:after="0"/>
              <w:rPr>
                <w:sz w:val="13"/>
                <w:szCs w:val="13"/>
                <w:color w:val="auto"/>
              </w:rPr>
            </w:pPr>
          </w:p>
        </w:tc>
      </w:tr>
      <w:tr>
        <w:trPr>
          <w:trHeight w:val="20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Receivables included in accounts receivable</w:t>
            </w:r>
          </w:p>
        </w:tc>
        <w:tc>
          <w:tcPr>
            <w:tcW w:w="160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liabilities included in deferred revenue</w:t>
            </w:r>
          </w:p>
        </w:tc>
        <w:tc>
          <w:tcPr>
            <w:tcW w:w="1600" w:type="dxa"/>
            <w:vAlign w:val="bottom"/>
          </w:tcPr>
          <w:p>
            <w:pPr>
              <w:jc w:val="right"/>
              <w:ind w:right="145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Glaxosmithkline Intellectual Property (No. 3) Limited (“GSK”)</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GSK-HSD License Agreement</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November 22, 2021, GSK and the Company entered into an Exclusive License Agreement (the “GSK-HSD License Agreement”). Under the GSK-HSD License Agreement, GSK has received an exclusive license for GSK-4532990 (formerly ARO-HSD). The exclusive license is worldwide with the exception of greater China. GSK is wholly responsible for all clinical development and commercialization of GSK-4532990 in its territory. GSK dosed the first patient in a Phase 2b trial in March 2023 and paid a $30.0 million milestone payment to the Company in the third quarter of fiscal 2023.</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is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GSK-HBV Agreement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December 11, 2023, the Company entered into an Amended and Restated License Agreement with GSK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 GSK5637608 had previously been licensed to Janssen in October 2018.</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Under the terms of the GSK-HBV Agreement, the Company received $2.7 million in December 2023, upon signing the amended GSK-HBV Agreement. The Company is eligible to receive up to $832.5 million in development and sales milestone payments under the GSK-HBV Agreement.</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were no contract assets and liabilities recorded as of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Horizon Therapeutics Ireland DAC (“Horizon”)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June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The Company received a $40.0 million upfront payment in July 2021. Revenue was recognized on a straight-line basis over the timeframe for completing the Horizon R&amp;D Services, concluding in the first quarter of 2023. Further, the Company received an additional $15.0 million upon Horizon’s initiation of a Phase 1 clinical trial in January 2023.</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October 6, 2023, Amgen completed its acquisition of Horizon and subsequently notified the Company of Amgen’s intent to terminate the HZN-457 license. Horizon exercised its right to terminate the Horizon License Agreement for convenience, which took effect on December 21,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Takeda Pharmaceutical Company Limited (“Takeda”)</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October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50/50 profit sharing structure. Outside the United States, Takeda received an exclusive license to commercialize fazirsiran and will lead the global commercialization strategy, while the Company will be eligible to receive tiered royalties of 20% to 25% on net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sales.</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w:t>
      </w:r>
    </w:p>
    <w:p>
      <w:pPr>
        <w:spacing w:after="0" w:line="6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allocated the total $300.0 million initial transaction price to its one distinct performance obligation for the fazirsiran license and the associated Takeda R&amp;D Services. Revenue was recognized using the input method (based on actual patient visits completed versus total estimated visits completed for the ongoing SEQUOIA and AROAAT2002 clinical studies). The Phase 2 study visits for patients in the SEQUOIA and AROAAT2002 studies concluded by December 31, 2023, and the Company has substantially completed its performance obligation under the Takeda License Agreement. As such, all revenue has been fully recognized as of December 31, 2023. There were no further deferred revenue and contract liabilities as of June 30, 2024</w:t>
      </w:r>
      <w:r>
        <w:rPr>
          <w:rFonts w:ascii="Times New Roman" w:cs="Times New Roman" w:eastAsia="Times New Roman" w:hAnsi="Times New Roman"/>
          <w:sz w:val="14"/>
          <w:szCs w:val="14"/>
          <w:color w:val="EE2724"/>
        </w:rPr>
        <w:t>.</w:t>
      </w:r>
    </w:p>
    <w:p>
      <w:pPr>
        <w:spacing w:after="0" w:line="56" w:lineRule="exact"/>
        <w:rPr>
          <w:sz w:val="20"/>
          <w:szCs w:val="20"/>
          <w:color w:val="auto"/>
        </w:rPr>
      </w:pPr>
    </w:p>
    <w:p>
      <w:pPr>
        <w:ind w:right="1780" w:firstLine="382"/>
        <w:spacing w:after="0" w:line="411" w:lineRule="auto"/>
        <w:rPr>
          <w:sz w:val="20"/>
          <w:szCs w:val="20"/>
          <w:color w:val="auto"/>
        </w:rPr>
      </w:pPr>
      <w:r>
        <w:rPr>
          <w:rFonts w:ascii="Times New Roman" w:cs="Times New Roman" w:eastAsia="Times New Roman" w:hAnsi="Times New Roman"/>
          <w:sz w:val="14"/>
          <w:szCs w:val="14"/>
          <w:color w:val="auto"/>
        </w:rPr>
        <w:t xml:space="preserve">The Company recorded $21.3 million as accrued expenses as of June 30, 2024 that was primarily driven by co-development and co-commercialization activities. </w:t>
      </w:r>
      <w:r>
        <w:rPr>
          <w:rFonts w:ascii="Times New Roman" w:cs="Times New Roman" w:eastAsia="Times New Roman" w:hAnsi="Times New Roman"/>
          <w:sz w:val="14"/>
          <w:szCs w:val="14"/>
          <w:b w:val="1"/>
          <w:bCs w:val="1"/>
          <w:i w:val="1"/>
          <w:iCs w:val="1"/>
          <w:color w:val="auto"/>
        </w:rPr>
        <w:t>Janssen Pharmaceuticals, Inc. (“Janssen”)</w:t>
      </w: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April 7, 2023, Janssen voluntarily terminated its collaboration agreement with the Company and the Company regained full rights to ARO-PNPLA3, formerly called JNJ-75220795. ARO-PNPLA3 is in Phase 1 clinical trials, which are now being developed by the Company.</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Further, on December 11, 2023, the Company entered into the GSK-HBV Agreement, as discussed above, pursuant to which GSK received an exclusive license for daplusiran/tomligisiran (GSK5637608, formerly JNJ-3989). Daplusiran/tomligisiran had previously been licensed to Janssen in October 2018.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Amgen Inc. (“Amgen”)</w:t>
      </w:r>
    </w:p>
    <w:p>
      <w:pPr>
        <w:spacing w:after="0" w:line="8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September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Under the Olpasiran Agreement, the Company has received $35.0 million in upfront payments and $21.5 million in the form of an equity investment by Amgen in the Company’s common</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stock. Further, the Company received an additional $55.0 million in milestone payments; $10.0 million upon Amgen’s initiation of a Phase 1 study in September 2018, $20.0 million upon its initiation of a Phase 2 clinical study in July 2020, and $25.0 million upon its first subject enrollment in a Phase 3 trial in December 2022. The Company has substantially completed its performance obligations under the Olpasiran Agreement. There were no contract assets and liabilities recorded as of June 30, 2024.</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November 2022, Royalty Pharma Investments 2019 ICAV (“Royalty Pharma”) and the Company entered into a Royalty Purchase Agreement with Royalty Pharma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$485.0 million in remaining development, regulatory and sales milestone payments payable from Amgen and Royalty Pharma. See Note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11.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Visirna Therapeutics, Inc. (“Visirna”)</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April 2022, the Company and Visirna, its subsidiary, entered into a License Agreement (the “Visirna License Agreement”), pursuant to which Visirna received an exclusive license to develop, manufacture and commercialize four of the Company’s RNAi-based investigational cardiometabolic medicines in Greater China (including the People’s Republic of China, Hong Kong, Macau and Taiwan).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also performs manufacturing and development work pursuant to a Clinical Supply Agreement between the parties contemplated by the Visirna License Agreement. The Company received $0.1 million and $0.9 million as consideration for this manufacturing and development work for the nine months ended June 30, 2024 and 2023, respectively. There were no contract assets and liabilities recorded as of June 30,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NOTE 3. BALANCE SHEET ACCOUNTS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Company’s major classes of property, plant and equipment: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60"/>
        </w:trPr>
        <w:tc>
          <w:tcPr>
            <w:tcW w:w="7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20" w:type="dxa"/>
            <w:vAlign w:val="bottom"/>
          </w:tcPr>
          <w:p>
            <w:pPr>
              <w:spacing w:after="0"/>
              <w:rPr>
                <w:sz w:val="13"/>
                <w:szCs w:val="13"/>
                <w:color w:val="auto"/>
              </w:rPr>
            </w:pPr>
          </w:p>
        </w:tc>
      </w:tr>
      <w:tr>
        <w:trPr>
          <w:trHeight w:val="18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2,996</w:t>
            </w:r>
          </w:p>
        </w:tc>
      </w:tr>
      <w:tr>
        <w:trPr>
          <w:trHeight w:val="16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3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75,868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7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equipment</w:t>
            </w:r>
          </w:p>
        </w:tc>
        <w:tc>
          <w:tcPr>
            <w:tcW w:w="3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64,207</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56,509</w:t>
            </w:r>
          </w:p>
        </w:tc>
      </w:tr>
      <w:tr>
        <w:trPr>
          <w:trHeight w:val="16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w:t>
            </w:r>
          </w:p>
        </w:tc>
        <w:tc>
          <w:tcPr>
            <w:tcW w:w="3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w:t>
            </w:r>
          </w:p>
        </w:tc>
      </w:tr>
      <w:tr>
        <w:trPr>
          <w:trHeight w:val="26"/>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7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Computers and software</w:t>
            </w:r>
          </w:p>
        </w:tc>
        <w:tc>
          <w:tcPr>
            <w:tcW w:w="3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r>
      <w:tr>
        <w:trPr>
          <w:trHeight w:val="16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3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104,396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103,813</w:t>
            </w:r>
          </w:p>
        </w:tc>
      </w:tr>
      <w:tr>
        <w:trPr>
          <w:trHeight w:val="26"/>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175,778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166,655</w:t>
            </w:r>
          </w:p>
        </w:tc>
      </w:tr>
      <w:tr>
        <w:trPr>
          <w:trHeight w:val="156"/>
        </w:trPr>
        <w:tc>
          <w:tcPr>
            <w:tcW w:w="74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429,814</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332,213</w:t>
            </w:r>
          </w:p>
        </w:tc>
      </w:tr>
      <w:tr>
        <w:trPr>
          <w:trHeight w:val="26"/>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(53,903)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(41,951)</w:t>
            </w:r>
          </w:p>
        </w:tc>
      </w:tr>
      <w:tr>
        <w:trPr>
          <w:trHeight w:val="156"/>
        </w:trPr>
        <w:tc>
          <w:tcPr>
            <w:tcW w:w="7480" w:type="dxa"/>
            <w:vAlign w:val="bottom"/>
          </w:tcPr>
          <w:p>
            <w:pPr>
              <w:ind w:left="280"/>
              <w:spacing w:after="0" w:line="146"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375,911</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290,262</w:t>
            </w:r>
          </w:p>
        </w:tc>
      </w:tr>
      <w:tr>
        <w:trPr>
          <w:trHeight w:val="26"/>
        </w:trPr>
        <w:tc>
          <w:tcPr>
            <w:tcW w:w="7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for property, plant and equipment for the three months ended June 30, 2024 and 2023 was $4.4 million and $2.9 million, respectively. Depreciation and amortization expense for property and equipment for the nine months ended June 30, 2024 and 2023 was $12.3 million and $7.4 million, respectively.</w:t>
      </w:r>
    </w:p>
    <w:p>
      <w:pPr>
        <w:spacing w:after="0" w:line="3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During the first quarter of fiscal 2024, the Company completed the build out of one of its laboratory and office facilities in Verona, Wisconsin, which resulted in the reclassification of $75.9 million from construction in progress to building as of June 30, 2024. Further, the Company commenced depreciation on the newly completed facility over a 39-year period.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42424"/>
        </w:rPr>
        <w:t>Accrued expenses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242424"/>
              </w:rPr>
              <w:t>June 30, 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242424"/>
              </w:rPr>
              <w:t>September 30, 2023</w:t>
            </w:r>
          </w:p>
        </w:tc>
      </w:tr>
      <w:tr>
        <w:trPr>
          <w:trHeight w:val="160"/>
        </w:trPr>
        <w:tc>
          <w:tcPr>
            <w:tcW w:w="7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242424"/>
              </w:rPr>
              <w:t>(in thousands)</w:t>
            </w:r>
          </w:p>
        </w:tc>
        <w:tc>
          <w:tcPr>
            <w:tcW w:w="1320" w:type="dxa"/>
            <w:vAlign w:val="bottom"/>
          </w:tcPr>
          <w:p>
            <w:pPr>
              <w:spacing w:after="0"/>
              <w:rPr>
                <w:sz w:val="13"/>
                <w:szCs w:val="13"/>
                <w:color w:val="auto"/>
              </w:rPr>
            </w:pPr>
          </w:p>
        </w:tc>
      </w:tr>
      <w:tr>
        <w:trPr>
          <w:trHeight w:val="18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242424"/>
              </w:rPr>
              <w:t>Accrued R&amp;D expenses</w:t>
            </w:r>
          </w:p>
        </w:tc>
        <w:tc>
          <w:tcPr>
            <w:tcW w:w="120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242424"/>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16,125</w:t>
            </w:r>
          </w:p>
        </w:tc>
      </w:tr>
      <w:tr>
        <w:trPr>
          <w:trHeight w:val="16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242424"/>
              </w:rPr>
              <w:t>Accrued R&amp;D expenses; co-development</w:t>
            </w:r>
          </w:p>
        </w:tc>
        <w:tc>
          <w:tcPr>
            <w:tcW w:w="1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5,895</w:t>
            </w:r>
          </w:p>
        </w:tc>
      </w:tr>
      <w:tr>
        <w:trPr>
          <w:trHeight w:val="26"/>
        </w:trPr>
        <w:tc>
          <w:tcPr>
            <w:tcW w:w="7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7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242424"/>
              </w:rPr>
              <w:t>Accrued capital expenditures</w:t>
            </w:r>
          </w:p>
        </w:tc>
        <w:tc>
          <w:tcPr>
            <w:tcW w:w="1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6,909</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14,044</w:t>
            </w:r>
          </w:p>
        </w:tc>
      </w:tr>
      <w:tr>
        <w:trPr>
          <w:trHeight w:val="16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242424"/>
              </w:rPr>
              <w:t>Other</w:t>
            </w:r>
          </w:p>
        </w:tc>
        <w:tc>
          <w:tcPr>
            <w:tcW w:w="1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3,699</w:t>
            </w:r>
          </w:p>
        </w:tc>
      </w:tr>
      <w:tr>
        <w:trPr>
          <w:trHeight w:val="26"/>
        </w:trPr>
        <w:tc>
          <w:tcPr>
            <w:tcW w:w="74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7"/>
        </w:trPr>
        <w:tc>
          <w:tcPr>
            <w:tcW w:w="7480" w:type="dxa"/>
            <w:vAlign w:val="bottom"/>
            <w:tcBorders>
              <w:bottom w:val="single" w:sz="8" w:color="CCEEFF"/>
            </w:tcBorders>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242424"/>
              </w:rPr>
              <w:t>Total accrued expenses</w:t>
            </w:r>
          </w:p>
        </w:tc>
        <w:tc>
          <w:tcPr>
            <w:tcW w:w="120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47,899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242424"/>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39,763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NOTE 4. INVESTMENTS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investments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As of June 30, 2024</w:t>
            </w: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1"/>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242"/>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Adjusted Basis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30"/>
        </w:trPr>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97"/>
        </w:trPr>
        <w:tc>
          <w:tcPr>
            <w:tcW w:w="5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8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367,862</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gridSpan w:val="2"/>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gridSpan w:val="2"/>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(598)</w:t>
            </w:r>
          </w:p>
        </w:tc>
        <w:tc>
          <w:tcPr>
            <w:tcW w:w="180" w:type="dxa"/>
            <w:vAlign w:val="bottom"/>
            <w:gridSpan w:val="2"/>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367,272</w:t>
            </w:r>
          </w:p>
        </w:tc>
        <w:tc>
          <w:tcPr>
            <w:tcW w:w="40" w:type="dxa"/>
            <w:vAlign w:val="bottom"/>
            <w:tcBorders>
              <w:bottom w:val="single" w:sz="8" w:color="auto"/>
            </w:tcBorders>
            <w:shd w:val="clear" w:color="auto" w:fill="CCEEFF"/>
          </w:tcPr>
          <w:p>
            <w:pPr>
              <w:spacing w:after="0"/>
              <w:rPr>
                <w:sz w:val="15"/>
                <w:szCs w:val="15"/>
                <w:color w:val="auto"/>
              </w:rPr>
            </w:pPr>
          </w:p>
        </w:tc>
      </w:tr>
      <w:tr>
        <w:trPr>
          <w:trHeight w:val="189"/>
        </w:trPr>
        <w:tc>
          <w:tcPr>
            <w:tcW w:w="5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current investments</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367,862</w:t>
            </w:r>
          </w:p>
        </w:tc>
        <w:tc>
          <w:tcPr>
            <w:tcW w:w="20" w:type="dxa"/>
            <w:vAlign w:val="bottom"/>
            <w:tcBorders>
              <w:bottom w:val="single" w:sz="8" w:color="auto"/>
            </w:tcBorders>
          </w:tcPr>
          <w:p>
            <w:pPr>
              <w:spacing w:after="0"/>
              <w:rPr>
                <w:sz w:val="16"/>
                <w:szCs w:val="16"/>
                <w:color w:val="auto"/>
              </w:rPr>
            </w:pPr>
          </w:p>
        </w:tc>
        <w:tc>
          <w:tcPr>
            <w:tcW w:w="180" w:type="dxa"/>
            <w:vAlign w:val="bottom"/>
            <w:gridSpan w:val="2"/>
          </w:tcPr>
          <w:p>
            <w:pPr>
              <w:spacing w:after="0"/>
              <w:rPr>
                <w:sz w:val="16"/>
                <w:szCs w:val="16"/>
                <w:color w:val="auto"/>
              </w:rPr>
            </w:pPr>
          </w:p>
        </w:tc>
        <w:tc>
          <w:tcPr>
            <w:tcW w:w="112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bottom w:val="single" w:sz="8" w:color="auto"/>
            </w:tcBorders>
          </w:tcPr>
          <w:p>
            <w:pPr>
              <w:spacing w:after="0"/>
              <w:rPr>
                <w:sz w:val="16"/>
                <w:szCs w:val="16"/>
                <w:color w:val="auto"/>
              </w:rPr>
            </w:pPr>
          </w:p>
        </w:tc>
        <w:tc>
          <w:tcPr>
            <w:tcW w:w="180" w:type="dxa"/>
            <w:vAlign w:val="bottom"/>
            <w:gridSpan w:val="2"/>
          </w:tcPr>
          <w:p>
            <w:pPr>
              <w:spacing w:after="0"/>
              <w:rPr>
                <w:sz w:val="16"/>
                <w:szCs w:val="16"/>
                <w:color w:val="auto"/>
              </w:rPr>
            </w:pPr>
          </w:p>
        </w:tc>
        <w:tc>
          <w:tcPr>
            <w:tcW w:w="5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(598)</w:t>
            </w:r>
          </w:p>
        </w:tc>
        <w:tc>
          <w:tcPr>
            <w:tcW w:w="180" w:type="dxa"/>
            <w:vAlign w:val="bottom"/>
            <w:gridSpan w:val="2"/>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367,272</w:t>
            </w:r>
          </w:p>
        </w:tc>
        <w:tc>
          <w:tcPr>
            <w:tcW w:w="40" w:type="dxa"/>
            <w:vAlign w:val="bottom"/>
            <w:tcBorders>
              <w:bottom w:val="single" w:sz="8" w:color="auto"/>
            </w:tcBorders>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04"/>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As of September 30, 2023</w:t>
            </w: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1"/>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gridSpan w:val="6"/>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Adjusted Basis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30"/>
        </w:trPr>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97"/>
        </w:trPr>
        <w:tc>
          <w:tcPr>
            <w:tcW w:w="5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8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295,699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02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292,735</w:t>
            </w:r>
          </w:p>
        </w:tc>
        <w:tc>
          <w:tcPr>
            <w:tcW w:w="40" w:type="dxa"/>
            <w:vAlign w:val="bottom"/>
          </w:tcPr>
          <w:p>
            <w:pPr>
              <w:spacing w:after="0"/>
              <w:rPr>
                <w:sz w:val="15"/>
                <w:szCs w:val="15"/>
                <w:color w:val="auto"/>
              </w:rPr>
            </w:pPr>
          </w:p>
        </w:tc>
      </w:tr>
      <w:tr>
        <w:trPr>
          <w:trHeight w:val="189"/>
        </w:trPr>
        <w:tc>
          <w:tcPr>
            <w:tcW w:w="5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current investments</w:t>
            </w:r>
          </w:p>
        </w:tc>
        <w:tc>
          <w:tcPr>
            <w:tcW w:w="200" w:type="dxa"/>
            <w:vAlign w:val="bottom"/>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295,699</w:t>
            </w:r>
          </w:p>
        </w:tc>
        <w:tc>
          <w:tcPr>
            <w:tcW w:w="20" w:type="dxa"/>
            <w:vAlign w:val="bottom"/>
          </w:tcPr>
          <w:p>
            <w:pPr>
              <w:spacing w:after="0"/>
              <w:rPr>
                <w:sz w:val="16"/>
                <w:szCs w:val="16"/>
                <w:color w:val="auto"/>
              </w:rPr>
            </w:pPr>
          </w:p>
        </w:tc>
        <w:tc>
          <w:tcPr>
            <w:tcW w:w="1300" w:type="dxa"/>
            <w:vAlign w:val="bottom"/>
            <w:gridSpan w:val="3"/>
          </w:tcPr>
          <w:p>
            <w:pPr>
              <w:jc w:val="right"/>
              <w:ind w:right="1022"/>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6"/>
                <w:szCs w:val="16"/>
                <w:color w:val="auto"/>
              </w:rPr>
            </w:pP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(2,967)</w:t>
            </w:r>
          </w:p>
        </w:tc>
        <w:tc>
          <w:tcPr>
            <w:tcW w:w="40" w:type="dxa"/>
            <w:vAlign w:val="bottom"/>
          </w:tcPr>
          <w:p>
            <w:pPr>
              <w:spacing w:after="0"/>
              <w:rPr>
                <w:sz w:val="16"/>
                <w:szCs w:val="16"/>
                <w:color w:val="auto"/>
              </w:rPr>
            </w:pPr>
          </w:p>
        </w:tc>
        <w:tc>
          <w:tcPr>
            <w:tcW w:w="40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292,735</w:t>
            </w:r>
          </w:p>
        </w:tc>
        <w:tc>
          <w:tcPr>
            <w:tcW w:w="40" w:type="dxa"/>
            <w:vAlign w:val="bottom"/>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has determined that the available-for-sale securities that were in an unrealized loss position did not have any credit loss impairment as of June 30, 2024 and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NOTE 5. INTANGIBLE ASSETS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Intangible assets subject to amortization include patents and a license agreement capitalized as part of the Novartis RNAi asset acquisition in March 2015. The following table presents the components of intangible assets: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tcPr>
          <w:p>
            <w:pPr>
              <w:spacing w:after="0"/>
              <w:rPr>
                <w:sz w:val="12"/>
                <w:szCs w:val="12"/>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Impairment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1380" w:type="dxa"/>
            <w:vAlign w:val="bottom"/>
          </w:tcPr>
          <w:p>
            <w:pPr>
              <w:jc w:val="center"/>
              <w:ind w:left="159"/>
              <w:spacing w:after="0"/>
              <w:rPr>
                <w:sz w:val="20"/>
                <w:szCs w:val="20"/>
                <w:color w:val="auto"/>
              </w:rPr>
            </w:pPr>
            <w:r>
              <w:rPr>
                <w:rFonts w:ascii="Times New Roman" w:cs="Times New Roman" w:eastAsia="Times New Roman" w:hAnsi="Times New Roman"/>
                <w:sz w:val="11"/>
                <w:szCs w:val="11"/>
                <w:b w:val="1"/>
                <w:bCs w:val="1"/>
                <w:color w:val="auto"/>
              </w:rPr>
              <w:t>Useful Lives</w:t>
            </w:r>
          </w:p>
        </w:tc>
      </w:tr>
      <w:tr>
        <w:trPr>
          <w:trHeight w:val="30"/>
        </w:trPr>
        <w:tc>
          <w:tcPr>
            <w:tcW w:w="2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1"/>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3"/>
          </w:tcPr>
          <w:p>
            <w:pPr>
              <w:jc w:val="right"/>
              <w:ind w:right="93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tcPr>
          <w:p>
            <w:pPr>
              <w:jc w:val="center"/>
              <w:ind w:left="139"/>
              <w:spacing w:after="0"/>
              <w:rPr>
                <w:sz w:val="20"/>
                <w:szCs w:val="20"/>
                <w:color w:val="auto"/>
              </w:rPr>
            </w:pPr>
            <w:r>
              <w:rPr>
                <w:rFonts w:ascii="Times New Roman" w:cs="Times New Roman" w:eastAsia="Times New Roman" w:hAnsi="Times New Roman"/>
                <w:sz w:val="11"/>
                <w:szCs w:val="11"/>
                <w:b w:val="1"/>
                <w:bCs w:val="1"/>
                <w:color w:val="auto"/>
              </w:rPr>
              <w:t>(in years)</w:t>
            </w:r>
          </w:p>
        </w:tc>
      </w:tr>
      <w:tr>
        <w:trPr>
          <w:trHeight w:val="30"/>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3"/>
        </w:trPr>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14,485</w:t>
            </w:r>
          </w:p>
        </w:tc>
        <w:tc>
          <w:tcPr>
            <w:tcW w:w="200" w:type="dxa"/>
            <w:vAlign w:val="bottom"/>
          </w:tcPr>
          <w:p>
            <w:pPr>
              <w:spacing w:after="0"/>
              <w:rPr>
                <w:sz w:val="15"/>
                <w:szCs w:val="15"/>
                <w:color w:val="auto"/>
              </w:rPr>
            </w:pPr>
          </w:p>
        </w:tc>
        <w:tc>
          <w:tcPr>
            <w:tcW w:w="1260" w:type="dxa"/>
            <w:vAlign w:val="bottom"/>
          </w:tcPr>
          <w:p>
            <w:pPr>
              <w:jc w:val="right"/>
              <w:ind w:right="111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7,243</w:t>
            </w:r>
          </w:p>
        </w:tc>
        <w:tc>
          <w:tcPr>
            <w:tcW w:w="13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auto"/>
                <w:w w:val="91"/>
              </w:rPr>
              <w:t>14</w:t>
            </w:r>
          </w:p>
        </w:tc>
      </w:tr>
      <w:tr>
        <w:trPr>
          <w:trHeight w:val="191"/>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2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138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3"/>
                <w:szCs w:val="13"/>
                <w:color w:val="auto"/>
                <w:w w:val="91"/>
              </w:rPr>
              <w:t>21</w:t>
            </w:r>
          </w:p>
        </w:tc>
      </w:tr>
      <w:tr>
        <w:trPr>
          <w:trHeight w:val="189"/>
        </w:trPr>
        <w:tc>
          <w:tcPr>
            <w:tcW w:w="29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intangible assets,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15,870</w:t>
            </w:r>
          </w:p>
        </w:tc>
        <w:tc>
          <w:tcPr>
            <w:tcW w:w="200" w:type="dxa"/>
            <w:vAlign w:val="bottom"/>
          </w:tcPr>
          <w:p>
            <w:pPr>
              <w:spacing w:after="0"/>
              <w:rPr>
                <w:sz w:val="16"/>
                <w:szCs w:val="16"/>
                <w:color w:val="auto"/>
              </w:rPr>
            </w:pPr>
          </w:p>
        </w:tc>
        <w:tc>
          <w:tcPr>
            <w:tcW w:w="1260" w:type="dxa"/>
            <w:vAlign w:val="bottom"/>
          </w:tcPr>
          <w:p>
            <w:pPr>
              <w:jc w:val="right"/>
              <w:ind w:right="111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8,987</w:t>
            </w:r>
          </w:p>
        </w:tc>
        <w:tc>
          <w:tcPr>
            <w:tcW w:w="1380" w:type="dxa"/>
            <w:vAlign w:val="bottom"/>
          </w:tcPr>
          <w:p>
            <w:pPr>
              <w:spacing w:after="0"/>
              <w:rPr>
                <w:sz w:val="16"/>
                <w:szCs w:val="16"/>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3"/>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September 30, 2023</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3"/>
        </w:trPr>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13,321</w:t>
            </w:r>
          </w:p>
        </w:tc>
        <w:tc>
          <w:tcPr>
            <w:tcW w:w="200" w:type="dxa"/>
            <w:vAlign w:val="bottom"/>
          </w:tcPr>
          <w:p>
            <w:pPr>
              <w:spacing w:after="0"/>
              <w:rPr>
                <w:sz w:val="15"/>
                <w:szCs w:val="15"/>
                <w:color w:val="auto"/>
              </w:rPr>
            </w:pPr>
          </w:p>
        </w:tc>
        <w:tc>
          <w:tcPr>
            <w:tcW w:w="1260" w:type="dxa"/>
            <w:vAlign w:val="bottom"/>
          </w:tcPr>
          <w:p>
            <w:pPr>
              <w:jc w:val="right"/>
              <w:ind w:right="111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8,407</w:t>
            </w:r>
          </w:p>
        </w:tc>
        <w:tc>
          <w:tcPr>
            <w:tcW w:w="13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auto"/>
                <w:w w:val="91"/>
              </w:rPr>
              <w:t>14</w:t>
            </w:r>
          </w:p>
        </w:tc>
      </w:tr>
      <w:tr>
        <w:trPr>
          <w:trHeight w:val="191"/>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2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138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3"/>
                <w:szCs w:val="13"/>
                <w:color w:val="auto"/>
                <w:w w:val="91"/>
              </w:rPr>
              <w:t>21</w:t>
            </w:r>
          </w:p>
        </w:tc>
      </w:tr>
      <w:tr>
        <w:trPr>
          <w:trHeight w:val="189"/>
        </w:trPr>
        <w:tc>
          <w:tcPr>
            <w:tcW w:w="29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intangible assets,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14,595</w:t>
            </w:r>
          </w:p>
        </w:tc>
        <w:tc>
          <w:tcPr>
            <w:tcW w:w="200" w:type="dxa"/>
            <w:vAlign w:val="bottom"/>
          </w:tcPr>
          <w:p>
            <w:pPr>
              <w:spacing w:after="0"/>
              <w:rPr>
                <w:sz w:val="16"/>
                <w:szCs w:val="16"/>
                <w:color w:val="auto"/>
              </w:rPr>
            </w:pPr>
          </w:p>
        </w:tc>
        <w:tc>
          <w:tcPr>
            <w:tcW w:w="1260" w:type="dxa"/>
            <w:vAlign w:val="bottom"/>
          </w:tcPr>
          <w:p>
            <w:pPr>
              <w:jc w:val="right"/>
              <w:ind w:right="111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10,262</w:t>
            </w:r>
          </w:p>
        </w:tc>
        <w:tc>
          <w:tcPr>
            <w:tcW w:w="1380" w:type="dxa"/>
            <w:vAlign w:val="bottom"/>
          </w:tcPr>
          <w:p>
            <w:pPr>
              <w:spacing w:after="0"/>
              <w:rPr>
                <w:sz w:val="16"/>
                <w:szCs w:val="16"/>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Intangible assets are reviewed annually for impairment and more frequently if potential impairment indicators exist. No impairment indicators were identified during the nine months ended June 30, 2024 and 2023.</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Intangible assets with definite useful lives are amortized on a straight-line basis over their useful lives. Intangible assets amortization expense was $0.4 million for the three months ended June 30, 2024 and 2023, and $1.3 million for the nine months ended June 30, 2024 and 2023. None of the intangible assets with definite useful lives are anticipated to have a residual value.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estimated future amortization expense related to intangible assets as of June 30, 2024:</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jc w:val="right"/>
              <w:ind w:right="758"/>
              <w:spacing w:after="0"/>
              <w:rPr>
                <w:sz w:val="20"/>
                <w:szCs w:val="20"/>
                <w:color w:val="auto"/>
              </w:rPr>
            </w:pPr>
            <w:r>
              <w:rPr>
                <w:rFonts w:ascii="Times New Roman" w:cs="Times New Roman" w:eastAsia="Times New Roman" w:hAnsi="Times New Roman"/>
                <w:sz w:val="11"/>
                <w:szCs w:val="11"/>
                <w:b w:val="1"/>
                <w:bCs w:val="1"/>
                <w:color w:val="auto"/>
              </w:rPr>
              <w:t>Amortization Expense</w:t>
            </w:r>
          </w:p>
        </w:tc>
        <w:tc>
          <w:tcPr>
            <w:tcW w:w="0" w:type="dxa"/>
            <w:vAlign w:val="bottom"/>
          </w:tcPr>
          <w:p>
            <w:pPr>
              <w:spacing w:after="0"/>
              <w:rPr>
                <w:sz w:val="1"/>
                <w:szCs w:val="1"/>
                <w:color w:val="auto"/>
              </w:rPr>
            </w:pPr>
          </w:p>
        </w:tc>
      </w:tr>
      <w:tr>
        <w:trPr>
          <w:trHeight w:val="30"/>
        </w:trPr>
        <w:tc>
          <w:tcPr>
            <w:tcW w:w="80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 Ending September 30,</w:t>
            </w: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jc w:val="right"/>
              <w:ind w:right="95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30"/>
        </w:trPr>
        <w:tc>
          <w:tcPr>
            <w:tcW w:w="8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 (remainder)</w:t>
            </w: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83"/>
        </w:trPr>
        <w:tc>
          <w:tcPr>
            <w:tcW w:w="806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44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440" w:type="dxa"/>
            <w:vAlign w:val="bottom"/>
            <w:shd w:val="clear" w:color="auto" w:fill="CCEEFF"/>
          </w:tcPr>
          <w:p>
            <w:pPr>
              <w:spacing w:after="0"/>
              <w:rPr>
                <w:sz w:val="17"/>
                <w:szCs w:val="17"/>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0" w:type="dxa"/>
            <w:vAlign w:val="bottom"/>
          </w:tcPr>
          <w:p>
            <w:pPr>
              <w:spacing w:after="0"/>
              <w:rPr>
                <w:sz w:val="1"/>
                <w:szCs w:val="1"/>
                <w:color w:val="auto"/>
              </w:rPr>
            </w:pPr>
          </w:p>
        </w:tc>
      </w:tr>
      <w:tr>
        <w:trPr>
          <w:trHeight w:val="183"/>
        </w:trPr>
        <w:tc>
          <w:tcPr>
            <w:tcW w:w="806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44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440" w:type="dxa"/>
            <w:vAlign w:val="bottom"/>
            <w:shd w:val="clear" w:color="auto" w:fill="CCEEFF"/>
          </w:tcPr>
          <w:p>
            <w:pPr>
              <w:spacing w:after="0"/>
              <w:rPr>
                <w:sz w:val="17"/>
                <w:szCs w:val="17"/>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1,762</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NOTE 6. STOCKHOLDERS’ EQUITY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Company’s shares of common stock and preferred stock:</w:t>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jc w:val="center"/>
              <w:ind w:right="47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vMerge w:val="restart"/>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100" w:type="dxa"/>
            <w:vAlign w:val="bottom"/>
          </w:tcPr>
          <w:p>
            <w:pPr>
              <w:jc w:val="right"/>
              <w:ind w:right="838"/>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860" w:type="dxa"/>
            <w:vAlign w:val="bottom"/>
          </w:tcPr>
          <w:p>
            <w:pPr>
              <w:jc w:val="center"/>
              <w:ind w:right="479"/>
              <w:spacing w:after="0"/>
              <w:rPr>
                <w:sz w:val="20"/>
                <w:szCs w:val="20"/>
                <w:color w:val="auto"/>
              </w:rPr>
            </w:pPr>
            <w:r>
              <w:rPr>
                <w:rFonts w:ascii="Times New Roman" w:cs="Times New Roman" w:eastAsia="Times New Roman" w:hAnsi="Times New Roman"/>
                <w:sz w:val="11"/>
                <w:szCs w:val="11"/>
                <w:b w:val="1"/>
                <w:bCs w:val="1"/>
                <w:color w:val="auto"/>
              </w:rPr>
              <w:t>Issued</w:t>
            </w:r>
          </w:p>
        </w:tc>
        <w:tc>
          <w:tcPr>
            <w:tcW w:w="154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30"/>
        </w:trPr>
        <w:tc>
          <w:tcPr>
            <w:tcW w:w="3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jc w:val="center"/>
              <w:ind w:right="47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0.001</w:t>
            </w:r>
          </w:p>
        </w:tc>
        <w:tc>
          <w:tcPr>
            <w:tcW w:w="21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290,000</w:t>
            </w:r>
          </w:p>
        </w:tc>
        <w:tc>
          <w:tcPr>
            <w:tcW w:w="18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rPr>
              <w:t>124,227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124,227</w:t>
            </w:r>
          </w:p>
        </w:tc>
        <w:tc>
          <w:tcPr>
            <w:tcW w:w="0" w:type="dxa"/>
            <w:vAlign w:val="bottom"/>
          </w:tcPr>
          <w:p>
            <w:pPr>
              <w:spacing w:after="0"/>
              <w:rPr>
                <w:sz w:val="1"/>
                <w:szCs w:val="1"/>
                <w:color w:val="auto"/>
              </w:rPr>
            </w:pPr>
          </w:p>
        </w:tc>
      </w:tr>
      <w:tr>
        <w:trPr>
          <w:trHeight w:val="176"/>
        </w:trPr>
        <w:tc>
          <w:tcPr>
            <w:tcW w:w="3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Preferred stock</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0.001</w:t>
            </w:r>
          </w:p>
        </w:tc>
        <w:tc>
          <w:tcPr>
            <w:tcW w:w="210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5,000</w:t>
            </w:r>
          </w:p>
        </w:tc>
        <w:tc>
          <w:tcPr>
            <w:tcW w:w="186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3"/>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of September 30, 2023</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0.001</w:t>
            </w:r>
          </w:p>
        </w:tc>
        <w:tc>
          <w:tcPr>
            <w:tcW w:w="21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290,000</w:t>
            </w:r>
          </w:p>
        </w:tc>
        <w:tc>
          <w:tcPr>
            <w:tcW w:w="18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rPr>
              <w:t>107,312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107,312</w:t>
            </w:r>
          </w:p>
        </w:tc>
        <w:tc>
          <w:tcPr>
            <w:tcW w:w="0" w:type="dxa"/>
            <w:vAlign w:val="bottom"/>
          </w:tcPr>
          <w:p>
            <w:pPr>
              <w:spacing w:after="0"/>
              <w:rPr>
                <w:sz w:val="1"/>
                <w:szCs w:val="1"/>
                <w:color w:val="auto"/>
              </w:rPr>
            </w:pPr>
          </w:p>
        </w:tc>
      </w:tr>
      <w:tr>
        <w:trPr>
          <w:trHeight w:val="176"/>
        </w:trPr>
        <w:tc>
          <w:tcPr>
            <w:tcW w:w="3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Preferred stock</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0.001</w:t>
            </w:r>
          </w:p>
        </w:tc>
        <w:tc>
          <w:tcPr>
            <w:tcW w:w="210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5,000</w:t>
            </w:r>
          </w:p>
        </w:tc>
        <w:tc>
          <w:tcPr>
            <w:tcW w:w="186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June 30, 2024 and September 30, 2023, respectively, 11,608,148 and 12,709,837 shares of common stock were reserved for issuance upon exercise of options and vesting of restricted stock units granted or available for grant under the Company’s 2013 and 2021 Incentive Plans, as well as for other inducement grants made to new employees under Rule 5635(c)(4) of the Nasdaq Listing Rules.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January 2, 2024, the Company entered into an underwriting agreement with Jefferies LLC, BofA Securities, Inc., and Cowen and Company, LLC, as representatives of the several underwriters. The Company issued 15,790,000 shares of common stock at an offering price of $28.50 per share. The aggregate purchase price paid by investors was $450.0 million and the Company received net proceeds of $429.3 million after deducting advisory fees and offering expenses.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Open Market Sale Agreement and (ii) the termination of the Open Market Sale Agreement as permitted therein. The Company and Jefferies may each terminate the Open Market Sale Agreement at any time upon prior notice. As of June 30, 2024, no shares have been issued under the Open Market Sale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June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owns land in the Verona Technology Park in Verona, Wisconsin, which is being developed into an approximately 160,000 square foot drug manufacturing facility and an approximately 140,000 square foot laboratory and office facility which will support the Company’s manufacturing process development and analytical activities. During the first quarter of fiscal 2024, the Company completed the build out of one of its laboratory and office facilities.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June 30, 2024, the Company has incurred $266.0 million and intends to spend an additional $18.0 million to $32.0 million to complete the build out of the facilities.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LEASES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u w:val="single" w:color="auto"/>
          <w:color w:val="auto"/>
        </w:rPr>
        <w:t>Pasadena, California</w:t>
      </w:r>
      <w:r>
        <w:rPr>
          <w:rFonts w:ascii="Times New Roman" w:cs="Times New Roman" w:eastAsia="Times New Roman" w:hAnsi="Times New Roman"/>
          <w:sz w:val="14"/>
          <w:szCs w:val="14"/>
          <w:color w:val="auto"/>
        </w:rPr>
        <w:t>: The Company leases 49,000 square feet of office space located at 177 East Colorado Blvd. for its corporate headquarters from 177 Colorado Owner, LLC, which lease expires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April 30, 2027. The lease contains an option to renew for one additional five-year term. The Company is not reasonably certain that it will exercise this option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renew and therefore it is not included in right-of-use assets and liabilities as of June 30, 2024.</w:t>
      </w:r>
    </w:p>
    <w:p>
      <w:pPr>
        <w:spacing w:after="0" w:line="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u w:val="single" w:color="auto"/>
          <w:color w:val="auto"/>
        </w:rPr>
        <w:t>San Diego, California</w:t>
      </w:r>
      <w:r>
        <w:rPr>
          <w:rFonts w:ascii="Times New Roman" w:cs="Times New Roman" w:eastAsia="Times New Roman" w:hAnsi="Times New Roman"/>
          <w:sz w:val="14"/>
          <w:szCs w:val="14"/>
          <w:color w:val="auto"/>
        </w:rPr>
        <w:t>: The Company leases 144,000 square feet of office and research and development laboratory space located at 10102 Hoyt Park from 11404 &amp; 11408 Sorrento Valley Owner,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LLC, which lease expires on April 30, 2038. Pursuant to the lease, within twelve months of the expiration of the initial 15-year term, the Company has the option to extend the lease for up to one additional ten-year term, with certain annual increases in base rent. The Company is not reasonably certain that it will exercise this option to renew and therefore it is not included in right-of-use assets and liabilities as of June 30, 2024.</w:t>
      </w:r>
    </w:p>
    <w:p>
      <w:pPr>
        <w:spacing w:after="0" w:line="5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lease agreement grants the Company the right to receive an Additional Tenant Improvement Allowance (“ATIA”) funded by the lessor, with a maximum amount of $7.2 million, subject to a 7% interest per annum over the base term. Further, on September 25, 2023, the Company executed the first amendment to the lease, which grants a second ATIA with a maximum amount of $23.6 million, bearing interest at a rate of 9% per annum over the base term. The Company received $30.8 million ATIA from the lessor during the first quarter of fiscal 2024. As a result, the Company remeasured its lease liability and right-of-use assets to reflect these additional allowances and the related increased lease payments. The Company has further concluded that these ATIAs have no effects on the classification of the lease.</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previously subleased additional research and development space in San Diego, California, which sublease ended during the fiscal year of 2023.</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u w:val="single" w:color="auto"/>
          <w:color w:val="auto"/>
        </w:rPr>
        <w:t>Madison, Wisconsin</w:t>
      </w:r>
      <w:r>
        <w:rPr>
          <w:rFonts w:ascii="Times New Roman" w:cs="Times New Roman" w:eastAsia="Times New Roman" w:hAnsi="Times New Roman"/>
          <w:sz w:val="14"/>
          <w:szCs w:val="14"/>
          <w:color w:val="auto"/>
        </w:rPr>
        <w:t>: The Company leases 115,000 square feet space located at 502 South Rosa Road for its office and laboratory facilities, which lease expires on September 30, 2031. The lease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contains options to renew for two terms of five years. The Company is not reasonably certain that it will exercise this option and therefore it is not included in right-of-use assets and liabilities as of June 30, 2024.</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lease assets and liabilities along with their classification on the Company’s consolidated balance sheets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rPr>
              <w:t>Lease Assets and Liabilities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25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Right-of-use assets</w:t>
            </w: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44,339</w:t>
            </w: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45,297</w:t>
            </w:r>
          </w:p>
        </w:tc>
        <w:tc>
          <w:tcPr>
            <w:tcW w:w="0" w:type="dxa"/>
            <w:vAlign w:val="bottom"/>
          </w:tcPr>
          <w:p>
            <w:pPr>
              <w:spacing w:after="0"/>
              <w:rPr>
                <w:sz w:val="1"/>
                <w:szCs w:val="1"/>
                <w:color w:val="auto"/>
              </w:rPr>
            </w:pPr>
          </w:p>
        </w:tc>
      </w:tr>
      <w:tr>
        <w:trPr>
          <w:trHeight w:val="25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252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auto"/>
              </w:rPr>
              <w:t>Lease liabilities</w:t>
            </w: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auto"/>
              </w:rPr>
              <w:t>6,053</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10,563</w:t>
            </w:r>
          </w:p>
        </w:tc>
        <w:tc>
          <w:tcPr>
            <w:tcW w:w="0" w:type="dxa"/>
            <w:vAlign w:val="bottom"/>
          </w:tcPr>
          <w:p>
            <w:pPr>
              <w:spacing w:after="0"/>
              <w:rPr>
                <w:sz w:val="1"/>
                <w:szCs w:val="1"/>
                <w:color w:val="auto"/>
              </w:rPr>
            </w:pPr>
          </w:p>
        </w:tc>
      </w:tr>
      <w:tr>
        <w:trPr>
          <w:trHeight w:val="89"/>
        </w:trPr>
        <w:tc>
          <w:tcPr>
            <w:tcW w:w="20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000" w:type="dxa"/>
            <w:vAlign w:val="bottom"/>
            <w:gridSpan w:val="2"/>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344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Lease liabilities, net of current portion</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112,040</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104,608</w:t>
            </w:r>
          </w:p>
        </w:tc>
        <w:tc>
          <w:tcPr>
            <w:tcW w:w="0" w:type="dxa"/>
            <w:vAlign w:val="bottom"/>
          </w:tcPr>
          <w:p>
            <w:pPr>
              <w:spacing w:after="0"/>
              <w:rPr>
                <w:sz w:val="1"/>
                <w:szCs w:val="1"/>
                <w:color w:val="auto"/>
              </w:rPr>
            </w:pPr>
          </w:p>
        </w:tc>
      </w:tr>
      <w:tr>
        <w:trPr>
          <w:trHeight w:val="331"/>
        </w:trPr>
        <w:tc>
          <w:tcPr>
            <w:tcW w:w="2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8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40" w:type="dxa"/>
            <w:vAlign w:val="bottom"/>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Lease Cost</w:t>
            </w:r>
          </w:p>
        </w:tc>
        <w:tc>
          <w:tcPr>
            <w:tcW w:w="2440" w:type="dxa"/>
            <w:vAlign w:val="bottom"/>
            <w:vMerge w:val="restart"/>
          </w:tcPr>
          <w:p>
            <w:pPr>
              <w:ind w:left="88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80" w:type="dxa"/>
            <w:vAlign w:val="bottom"/>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40" w:type="dxa"/>
            <w:vAlign w:val="bottom"/>
            <w:tcBorders>
              <w:bottom w:val="single" w:sz="8" w:color="auto"/>
            </w:tcBorders>
            <w:vMerge w:val="continue"/>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3"/>
          </w:tcPr>
          <w:p>
            <w:pPr>
              <w:jc w:val="right"/>
              <w:ind w:right="78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2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92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7,735</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9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w:t>
            </w:r>
          </w:p>
        </w:tc>
        <w:tc>
          <w:tcPr>
            <w:tcW w:w="0" w:type="dxa"/>
            <w:vAlign w:val="bottom"/>
          </w:tcPr>
          <w:p>
            <w:pPr>
              <w:spacing w:after="0"/>
              <w:rPr>
                <w:sz w:val="1"/>
                <w:szCs w:val="1"/>
                <w:color w:val="auto"/>
              </w:rPr>
            </w:pPr>
          </w:p>
        </w:tc>
      </w:tr>
      <w:tr>
        <w:trPr>
          <w:trHeight w:val="89"/>
        </w:trPr>
        <w:tc>
          <w:tcPr>
            <w:tcW w:w="20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Variable lease cost </w:t>
            </w:r>
            <w:r>
              <w:rPr>
                <w:rFonts w:ascii="Times New Roman" w:cs="Times New Roman" w:eastAsia="Times New Roman" w:hAnsi="Times New Roman"/>
                <w:sz w:val="16"/>
                <w:szCs w:val="16"/>
                <w:color w:val="auto"/>
                <w:vertAlign w:val="superscript"/>
              </w:rPr>
              <w:t>(1)</w:t>
            </w:r>
          </w:p>
        </w:tc>
        <w:tc>
          <w:tcPr>
            <w:tcW w:w="2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9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9"/>
        </w:trPr>
        <w:tc>
          <w:tcPr>
            <w:tcW w:w="2040" w:type="dxa"/>
            <w:vAlign w:val="bottom"/>
            <w:tcBorders>
              <w:bottom w:val="single" w:sz="8" w:color="CCEEFF"/>
            </w:tcBorders>
          </w:tcPr>
          <w:p>
            <w:pPr>
              <w:spacing w:after="0"/>
              <w:rPr>
                <w:sz w:val="7"/>
                <w:szCs w:val="7"/>
                <w:color w:val="auto"/>
              </w:rPr>
            </w:pPr>
          </w:p>
        </w:tc>
        <w:tc>
          <w:tcPr>
            <w:tcW w:w="24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12,513</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i w:val="1"/>
          <w:iCs w:val="1"/>
          <w:color w:val="auto"/>
        </w:rPr>
        <w:t>(1) Variable lease cost is primarily related to operating expenses associated with the Company’s operating leases.</w:t>
      </w:r>
    </w:p>
    <w:p>
      <w:pPr>
        <w:spacing w:after="0" w:line="13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was no short-term lease cost during the nine months ended June 30, 2024. There was $0.6 million and $1.2 million short-term lease cost during the three and nine months ended June 30, 2023,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The following table presents maturities of operating lease liabilities on an undiscounted basis as of June 30,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80" w:type="dxa"/>
            <w:vAlign w:val="bottom"/>
          </w:tcPr>
          <w:p>
            <w:pPr>
              <w:ind w:left="4280"/>
              <w:spacing w:after="0"/>
              <w:rPr>
                <w:sz w:val="20"/>
                <w:szCs w:val="20"/>
                <w:color w:val="auto"/>
              </w:rPr>
            </w:pPr>
            <w:r>
              <w:rPr>
                <w:rFonts w:ascii="Times New Roman" w:cs="Times New Roman" w:eastAsia="Times New Roman" w:hAnsi="Times New Roman"/>
                <w:sz w:val="11"/>
                <w:szCs w:val="11"/>
                <w:b w:val="1"/>
                <w:bCs w:val="1"/>
                <w:color w:val="auto"/>
              </w:rPr>
              <w:t>Year</w:t>
            </w:r>
          </w:p>
        </w:tc>
        <w:tc>
          <w:tcPr>
            <w:tcW w:w="240" w:type="dxa"/>
            <w:vAlign w:val="bottom"/>
          </w:tcPr>
          <w:p>
            <w:pPr>
              <w:spacing w:after="0"/>
              <w:rPr>
                <w:sz w:val="12"/>
                <w:szCs w:val="12"/>
                <w:color w:val="auto"/>
              </w:rPr>
            </w:pPr>
          </w:p>
        </w:tc>
        <w:tc>
          <w:tcPr>
            <w:tcW w:w="1280" w:type="dxa"/>
            <w:vAlign w:val="bottom"/>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Amounts</w:t>
            </w:r>
          </w:p>
        </w:tc>
      </w:tr>
      <w:tr>
        <w:trPr>
          <w:trHeight w:val="30"/>
        </w:trPr>
        <w:tc>
          <w:tcPr>
            <w:tcW w:w="8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1"/>
        </w:trPr>
        <w:tc>
          <w:tcPr>
            <w:tcW w:w="8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30"/>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1"/>
        </w:trPr>
        <w:tc>
          <w:tcPr>
            <w:tcW w:w="8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2024 (remainder of fiscal year)</w:t>
            </w:r>
          </w:p>
        </w:tc>
        <w:tc>
          <w:tcPr>
            <w:tcW w:w="240" w:type="dxa"/>
            <w:vAlign w:val="bottom"/>
            <w:tcBorders>
              <w:bottom w:val="single" w:sz="8" w:color="CFF0FC"/>
            </w:tcBorders>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3,793</w:t>
            </w:r>
          </w:p>
        </w:tc>
      </w:tr>
      <w:tr>
        <w:trPr>
          <w:trHeight w:val="165"/>
        </w:trPr>
        <w:tc>
          <w:tcPr>
            <w:tcW w:w="8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15,356</w:t>
            </w:r>
          </w:p>
        </w:tc>
      </w:tr>
      <w:tr>
        <w:trPr>
          <w:trHeight w:val="26"/>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1"/>
        </w:trPr>
        <w:tc>
          <w:tcPr>
            <w:tcW w:w="8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15,696</w:t>
            </w:r>
          </w:p>
        </w:tc>
      </w:tr>
      <w:tr>
        <w:trPr>
          <w:trHeight w:val="165"/>
        </w:trPr>
        <w:tc>
          <w:tcPr>
            <w:tcW w:w="8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14,869</w:t>
            </w:r>
          </w:p>
        </w:tc>
      </w:tr>
      <w:tr>
        <w:trPr>
          <w:trHeight w:val="26"/>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1"/>
        </w:trPr>
        <w:tc>
          <w:tcPr>
            <w:tcW w:w="8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4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13,511</w:t>
            </w:r>
          </w:p>
        </w:tc>
      </w:tr>
      <w:tr>
        <w:trPr>
          <w:trHeight w:val="165"/>
        </w:trPr>
        <w:tc>
          <w:tcPr>
            <w:tcW w:w="8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 and thereafter</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128,356</w:t>
            </w:r>
          </w:p>
        </w:tc>
      </w:tr>
      <w:tr>
        <w:trPr>
          <w:trHeight w:val="26"/>
        </w:trPr>
        <w:tc>
          <w:tcPr>
            <w:tcW w:w="87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8780" w:type="dxa"/>
            <w:vAlign w:val="bottom"/>
            <w:tcBorders>
              <w:bottom w:val="single" w:sz="8" w:color="CFF0FC"/>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CFF0FC"/>
            </w:tcBorders>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191,581</w:t>
            </w:r>
          </w:p>
        </w:tc>
      </w:tr>
      <w:tr>
        <w:trPr>
          <w:trHeight w:val="156"/>
        </w:trPr>
        <w:tc>
          <w:tcPr>
            <w:tcW w:w="87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Less imputed interest</w:t>
            </w: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(73,488)</w:t>
            </w:r>
          </w:p>
        </w:tc>
      </w:tr>
      <w:tr>
        <w:trPr>
          <w:trHeight w:val="26"/>
        </w:trPr>
        <w:tc>
          <w:tcPr>
            <w:tcW w:w="87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8780" w:type="dxa"/>
            <w:vAlign w:val="bottom"/>
            <w:tcBorders>
              <w:bottom w:val="single" w:sz="8" w:color="CFF0FC"/>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operating lease liabilities (includes current portion)</w:t>
            </w: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118,093</w:t>
            </w:r>
          </w:p>
        </w:tc>
      </w:tr>
      <w:tr>
        <w:trPr>
          <w:trHeight w:val="20"/>
        </w:trPr>
        <w:tc>
          <w:tcPr>
            <w:tcW w:w="8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and other information related to leases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2560" w:type="dxa"/>
            <w:vAlign w:val="bottom"/>
            <w:gridSpan w:val="3"/>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c>
          <w:tcPr>
            <w:tcW w:w="920" w:type="dxa"/>
            <w:vAlign w:val="bottom"/>
          </w:tcPr>
          <w:p>
            <w:pPr>
              <w:spacing w:after="0"/>
              <w:rPr>
                <w:sz w:val="12"/>
                <w:szCs w:val="12"/>
                <w:color w:val="auto"/>
              </w:rPr>
            </w:pPr>
          </w:p>
        </w:tc>
      </w:tr>
      <w:tr>
        <w:trPr>
          <w:trHeight w:val="30"/>
        </w:trPr>
        <w:tc>
          <w:tcPr>
            <w:tcW w:w="4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1"/>
        </w:trPr>
        <w:tc>
          <w:tcPr>
            <w:tcW w:w="426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2"/>
                <w:szCs w:val="12"/>
                <w:color w:val="auto"/>
              </w:rPr>
            </w:pP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30"/>
        </w:trPr>
        <w:tc>
          <w:tcPr>
            <w:tcW w:w="4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1"/>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gridSpan w:val="3"/>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0"/>
        </w:trPr>
        <w:tc>
          <w:tcPr>
            <w:tcW w:w="4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received for amounts included in the measurement of lease liabilities:</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183"/>
        </w:trPr>
        <w:tc>
          <w:tcPr>
            <w:tcW w:w="42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Operating cash flows from operating leases</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85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5,414</w:t>
            </w:r>
          </w:p>
        </w:tc>
        <w:tc>
          <w:tcPr>
            <w:tcW w:w="100" w:type="dxa"/>
            <w:vAlign w:val="bottom"/>
          </w:tcPr>
          <w:p>
            <w:pPr>
              <w:spacing w:after="0"/>
              <w:rPr>
                <w:sz w:val="15"/>
                <w:szCs w:val="15"/>
                <w:color w:val="auto"/>
              </w:rPr>
            </w:pPr>
          </w:p>
        </w:tc>
        <w:tc>
          <w:tcPr>
            <w:tcW w:w="920" w:type="dxa"/>
            <w:vAlign w:val="bottom"/>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3,099</w:t>
            </w:r>
          </w:p>
        </w:tc>
        <w:tc>
          <w:tcPr>
            <w:tcW w:w="80" w:type="dxa"/>
            <w:vAlign w:val="bottom"/>
          </w:tcPr>
          <w:p>
            <w:pPr>
              <w:spacing w:after="0"/>
              <w:rPr>
                <w:sz w:val="15"/>
                <w:szCs w:val="15"/>
                <w:color w:val="auto"/>
              </w:rPr>
            </w:pPr>
          </w:p>
        </w:tc>
        <w:tc>
          <w:tcPr>
            <w:tcW w:w="680" w:type="dxa"/>
            <w:vAlign w:val="bottom"/>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23,343</w:t>
            </w:r>
          </w:p>
        </w:tc>
      </w:tr>
      <w:tr>
        <w:trPr>
          <w:trHeight w:val="19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 adjusted in exchange for new/amended operating lease liabilities</w:t>
            </w:r>
          </w:p>
        </w:tc>
        <w:tc>
          <w:tcPr>
            <w:tcW w:w="100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(19,063)</w:t>
            </w:r>
          </w:p>
        </w:tc>
      </w:tr>
      <w:tr>
        <w:trPr>
          <w:trHeight w:val="151"/>
        </w:trPr>
        <w:tc>
          <w:tcPr>
            <w:tcW w:w="4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 amounts included in the measurement of lease liabilities:</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0"/>
        </w:trPr>
        <w:tc>
          <w:tcPr>
            <w:tcW w:w="4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cash flows from operating leases</w:t>
            </w:r>
          </w:p>
        </w:tc>
        <w:tc>
          <w:tcPr>
            <w:tcW w:w="100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3,204</w:t>
            </w:r>
          </w:p>
        </w:tc>
        <w:tc>
          <w:tcPr>
            <w:tcW w:w="106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7,221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4,081</w:t>
            </w:r>
          </w:p>
        </w:tc>
      </w:tr>
      <w:tr>
        <w:trPr>
          <w:trHeight w:val="363"/>
        </w:trPr>
        <w:tc>
          <w:tcPr>
            <w:tcW w:w="4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gridSpan w:val="3"/>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Pr>
          <w:p>
            <w:pPr>
              <w:spacing w:after="0"/>
              <w:rPr>
                <w:sz w:val="24"/>
                <w:szCs w:val="24"/>
                <w:color w:val="auto"/>
              </w:rPr>
            </w:pPr>
          </w:p>
        </w:tc>
      </w:tr>
      <w:tr>
        <w:trPr>
          <w:trHeight w:val="30"/>
        </w:trPr>
        <w:tc>
          <w:tcPr>
            <w:tcW w:w="4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1"/>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30"/>
        </w:trPr>
        <w:tc>
          <w:tcPr>
            <w:tcW w:w="4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76"/>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r>
    </w:tbl>
    <w:p>
      <w:pPr>
        <w:spacing w:after="0" w:line="200" w:lineRule="exact"/>
        <w:rPr>
          <w:sz w:val="20"/>
          <w:szCs w:val="20"/>
          <w:color w:val="auto"/>
        </w:rPr>
      </w:pPr>
    </w:p>
    <w:p>
      <w:pPr>
        <w:spacing w:after="0" w:line="3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680" w:top="846"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NOTE 9. 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Plans</w:t>
      </w:r>
    </w:p>
    <w:p>
      <w:pPr>
        <w:spacing w:after="0" w:line="96"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The Company has two plans that provide for equity-based compensation under the 2013 and the 2021 plans. Under the 2013 Incentive Plan (the “2013 Plan”), 2,924,586 shares of the Company’s common stock are reserved for grants of stock options and restricted stock awards to employees and directors as of June 30, 2024.</w:t>
      </w:r>
    </w:p>
    <w:p>
      <w:pPr>
        <w:spacing w:after="0" w:line="39" w:lineRule="exact"/>
        <w:rPr>
          <w:sz w:val="20"/>
          <w:szCs w:val="20"/>
          <w:color w:val="auto"/>
        </w:rPr>
      </w:pPr>
    </w:p>
    <w:p>
      <w:pPr>
        <w:jc w:val="both"/>
        <w:ind w:right="80" w:firstLine="382"/>
        <w:spacing w:after="0" w:line="259" w:lineRule="auto"/>
        <w:rPr>
          <w:sz w:val="20"/>
          <w:szCs w:val="20"/>
          <w:color w:val="auto"/>
        </w:rPr>
      </w:pPr>
      <w:r>
        <w:rPr>
          <w:rFonts w:ascii="Times New Roman" w:cs="Times New Roman" w:eastAsia="Times New Roman" w:hAnsi="Times New Roman"/>
          <w:sz w:val="14"/>
          <w:szCs w:val="14"/>
          <w:color w:val="auto"/>
        </w:rPr>
        <w:t>Under the 2021 Incentive Plan (the “2021 Plan”), 8,000,000 shares (subject to certain adjustments) of the Company’s common stock are reserved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June 30, 2024, the total number of shares available for issuance was 4,565,727 shares, which includes 158,928 and 154,139 shares that were forfeited under the 2013 and 2021 Plans, respectively, and 3,697,189 shares have been granted under the 2021 Plan.</w:t>
      </w:r>
    </w:p>
    <w:p>
      <w:pPr>
        <w:spacing w:after="0" w:line="61"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In addition, there were 665,020 shares reserved for options and 616,638 shares reserved for restricted stock units issued as inducement grants to new employees granted outside of the Company’s equity-based compensation plans under Rule 5635(c)(4) of the Nasdaq Listing Rules.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 summary of awards outstanding:</w:t>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20" w:type="dxa"/>
            <w:vAlign w:val="bottom"/>
            <w:gridSpan w:val="4"/>
          </w:tcPr>
          <w:p>
            <w:pPr>
              <w:ind w:left="1160"/>
              <w:spacing w:after="0"/>
              <w:rPr>
                <w:sz w:val="20"/>
                <w:szCs w:val="20"/>
                <w:color w:val="auto"/>
              </w:rPr>
            </w:pPr>
            <w:r>
              <w:rPr>
                <w:rFonts w:ascii="Times New Roman" w:cs="Times New Roman" w:eastAsia="Times New Roman" w:hAnsi="Times New Roman"/>
                <w:sz w:val="11"/>
                <w:szCs w:val="11"/>
                <w:b w:val="1"/>
                <w:bCs w:val="1"/>
                <w:color w:val="auto"/>
              </w:rPr>
              <w:t>As of June 30, 2024</w:t>
            </w:r>
          </w:p>
        </w:tc>
        <w:tc>
          <w:tcPr>
            <w:tcW w:w="1460" w:type="dxa"/>
            <w:vAlign w:val="bottom"/>
          </w:tcPr>
          <w:p>
            <w:pPr>
              <w:spacing w:after="0"/>
              <w:rPr>
                <w:sz w:val="12"/>
                <w:szCs w:val="12"/>
                <w:color w:val="auto"/>
              </w:rPr>
            </w:pPr>
          </w:p>
        </w:tc>
      </w:tr>
      <w:tr>
        <w:trPr>
          <w:trHeight w:val="30"/>
        </w:trPr>
        <w:tc>
          <w:tcPr>
            <w:tcW w:w="4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1"/>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2013 Plan</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2021 Plan</w:t>
            </w: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Inducement Awards</w:t>
            </w:r>
          </w:p>
        </w:tc>
        <w:tc>
          <w:tcPr>
            <w:tcW w:w="1460" w:type="dxa"/>
            <w:vAlign w:val="bottom"/>
          </w:tcPr>
          <w:p>
            <w:pPr>
              <w:jc w:val="right"/>
              <w:ind w:right="4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4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1"/>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Granted and outstanding awards:</w:t>
            </w: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3"/>
        </w:trPr>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1,315,326</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665,020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2,012,49</w:t>
            </w:r>
          </w:p>
        </w:tc>
      </w:tr>
      <w:tr>
        <w:trPr>
          <w:trHeight w:val="191"/>
        </w:trPr>
        <w:tc>
          <w:tcPr>
            <w:tcW w:w="4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stock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1,609,260</w:t>
            </w:r>
          </w:p>
        </w:tc>
        <w:tc>
          <w:tcPr>
            <w:tcW w:w="80" w:type="dxa"/>
            <w:vAlign w:val="bottom"/>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2,804,026</w:t>
            </w:r>
          </w:p>
        </w:tc>
        <w:tc>
          <w:tcPr>
            <w:tcW w:w="100" w:type="dxa"/>
            <w:vAlign w:val="bottom"/>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616,638</w:t>
            </w:r>
          </w:p>
        </w:tc>
        <w:tc>
          <w:tcPr>
            <w:tcW w:w="100" w:type="dxa"/>
            <w:vAlign w:val="bottom"/>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5,029,92</w:t>
            </w:r>
          </w:p>
        </w:tc>
      </w:tr>
      <w:tr>
        <w:trPr>
          <w:trHeight w:val="189"/>
        </w:trPr>
        <w:tc>
          <w:tcPr>
            <w:tcW w:w="45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2,924,586</w:t>
            </w:r>
          </w:p>
        </w:tc>
        <w:tc>
          <w:tcPr>
            <w:tcW w:w="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2,836,177</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1,281,658</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7,042,42</w:t>
            </w:r>
          </w:p>
        </w:tc>
      </w:tr>
      <w:tr>
        <w:trPr>
          <w:trHeight w:val="20"/>
        </w:trPr>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expenses included in operating expenses:</w:t>
      </w:r>
    </w:p>
    <w:p>
      <w:pPr>
        <w:sectPr>
          <w:pgSz w:w="11900" w:h="16838" w:orient="portrait"/>
          <w:cols w:equalWidth="0" w:num="1">
            <w:col w:w="11360"/>
          </w:cols>
          <w:pgMar w:left="300" w:top="1014" w:right="239" w:bottom="1440" w:gutter="0" w:footer="0" w:header="0"/>
        </w:sectPr>
      </w:pPr>
    </w:p>
    <w:p>
      <w:pPr>
        <w:spacing w:after="0" w:line="132"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26035</wp:posOffset>
            </wp:positionV>
            <wp:extent cx="238506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34" w:lineRule="exact"/>
        <w:rPr>
          <w:sz w:val="20"/>
          <w:szCs w:val="20"/>
          <w:color w:val="auto"/>
        </w:rPr>
      </w:pPr>
    </w:p>
    <w:p>
      <w:pPr>
        <w:ind w:left="4920"/>
        <w:spacing w:after="0"/>
        <w:tabs>
          <w:tab w:leader="none" w:pos="682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26035</wp:posOffset>
            </wp:positionV>
            <wp:extent cx="23850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26035</wp:posOffset>
            </wp:positionV>
            <wp:extent cx="216408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4080" cy="6985"/>
                    </a:xfrm>
                    <a:prstGeom prst="rect">
                      <a:avLst/>
                    </a:prstGeom>
                    <a:noFill/>
                  </pic:spPr>
                </pic:pic>
              </a:graphicData>
            </a:graphic>
          </wp:anchor>
        </w:drawing>
      </w:r>
    </w:p>
    <w:p>
      <w:pPr>
        <w:spacing w:after="0" w:line="34"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26035</wp:posOffset>
            </wp:positionV>
            <wp:extent cx="21640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408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600"/>
          </w:cols>
          <w:pgMar w:left="300" w:top="1014" w:right="239" w:bottom="1440" w:gutter="0" w:footer="0" w:header="0"/>
          <w:type w:val="continuous"/>
        </w:sectPr>
      </w:pP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19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740" w:type="dxa"/>
            <w:vAlign w:val="bottom"/>
            <w:shd w:val="clear" w:color="auto" w:fill="CFF0FC"/>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6,221</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8,982</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21,634</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3"/>
        </w:trPr>
        <w:tc>
          <w:tcPr>
            <w:tcW w:w="3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7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8,490</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10,965</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27,350</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07"/>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w:t>
            </w:r>
          </w:p>
        </w:tc>
        <w:tc>
          <w:tcPr>
            <w:tcW w:w="740" w:type="dxa"/>
            <w:vAlign w:val="bottom"/>
            <w:tcBorders>
              <w:bottom w:val="single" w:sz="8" w:color="auto"/>
            </w:tcBorders>
            <w:shd w:val="clear" w:color="auto" w:fill="CFF0FC"/>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14,711</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19,947</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48,984</w:t>
            </w: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Awards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 summary of the stock option activity for the nine months ended June 30,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38"/>
        </w:trPr>
        <w:tc>
          <w:tcPr>
            <w:tcW w:w="5300" w:type="dxa"/>
            <w:vAlign w:val="bottom"/>
          </w:tcPr>
          <w:p>
            <w:pPr>
              <w:spacing w:after="0"/>
              <w:rPr>
                <w:sz w:val="11"/>
                <w:szCs w:val="11"/>
                <w:color w:val="auto"/>
              </w:rPr>
            </w:pPr>
          </w:p>
        </w:tc>
        <w:tc>
          <w:tcPr>
            <w:tcW w:w="900" w:type="dxa"/>
            <w:vAlign w:val="bottom"/>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8"/>
        </w:trPr>
        <w:tc>
          <w:tcPr>
            <w:tcW w:w="53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w w:val="97"/>
              </w:rPr>
              <w:t>Term (Years)</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Outstanding at September 30, 2023</w:t>
            </w:r>
          </w:p>
        </w:tc>
        <w:tc>
          <w:tcPr>
            <w:tcW w:w="90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2,263,477</w:t>
            </w:r>
          </w:p>
        </w:tc>
        <w:tc>
          <w:tcPr>
            <w:tcW w:w="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jc w:val="right"/>
              <w:ind w:right="88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22.68</w:t>
            </w:r>
          </w:p>
        </w:tc>
        <w:tc>
          <w:tcPr>
            <w:tcW w:w="10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1640" w:type="dxa"/>
            <w:vAlign w:val="bottom"/>
            <w:gridSpan w:val="3"/>
          </w:tcPr>
          <w:p>
            <w:pPr>
              <w:jc w:val="right"/>
              <w:ind w:right="122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Cancelled or expired</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(53,582)</w:t>
            </w:r>
          </w:p>
        </w:tc>
        <w:tc>
          <w:tcPr>
            <w:tcW w:w="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10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Exercised</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(197,398)</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300" w:type="dxa"/>
            <w:vAlign w:val="bottom"/>
            <w:tcBorders>
              <w:bottom w:val="single" w:sz="8" w:color="CFF0FC"/>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color w:val="auto"/>
              </w:rPr>
              <w:t>Outstanding at June 30, 2024</w:t>
            </w:r>
          </w:p>
        </w:tc>
        <w:tc>
          <w:tcPr>
            <w:tcW w:w="9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2,012,497</w:t>
            </w:r>
          </w:p>
        </w:tc>
        <w:tc>
          <w:tcPr>
            <w:tcW w:w="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ind w:right="88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22,486,304</w:t>
            </w:r>
          </w:p>
        </w:tc>
        <w:tc>
          <w:tcPr>
            <w:tcW w:w="0" w:type="dxa"/>
            <w:vAlign w:val="bottom"/>
          </w:tcPr>
          <w:p>
            <w:pPr>
              <w:spacing w:after="0"/>
              <w:rPr>
                <w:sz w:val="1"/>
                <w:szCs w:val="1"/>
                <w:color w:val="auto"/>
              </w:rPr>
            </w:pPr>
          </w:p>
        </w:tc>
      </w:tr>
      <w:tr>
        <w:trPr>
          <w:trHeight w:val="179"/>
        </w:trPr>
        <w:tc>
          <w:tcPr>
            <w:tcW w:w="53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Exercisable at June 30, 2024</w:t>
            </w:r>
          </w:p>
        </w:tc>
        <w:tc>
          <w:tcPr>
            <w:tcW w:w="9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2,001,968</w:t>
            </w:r>
          </w:p>
        </w:tc>
        <w:tc>
          <w:tcPr>
            <w:tcW w:w="8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5"/>
                <w:szCs w:val="15"/>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22,486,304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aggregate intrinsic values represent the amount by which the market price of the underlying stock exceeds the</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014" w:right="239" w:bottom="1440" w:gutter="0" w:footer="0" w:header="0"/>
          <w:type w:val="continuous"/>
        </w:sectPr>
      </w:pPr>
    </w:p>
    <w:bookmarkStart w:id="19" w:name="page20"/>
    <w:bookmarkEnd w:id="19"/>
    <w:p>
      <w:pPr>
        <w:jc w:val="both"/>
        <w:spacing w:after="0" w:line="287" w:lineRule="auto"/>
        <w:rPr>
          <w:sz w:val="20"/>
          <w:szCs w:val="20"/>
          <w:color w:val="auto"/>
        </w:rPr>
      </w:pPr>
      <w:r>
        <w:rPr>
          <w:rFonts w:ascii="Times New Roman" w:cs="Times New Roman" w:eastAsia="Times New Roman" w:hAnsi="Times New Roman"/>
          <w:sz w:val="14"/>
          <w:szCs w:val="14"/>
          <w:color w:val="auto"/>
        </w:rPr>
        <w:t>exercise price of the option. The total intrinsic value of the options exercised during the three months ended June 30, 2024 and 2023 was $0.7 million and $6.5 million, respectively. The total intrinsic value of the options exercised during the nine months ended June 30, 2024 and 2023 was $3.8 million and $10.1 million, respectively.</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Stock-based compensation expense related to stock options outstanding for the three months ended June 30, 2024 and 2023, was $0.4 million and $2.1 million, respectively. Stock-based compensation expense related to stock options outstanding for the nine months ended June 30, 2024 and 2023, was $2.5 million and $6.7 million, respectively.</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June 30, 2024, the pre-tax compensation expense for all outstanding unvested stock options in the amount of $0.4 million will be recognized in the Company’s results of operations over a weighted average period of 3 months.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fair value of each stock option award is estimated on the date of grant using the Black-Scholes option pricing model. The Black-Scholes option pricing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the assumptions used in the calculation of grant-date fair values of these stock options based on the Black-Scholes option pricing model:</w:t>
      </w:r>
    </w:p>
    <w:p>
      <w:pPr>
        <w:sectPr>
          <w:pgSz w:w="11900" w:h="16838" w:orient="portrait"/>
          <w:cols w:equalWidth="0" w:num="1">
            <w:col w:w="11280"/>
          </w:cols>
          <w:pgMar w:left="300" w:top="931" w:right="31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Expected dividend yield</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61530"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Risk-free interest rate</w:t>
      </w:r>
      <w:r>
        <w:rPr>
          <w:rFonts w:ascii="Times New Roman" w:cs="Times New Roman" w:eastAsia="Times New Roman" w:hAnsi="Times New Roman"/>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21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Expected volatility</w:t>
      </w:r>
      <w:r>
        <w:rPr>
          <w:rFonts w:ascii="Times New Roman" w:cs="Times New Roman" w:eastAsia="Times New Roman" w:hAnsi="Times New Roman"/>
          <w:sz w:val="16"/>
          <w:szCs w:val="16"/>
          <w:color w:val="auto"/>
          <w:vertAlign w:val="superscript"/>
        </w:rPr>
        <w:t>(3)</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Expected term (in years)</w:t>
      </w:r>
      <w:r>
        <w:rPr>
          <w:rFonts w:ascii="Times New Roman" w:cs="Times New Roman" w:eastAsia="Times New Roman" w:hAnsi="Times New Roman"/>
          <w:sz w:val="16"/>
          <w:szCs w:val="1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21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Weighted average grant date fair value per share of options granted</w:t>
      </w:r>
    </w:p>
    <w:p>
      <w:pPr>
        <w:spacing w:after="0" w:line="132" w:lineRule="exact"/>
        <w:rPr>
          <w:sz w:val="20"/>
          <w:szCs w:val="20"/>
          <w:color w:val="auto"/>
        </w:rPr>
      </w:pPr>
    </w:p>
    <w:p>
      <w:pPr>
        <w:ind w:left="180" w:hanging="175"/>
        <w:spacing w:after="0"/>
        <w:tabs>
          <w:tab w:leader="none" w:pos="18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dividend yield is zero as the Company currently does not pay a dividend.</w:t>
      </w:r>
    </w:p>
    <w:p>
      <w:pPr>
        <w:spacing w:after="0" w:line="15" w:lineRule="exact"/>
        <w:rPr>
          <w:rFonts w:ascii="Times New Roman" w:cs="Times New Roman" w:eastAsia="Times New Roman" w:hAnsi="Times New Roman"/>
          <w:sz w:val="13"/>
          <w:szCs w:val="13"/>
          <w:i w:val="1"/>
          <w:iCs w:val="1"/>
          <w:color w:val="auto"/>
        </w:rPr>
      </w:pPr>
    </w:p>
    <w:p>
      <w:pPr>
        <w:ind w:left="180" w:hanging="175"/>
        <w:spacing w:after="0"/>
        <w:tabs>
          <w:tab w:leader="none" w:pos="18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risk-free interest rate is based on that of the U.S. Treasury yields with equivalent terms in effect at the time of the grant.</w:t>
      </w:r>
    </w:p>
    <w:p>
      <w:pPr>
        <w:ind w:left="180" w:hanging="175"/>
        <w:spacing w:after="0"/>
        <w:tabs>
          <w:tab w:leader="none" w:pos="18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Volatility is estimated based on volatility average of the Company’s common stock price.</w:t>
      </w:r>
    </w:p>
    <w:p>
      <w:pPr>
        <w:spacing w:after="0" w:line="1" w:lineRule="exact"/>
        <w:rPr>
          <w:rFonts w:ascii="Times New Roman" w:cs="Times New Roman" w:eastAsia="Times New Roman" w:hAnsi="Times New Roman"/>
          <w:sz w:val="13"/>
          <w:szCs w:val="13"/>
          <w:i w:val="1"/>
          <w:iCs w:val="1"/>
          <w:color w:val="auto"/>
        </w:rPr>
      </w:pPr>
    </w:p>
    <w:p>
      <w:pPr>
        <w:ind w:left="180" w:hanging="175"/>
        <w:spacing w:after="0"/>
        <w:tabs>
          <w:tab w:leader="none" w:pos="180" w:val="left"/>
        </w:tabs>
        <w:numPr>
          <w:ilvl w:val="0"/>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computation of expected term was determined based on safe harbor rules, considering the contractual terms of the awards and vesting schedules.</w:t>
      </w:r>
    </w:p>
    <w:p>
      <w:pPr>
        <w:spacing w:after="0" w:line="18" w:lineRule="exact"/>
        <w:rPr>
          <w:rFonts w:ascii="Times New Roman" w:cs="Times New Roman" w:eastAsia="Times New Roman" w:hAnsi="Times New Roman"/>
          <w:sz w:val="12"/>
          <w:szCs w:val="12"/>
          <w:i w:val="1"/>
          <w:iCs w:val="1"/>
          <w:color w:val="auto"/>
        </w:rPr>
      </w:pPr>
    </w:p>
    <w:p>
      <w:pPr>
        <w:ind w:left="180" w:hanging="175"/>
        <w:spacing w:after="0"/>
        <w:tabs>
          <w:tab w:leader="none" w:pos="18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No options were granted during the nine months ended June 30, 2024.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26035</wp:posOffset>
            </wp:positionV>
            <wp:extent cx="187325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3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4"/>
          <w:szCs w:val="14"/>
          <w:b w:val="1"/>
          <w:bCs w:val="1"/>
          <w:color w:val="auto"/>
          <w:vertAlign w:val="superscript"/>
        </w:rPr>
        <w:t>(5)</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33"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13"/>
          <w:szCs w:val="13"/>
          <w:color w:val="auto"/>
        </w:rPr>
        <w:t>N/A</w:t>
      </w:r>
      <w:r>
        <w:rPr>
          <w:sz w:val="20"/>
          <w:szCs w:val="20"/>
          <w:color w:val="auto"/>
        </w:rPr>
        <w:tab/>
      </w:r>
      <w:r>
        <w:rPr>
          <w:rFonts w:ascii="Times New Roman" w:cs="Times New Roman" w:eastAsia="Times New Roman" w:hAnsi="Times New Roman"/>
          <w:sz w:val="13"/>
          <w:szCs w:val="13"/>
          <w:color w:val="auto"/>
        </w:rPr>
        <w:t>—</w:t>
      </w:r>
    </w:p>
    <w:p>
      <w:pPr>
        <w:spacing w:after="0" w:line="38"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3"/>
          <w:szCs w:val="13"/>
          <w:color w:val="auto"/>
        </w:rPr>
        <w:t>N/A</w:t>
      </w:r>
      <w:r>
        <w:rPr>
          <w:sz w:val="20"/>
          <w:szCs w:val="20"/>
          <w:color w:val="auto"/>
        </w:rPr>
        <w:tab/>
      </w:r>
      <w:r>
        <w:rPr>
          <w:rFonts w:ascii="Times New Roman" w:cs="Times New Roman" w:eastAsia="Times New Roman" w:hAnsi="Times New Roman"/>
          <w:sz w:val="13"/>
          <w:szCs w:val="13"/>
          <w:color w:val="auto"/>
        </w:rPr>
        <w:t>3.69%</w:t>
      </w:r>
    </w:p>
    <w:p>
      <w:pPr>
        <w:spacing w:after="0" w:line="31"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3"/>
          <w:szCs w:val="13"/>
          <w:color w:val="auto"/>
        </w:rPr>
        <w:t>N/A</w:t>
      </w:r>
      <w:r>
        <w:rPr>
          <w:sz w:val="20"/>
          <w:szCs w:val="20"/>
          <w:color w:val="auto"/>
        </w:rPr>
        <w:tab/>
      </w:r>
      <w:r>
        <w:rPr>
          <w:rFonts w:ascii="Times New Roman" w:cs="Times New Roman" w:eastAsia="Times New Roman" w:hAnsi="Times New Roman"/>
          <w:sz w:val="13"/>
          <w:szCs w:val="13"/>
          <w:color w:val="auto"/>
        </w:rPr>
        <w:t>86.4%</w:t>
      </w:r>
    </w:p>
    <w:p>
      <w:pPr>
        <w:spacing w:after="0" w:line="52"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13"/>
          <w:szCs w:val="13"/>
          <w:color w:val="auto"/>
        </w:rPr>
        <w:t>N/A</w:t>
      </w:r>
      <w:r>
        <w:rPr>
          <w:sz w:val="20"/>
          <w:szCs w:val="20"/>
          <w:color w:val="auto"/>
        </w:rPr>
        <w:tab/>
      </w:r>
      <w:r>
        <w:rPr>
          <w:rFonts w:ascii="Times New Roman" w:cs="Times New Roman" w:eastAsia="Times New Roman" w:hAnsi="Times New Roman"/>
          <w:sz w:val="13"/>
          <w:szCs w:val="13"/>
          <w:color w:val="auto"/>
        </w:rPr>
        <w:t>6.25</w:t>
      </w:r>
    </w:p>
    <w:p>
      <w:pPr>
        <w:spacing w:after="0" w:line="31"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2"/>
          <w:szCs w:val="12"/>
          <w:color w:val="auto"/>
        </w:rPr>
        <w:t>N/A</w:t>
      </w:r>
      <w:r>
        <w:rPr>
          <w:sz w:val="20"/>
          <w:szCs w:val="20"/>
          <w:color w:val="auto"/>
        </w:rPr>
        <w:tab/>
      </w:r>
      <w:r>
        <w:rPr>
          <w:rFonts w:ascii="Times New Roman" w:cs="Times New Roman" w:eastAsia="Times New Roman" w:hAnsi="Times New Roman"/>
          <w:sz w:val="12"/>
          <w:szCs w:val="12"/>
          <w:color w:val="auto"/>
        </w:rPr>
        <w:t>$24.80</w:t>
      </w:r>
    </w:p>
    <w:p>
      <w:pPr>
        <w:spacing w:after="0" w:line="1044" w:lineRule="exact"/>
        <w:rPr>
          <w:sz w:val="20"/>
          <w:szCs w:val="20"/>
          <w:color w:val="auto"/>
        </w:rPr>
      </w:pPr>
    </w:p>
    <w:p>
      <w:pPr>
        <w:sectPr>
          <w:pgSz w:w="11900" w:h="16838" w:orient="portrait"/>
          <w:cols w:equalWidth="0" w:num="2">
            <w:col w:w="8180" w:space="720"/>
            <w:col w:w="2380"/>
          </w:cols>
          <w:pgMar w:left="300" w:top="931" w:right="319" w:bottom="1440" w:gutter="0" w:footer="0" w:header="0"/>
          <w:type w:val="continuous"/>
        </w:sect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u w:val="single" w:color="auto"/>
          <w:color w:val="auto"/>
        </w:rPr>
        <w:t>Visirna ESOP</w:t>
      </w:r>
      <w:r>
        <w:rPr>
          <w:rFonts w:ascii="Times New Roman" w:cs="Times New Roman" w:eastAsia="Times New Roman" w:hAnsi="Times New Roman"/>
          <w:sz w:val="14"/>
          <w:szCs w:val="14"/>
          <w:color w:val="auto"/>
        </w:rPr>
        <w:t>: On October 1, 2023, Visirna, a subsidiary of the Company, granted 7,500,000 stock options to its employees from the Employee Stock Option Plan (the “Visirna ESOP”),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authorizes 20,000,000 shares for issuance. The Visirna ESOP is independently managed by Visirna, including the valuation process. For the three and nine months ended June 30, 2024, stock-based compensation expense related to the Visirna ESOP was $2.3 million and $5.5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Restricted Stock Units (“RSUs”), including market-based, time-based and performance-based awards, have been granted under the Company’s 2013 and 2021 Plans and as inducements grants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20" w:name="page21"/>
    <w:bookmarkEnd w:id="20"/>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activity of the Company’s RSUs: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Weighted-</w:t>
            </w:r>
          </w:p>
        </w:tc>
      </w:tr>
      <w:tr>
        <w:trPr>
          <w:trHeight w:val="138"/>
        </w:trPr>
        <w:tc>
          <w:tcPr>
            <w:tcW w:w="8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Average</w:t>
            </w:r>
          </w:p>
        </w:tc>
      </w:tr>
      <w:tr>
        <w:trPr>
          <w:trHeight w:val="127"/>
        </w:trPr>
        <w:tc>
          <w:tcPr>
            <w:tcW w:w="8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Grant</w:t>
            </w:r>
          </w:p>
        </w:tc>
      </w:tr>
      <w:tr>
        <w:trPr>
          <w:trHeight w:val="138"/>
        </w:trPr>
        <w:tc>
          <w:tcPr>
            <w:tcW w:w="8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138"/>
        </w:trPr>
        <w:tc>
          <w:tcPr>
            <w:tcW w:w="8340" w:type="dxa"/>
            <w:vAlign w:val="bottom"/>
          </w:tcPr>
          <w:p>
            <w:pPr>
              <w:spacing w:after="0"/>
              <w:rPr>
                <w:sz w:val="11"/>
                <w:szCs w:val="1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6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r>
      <w:tr>
        <w:trPr>
          <w:trHeight w:val="149"/>
        </w:trPr>
        <w:tc>
          <w:tcPr>
            <w:tcW w:w="8340" w:type="dxa"/>
            <w:vAlign w:val="bottom"/>
          </w:tcPr>
          <w:p>
            <w:pPr>
              <w:spacing w:after="0"/>
              <w:rPr>
                <w:sz w:val="12"/>
                <w:szCs w:val="12"/>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260" w:type="dxa"/>
            <w:vAlign w:val="bottom"/>
          </w:tcPr>
          <w:p>
            <w:pPr>
              <w:spacing w:after="0"/>
              <w:rPr>
                <w:sz w:val="12"/>
                <w:szCs w:val="12"/>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30"/>
        </w:trPr>
        <w:tc>
          <w:tcPr>
            <w:tcW w:w="834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2"/>
        </w:trPr>
        <w:tc>
          <w:tcPr>
            <w:tcW w:w="8340" w:type="dxa"/>
            <w:vAlign w:val="bottom"/>
            <w:tcBorders>
              <w:bottom w:val="single" w:sz="8" w:color="CFF0FC"/>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color w:val="auto"/>
              </w:rPr>
              <w:t>Outstanding at September 30, 2023</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4,241,640</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58.43</w:t>
            </w:r>
          </w:p>
        </w:tc>
      </w:tr>
      <w:tr>
        <w:trPr>
          <w:trHeight w:val="165"/>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1,876,825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30.67</w:t>
            </w:r>
          </w:p>
        </w:tc>
      </w:tr>
      <w:tr>
        <w:trPr>
          <w:trHeight w:val="26"/>
        </w:trPr>
        <w:tc>
          <w:tcPr>
            <w:tcW w:w="8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1"/>
        </w:trPr>
        <w:tc>
          <w:tcPr>
            <w:tcW w:w="8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(927,766)</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53.16</w:t>
            </w:r>
          </w:p>
        </w:tc>
      </w:tr>
      <w:tr>
        <w:trPr>
          <w:trHeight w:val="165"/>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41.75</w:t>
            </w:r>
          </w:p>
        </w:tc>
      </w:tr>
      <w:tr>
        <w:trPr>
          <w:trHeight w:val="26"/>
        </w:trPr>
        <w:tc>
          <w:tcPr>
            <w:tcW w:w="834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8340" w:type="dxa"/>
            <w:vAlign w:val="bottom"/>
            <w:tcBorders>
              <w:bottom w:val="single" w:sz="8" w:color="CFF0FC"/>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color w:val="auto"/>
              </w:rPr>
              <w:t>Outstanding at June 30, 2024</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5,029,924</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49.58</w:t>
            </w:r>
          </w:p>
        </w:tc>
      </w:tr>
      <w:tr>
        <w:trPr>
          <w:trHeight w:val="20"/>
        </w:trPr>
        <w:tc>
          <w:tcPr>
            <w:tcW w:w="83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fair value of RSUs was determined based on the closing price of the Company’s common stock on the grant date, with consideration given to the probability of achieving service and/or performance conditions for awards.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the three months ended June 30, 2024 and 2023, the Company recorded $14.3 million and $17.8 million of expense related to RSUs, respectively. For the nine months ended June 30, 2024 and 2023, the Company recorded $46.5 million and $53.2 million of expense related to RSUs, respectively. As of June 30, 2024, there was $96.3 million of total unrecognized compensation cost related to RSUs that is expected to be recognized over a weighted-average period of 1.6 years.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NOTE 10. FAIR VALUE MEASUREMENTS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10 - Fair Value Measurements of Notes to Consolidated Financial Statements of Part IV, “Item 15. Exhibits and Financial Statement Schedules” of its Annual Report on Form 10-K for the year ended September 30, 2023.</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At June 30, 2024 and September 30, 2023, the Company did not have any financial assets or financial liabilities based on Level 3 measurements.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assets and liabilities measured at fair value on a recurring basis, and indicates the fair value hierarchy of the valuation techniques utilized by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80" w:type="dxa"/>
            <w:vAlign w:val="bottom"/>
            <w:gridSpan w:val="3"/>
          </w:tcPr>
          <w:p>
            <w:pPr>
              <w:jc w:val="right"/>
              <w:ind w:right="939"/>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0"/>
        </w:trPr>
        <w:tc>
          <w:tcPr>
            <w:tcW w:w="4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1"/>
        </w:trPr>
        <w:tc>
          <w:tcPr>
            <w:tcW w:w="4140" w:type="dxa"/>
            <w:vAlign w:val="bottom"/>
          </w:tcPr>
          <w:p>
            <w:pPr>
              <w:spacing w:after="0"/>
              <w:rPr>
                <w:sz w:val="12"/>
                <w:szCs w:val="12"/>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4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1"/>
        </w:trPr>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80" w:type="dxa"/>
            <w:vAlign w:val="bottom"/>
            <w:gridSpan w:val="3"/>
          </w:tcPr>
          <w:p>
            <w:pPr>
              <w:jc w:val="right"/>
              <w:ind w:right="91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04"/>
        </w:trPr>
        <w:tc>
          <w:tcPr>
            <w:tcW w:w="4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9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Available-for-sale securities</w:t>
            </w: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U.S. government bonds</w:t>
            </w:r>
          </w:p>
        </w:tc>
        <w:tc>
          <w:tcPr>
            <w:tcW w:w="1120" w:type="dxa"/>
            <w:vAlign w:val="bottom"/>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93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80,946</w:t>
            </w:r>
          </w:p>
        </w:tc>
        <w:tc>
          <w:tcPr>
            <w:tcW w:w="200" w:type="dxa"/>
            <w:vAlign w:val="bottom"/>
          </w:tcPr>
          <w:p>
            <w:pPr>
              <w:spacing w:after="0"/>
              <w:rPr>
                <w:sz w:val="15"/>
                <w:szCs w:val="15"/>
                <w:color w:val="auto"/>
              </w:rPr>
            </w:pPr>
          </w:p>
        </w:tc>
        <w:tc>
          <w:tcPr>
            <w:tcW w:w="1220" w:type="dxa"/>
            <w:vAlign w:val="bottom"/>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80,946</w:t>
            </w: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Commercial notes</w:t>
            </w:r>
          </w:p>
        </w:tc>
        <w:tc>
          <w:tcPr>
            <w:tcW w:w="1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114,616</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114,616</w:t>
            </w:r>
          </w:p>
        </w:tc>
      </w:tr>
      <w:tr>
        <w:trPr>
          <w:trHeight w:val="183"/>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171,710</w:t>
            </w:r>
          </w:p>
        </w:tc>
        <w:tc>
          <w:tcPr>
            <w:tcW w:w="2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171,710</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available-for-sale securities</w:t>
            </w:r>
          </w:p>
        </w:tc>
        <w:tc>
          <w:tcPr>
            <w:tcW w:w="1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367,272</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367,272</w:t>
            </w:r>
          </w:p>
        </w:tc>
      </w:tr>
      <w:tr>
        <w:trPr>
          <w:trHeight w:val="183"/>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Money market instruments</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29,495</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29,495</w:t>
            </w:r>
          </w:p>
        </w:tc>
      </w:tr>
      <w:tr>
        <w:trPr>
          <w:trHeight w:val="183"/>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Commercial notes</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4,986</w:t>
            </w:r>
          </w:p>
        </w:tc>
        <w:tc>
          <w:tcPr>
            <w:tcW w:w="2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4,986</w:t>
            </w:r>
          </w:p>
        </w:tc>
      </w:tr>
      <w:tr>
        <w:trPr>
          <w:trHeight w:val="18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equivalents</w:t>
            </w:r>
          </w:p>
        </w:tc>
        <w:tc>
          <w:tcPr>
            <w:tcW w:w="1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29,495</w:t>
            </w:r>
          </w:p>
        </w:tc>
        <w:tc>
          <w:tcPr>
            <w:tcW w:w="2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w:t>
            </w:r>
          </w:p>
        </w:tc>
        <w:tc>
          <w:tcPr>
            <w:tcW w:w="2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34,481</w:t>
            </w:r>
          </w:p>
        </w:tc>
      </w:tr>
      <w:tr>
        <w:trPr>
          <w:trHeight w:val="189"/>
        </w:trPr>
        <w:tc>
          <w:tcPr>
            <w:tcW w:w="41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Total financial assets</w:t>
            </w:r>
          </w:p>
        </w:tc>
        <w:tc>
          <w:tcPr>
            <w:tcW w:w="1120" w:type="dxa"/>
            <w:vAlign w:val="bottom"/>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29,495</w:t>
            </w:r>
          </w:p>
        </w:tc>
        <w:tc>
          <w:tcPr>
            <w:tcW w:w="200" w:type="dxa"/>
            <w:vAlign w:val="bottom"/>
          </w:tcPr>
          <w:p>
            <w:pPr>
              <w:spacing w:after="0"/>
              <w:rPr>
                <w:sz w:val="16"/>
                <w:szCs w:val="16"/>
                <w:color w:val="auto"/>
              </w:rPr>
            </w:pPr>
          </w:p>
        </w:tc>
        <w:tc>
          <w:tcPr>
            <w:tcW w:w="1080" w:type="dxa"/>
            <w:vAlign w:val="bottom"/>
          </w:tcPr>
          <w:p>
            <w:pPr>
              <w:jc w:val="right"/>
              <w:ind w:right="93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372,258</w:t>
            </w:r>
          </w:p>
        </w:tc>
        <w:tc>
          <w:tcPr>
            <w:tcW w:w="200" w:type="dxa"/>
            <w:vAlign w:val="bottom"/>
          </w:tcPr>
          <w:p>
            <w:pPr>
              <w:spacing w:after="0"/>
              <w:rPr>
                <w:sz w:val="16"/>
                <w:szCs w:val="16"/>
                <w:color w:val="auto"/>
              </w:rPr>
            </w:pPr>
          </w:p>
        </w:tc>
        <w:tc>
          <w:tcPr>
            <w:tcW w:w="1220" w:type="dxa"/>
            <w:vAlign w:val="bottom"/>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401,753</w:t>
            </w:r>
          </w:p>
        </w:tc>
      </w:tr>
      <w:tr>
        <w:trPr>
          <w:trHeight w:val="20"/>
        </w:trPr>
        <w:tc>
          <w:tcPr>
            <w:tcW w:w="4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60" w:type="dxa"/>
            <w:vAlign w:val="bottom"/>
            <w:gridSpan w:val="3"/>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30"/>
        </w:trPr>
        <w:tc>
          <w:tcPr>
            <w:tcW w:w="3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1"/>
        </w:trPr>
        <w:tc>
          <w:tcPr>
            <w:tcW w:w="3840" w:type="dxa"/>
            <w:vAlign w:val="bottom"/>
          </w:tcPr>
          <w:p>
            <w:pPr>
              <w:spacing w:after="0"/>
              <w:rPr>
                <w:sz w:val="12"/>
                <w:szCs w:val="12"/>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3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1"/>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60" w:type="dxa"/>
            <w:vAlign w:val="bottom"/>
            <w:gridSpan w:val="3"/>
          </w:tcPr>
          <w:p>
            <w:pPr>
              <w:jc w:val="right"/>
              <w:ind w:right="95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04"/>
        </w:trPr>
        <w:tc>
          <w:tcPr>
            <w:tcW w:w="3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9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Available-for-sale securities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3"/>
        </w:trPr>
        <w:tc>
          <w:tcPr>
            <w:tcW w:w="3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U.S. government bonds</w:t>
            </w:r>
          </w:p>
        </w:tc>
        <w:tc>
          <w:tcPr>
            <w:tcW w:w="1160" w:type="dxa"/>
            <w:vAlign w:val="bottom"/>
          </w:tcPr>
          <w:p>
            <w:pPr>
              <w:jc w:val="right"/>
              <w:ind w:right="101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31,553</w:t>
            </w:r>
          </w:p>
        </w:tc>
        <w:tc>
          <w:tcPr>
            <w:tcW w:w="200" w:type="dxa"/>
            <w:vAlign w:val="bottom"/>
          </w:tcPr>
          <w:p>
            <w:pPr>
              <w:spacing w:after="0"/>
              <w:rPr>
                <w:sz w:val="15"/>
                <w:szCs w:val="15"/>
                <w:color w:val="auto"/>
              </w:rPr>
            </w:pPr>
          </w:p>
        </w:tc>
        <w:tc>
          <w:tcPr>
            <w:tcW w:w="1120" w:type="dxa"/>
            <w:vAlign w:val="bottom"/>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31,553</w:t>
            </w:r>
          </w:p>
        </w:tc>
      </w:tr>
      <w:tr>
        <w:trPr>
          <w:trHeight w:val="19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Municipal securities</w:t>
            </w:r>
          </w:p>
        </w:tc>
        <w:tc>
          <w:tcPr>
            <w:tcW w:w="1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w:t>
            </w:r>
          </w:p>
        </w:tc>
      </w:tr>
      <w:tr>
        <w:trPr>
          <w:trHeight w:val="183"/>
        </w:trPr>
        <w:tc>
          <w:tcPr>
            <w:tcW w:w="3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notes</w:t>
            </w:r>
          </w:p>
        </w:tc>
        <w:tc>
          <w:tcPr>
            <w:tcW w:w="11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22,205</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22,205</w:t>
            </w:r>
          </w:p>
        </w:tc>
      </w:tr>
      <w:tr>
        <w:trPr>
          <w:trHeight w:val="19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231,884</w:t>
            </w:r>
          </w:p>
        </w:tc>
        <w:tc>
          <w:tcPr>
            <w:tcW w:w="2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231,884</w:t>
            </w:r>
          </w:p>
        </w:tc>
      </w:tr>
      <w:tr>
        <w:trPr>
          <w:trHeight w:val="174"/>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available-for-sale securities</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31,553</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261,182</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292,735</w:t>
            </w:r>
          </w:p>
        </w:tc>
      </w:tr>
      <w:tr>
        <w:trPr>
          <w:trHeight w:val="19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83"/>
        </w:trPr>
        <w:tc>
          <w:tcPr>
            <w:tcW w:w="3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Money market instruments</w:t>
            </w: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39,733</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39,733</w:t>
            </w:r>
          </w:p>
        </w:tc>
      </w:tr>
      <w:tr>
        <w:trPr>
          <w:trHeight w:val="18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equivalents</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39,733</w:t>
            </w:r>
          </w:p>
        </w:tc>
        <w:tc>
          <w:tcPr>
            <w:tcW w:w="2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39,733</w:t>
            </w:r>
          </w:p>
        </w:tc>
      </w:tr>
      <w:tr>
        <w:trPr>
          <w:trHeight w:val="189"/>
        </w:trPr>
        <w:tc>
          <w:tcPr>
            <w:tcW w:w="38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Total financial assets</w:t>
            </w:r>
          </w:p>
        </w:tc>
        <w:tc>
          <w:tcPr>
            <w:tcW w:w="1160" w:type="dxa"/>
            <w:vAlign w:val="bottom"/>
          </w:tcPr>
          <w:p>
            <w:pPr>
              <w:jc w:val="right"/>
              <w:ind w:right="101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71,286</w:t>
            </w:r>
          </w:p>
        </w:tc>
        <w:tc>
          <w:tcPr>
            <w:tcW w:w="200" w:type="dxa"/>
            <w:vAlign w:val="bottom"/>
          </w:tcPr>
          <w:p>
            <w:pPr>
              <w:spacing w:after="0"/>
              <w:rPr>
                <w:sz w:val="16"/>
                <w:szCs w:val="16"/>
                <w:color w:val="auto"/>
              </w:rPr>
            </w:pPr>
          </w:p>
        </w:tc>
        <w:tc>
          <w:tcPr>
            <w:tcW w:w="1120" w:type="dxa"/>
            <w:vAlign w:val="bottom"/>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261,182</w:t>
            </w:r>
          </w:p>
        </w:tc>
        <w:tc>
          <w:tcPr>
            <w:tcW w:w="200" w:type="dxa"/>
            <w:vAlign w:val="bottom"/>
          </w:tcPr>
          <w:p>
            <w:pPr>
              <w:spacing w:after="0"/>
              <w:rPr>
                <w:sz w:val="16"/>
                <w:szCs w:val="16"/>
                <w:color w:val="auto"/>
              </w:rPr>
            </w:pPr>
          </w:p>
        </w:tc>
        <w:tc>
          <w:tcPr>
            <w:tcW w:w="1280" w:type="dxa"/>
            <w:vAlign w:val="bottom"/>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332,468</w:t>
            </w:r>
          </w:p>
        </w:tc>
      </w:tr>
      <w:tr>
        <w:trPr>
          <w:trHeight w:val="20"/>
        </w:trPr>
        <w:tc>
          <w:tcPr>
            <w:tcW w:w="38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LIABILITY RELATED TO THE SALE OF FUTURE ROYALTIES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November 2022, the Company and Royalty Pharma entered into the Royalty Pharma Agreement, pursuant to which Royalty Pharma agreed to pay up to $410.0 million in cash to the Company in consideration for the Company’s future royalty interest in olpasiran, a siRNA originally developed by the Company and licensed to Amgen in September 2016 under the Olpasiran Agreement.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Royalty Pharma Agreement, Royalty Pharma paid $250.0 million upfront and agreed to pay up to 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4"/>
          <w:szCs w:val="14"/>
          <w:color w:val="auto"/>
        </w:rPr>
        <w:t>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During the third quarter of fiscal 2024, Amgen completed enrollment of the Phase 3 OCEAN(a) outcomes trial of olpasiran, which triggered a $50.0 million milestone payment that the Company received in the same quarter.</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has evaluated the terms of the Royalty Pharma Agreement and concluded, in accordance with the relevant accounting guidance, that the Company accounted for the transaction as debt and the funding of $250.0 million and $50.0 million from Royalty Pharma were recorded as liabilities related to the sale of future royalties on its consolidated balance sheets. The Company is not obligated to repay these funds received under the Royalty Pharma Agreement.</w:t>
      </w:r>
    </w:p>
    <w:p>
      <w:pPr>
        <w:spacing w:after="0" w:line="5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Company records the obligations at their carrying value using the effective interest method. In order to amortize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As of June 30, 2024, the estimated effective interest rate was 6.3%.</w:t>
      </w: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activity with respect to the liability related to the sale of future royalties.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Carrying Amount</w:t>
            </w:r>
          </w:p>
        </w:tc>
      </w:tr>
      <w:tr>
        <w:trPr>
          <w:trHeight w:val="30"/>
        </w:trPr>
        <w:tc>
          <w:tcPr>
            <w:tcW w:w="9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41"/>
        </w:trPr>
        <w:tc>
          <w:tcPr>
            <w:tcW w:w="9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30"/>
        </w:trPr>
        <w:tc>
          <w:tcPr>
            <w:tcW w:w="9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Carrying value as of September 30, 2023</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268,326</w:t>
            </w:r>
          </w:p>
        </w:tc>
      </w:tr>
      <w:tr>
        <w:trPr>
          <w:trHeight w:val="205"/>
        </w:trPr>
        <w:tc>
          <w:tcPr>
            <w:tcW w:w="9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Milestone payment received</w:t>
            </w:r>
          </w:p>
        </w:tc>
        <w:tc>
          <w:tcPr>
            <w:tcW w:w="3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21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interest expense recognized</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17,705</w:t>
            </w:r>
          </w:p>
        </w:tc>
      </w:tr>
      <w:tr>
        <w:trPr>
          <w:trHeight w:val="189"/>
        </w:trPr>
        <w:tc>
          <w:tcPr>
            <w:tcW w:w="9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Carrying value as of June 30, 2024</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336,031</w:t>
            </w:r>
          </w:p>
        </w:tc>
      </w:tr>
      <w:tr>
        <w:trPr>
          <w:trHeight w:val="20"/>
        </w:trPr>
        <w:tc>
          <w:tcPr>
            <w:tcW w:w="9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NET LOSS PER SHARE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computation of basic and diluted net loss per share for the three and nine months ended June 30, 2024 and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9"/>
        </w:trPr>
        <w:tc>
          <w:tcPr>
            <w:tcW w:w="5000" w:type="dxa"/>
            <w:vAlign w:val="bottom"/>
          </w:tcPr>
          <w:p>
            <w:pPr>
              <w:spacing w:after="0"/>
              <w:rPr>
                <w:sz w:val="14"/>
                <w:szCs w:val="14"/>
                <w:color w:val="auto"/>
              </w:rPr>
            </w:pPr>
          </w:p>
        </w:tc>
        <w:tc>
          <w:tcPr>
            <w:tcW w:w="3160" w:type="dxa"/>
            <w:vAlign w:val="bottom"/>
            <w:gridSpan w:val="5"/>
          </w:tcPr>
          <w:p>
            <w:pPr>
              <w:ind w:left="8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60" w:type="dxa"/>
            <w:vAlign w:val="bottom"/>
          </w:tcPr>
          <w:p>
            <w:pPr>
              <w:spacing w:after="0"/>
              <w:rPr>
                <w:sz w:val="14"/>
                <w:szCs w:val="14"/>
                <w:color w:val="auto"/>
              </w:rPr>
            </w:pPr>
          </w:p>
        </w:tc>
        <w:tc>
          <w:tcPr>
            <w:tcW w:w="2740" w:type="dxa"/>
            <w:vAlign w:val="bottom"/>
            <w:gridSpan w:val="3"/>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r>
      <w:tr>
        <w:trPr>
          <w:trHeight w:val="151"/>
        </w:trPr>
        <w:tc>
          <w:tcPr>
            <w:tcW w:w="500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50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6"/>
        </w:trPr>
        <w:tc>
          <w:tcPr>
            <w:tcW w:w="5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60" w:type="dxa"/>
            <w:vAlign w:val="bottom"/>
            <w:gridSpan w:val="4"/>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Arrowhead Pharmaceuticals, Inc.</w:t>
            </w:r>
          </w:p>
        </w:tc>
        <w:tc>
          <w:tcPr>
            <w:tcW w:w="920" w:type="dxa"/>
            <w:vAlign w:val="bottom"/>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(170,793)</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(102,946)</w:t>
            </w:r>
          </w:p>
        </w:tc>
        <w:tc>
          <w:tcPr>
            <w:tcW w:w="80" w:type="dxa"/>
            <w:vAlign w:val="bottom"/>
          </w:tcPr>
          <w:p>
            <w:pPr>
              <w:spacing w:after="0"/>
              <w:rPr>
                <w:sz w:val="15"/>
                <w:szCs w:val="15"/>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(428,957)</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(95,596)</w:t>
            </w:r>
          </w:p>
        </w:tc>
      </w:tr>
      <w:tr>
        <w:trPr>
          <w:trHeight w:val="209"/>
        </w:trPr>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Weighted-average basic shares outstanding</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124,199</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118,260</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106,597</w:t>
            </w:r>
          </w:p>
        </w:tc>
      </w:tr>
      <w:tr>
        <w:trPr>
          <w:trHeight w:val="183"/>
        </w:trPr>
        <w:tc>
          <w:tcPr>
            <w:tcW w:w="5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Effect of dilutive securities</w:t>
            </w:r>
          </w:p>
        </w:tc>
        <w:tc>
          <w:tcPr>
            <w:tcW w:w="92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Weighted-average diluted shares outstanding</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124,199</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118,260</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106,597</w:t>
            </w:r>
          </w:p>
        </w:tc>
      </w:tr>
      <w:tr>
        <w:trPr>
          <w:trHeight w:val="202"/>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net loss per share</w:t>
            </w:r>
          </w:p>
        </w:tc>
        <w:tc>
          <w:tcPr>
            <w:tcW w:w="92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(0.90)</w:t>
            </w:r>
          </w:p>
        </w:tc>
      </w:tr>
      <w:tr>
        <w:trPr>
          <w:trHeight w:val="176"/>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net loss per share</w:t>
            </w:r>
          </w:p>
        </w:tc>
        <w:tc>
          <w:tcPr>
            <w:tcW w:w="920" w:type="dxa"/>
            <w:vAlign w:val="bottom"/>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80" w:type="dxa"/>
            <w:vAlign w:val="bottom"/>
          </w:tcPr>
          <w:p>
            <w:pPr>
              <w:spacing w:after="0"/>
              <w:rPr>
                <w:sz w:val="15"/>
                <w:szCs w:val="15"/>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(0.90)</w:t>
            </w:r>
          </w:p>
        </w:tc>
      </w:tr>
    </w:tbl>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potentially dilutive securities that have been excluded from the calculation of diluted net loss per share because to include them would be anti-dilutive.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758"/>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r>
      <w:tr>
        <w:trPr>
          <w:trHeight w:val="151"/>
        </w:trPr>
        <w:tc>
          <w:tcPr>
            <w:tcW w:w="612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480" w:type="dxa"/>
            <w:vAlign w:val="bottom"/>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4"/>
        </w:trPr>
        <w:tc>
          <w:tcPr>
            <w:tcW w:w="5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r>
      <w:tr>
        <w:trPr>
          <w:trHeight w:val="18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stock units</w:t>
            </w: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3,976</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4,060</w:t>
            </w:r>
          </w:p>
        </w:tc>
        <w:tc>
          <w:tcPr>
            <w:tcW w:w="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3,256</w:t>
            </w:r>
          </w:p>
        </w:tc>
      </w:tr>
      <w:tr>
        <w:trPr>
          <w:trHeight w:val="20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4,771</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SUBSEQUENT EVENTS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Agreement</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On August 7, 2024 (the “Closing Date”), the Company entered into a financing agreement (the “Financing Agreement”) with the guarantors party thereto, the lenders party thereto (the “Lenders”), and Sixth Street Lending Partners, as the administrative agent and collateral agent for the Lenders. The Financing Agreement provides for a senior secured term loan facility of $500.0 million (the “Credit Facility”), which includes $400.0 million funded on the Closing Date with an additional $100.0 million at the Company’s option, subject to mutual agreement between Sixth Street and the Company, during the seven-year term of the agreement. The Credit Facility matures on August 7, 2031 (the “Maturity Date”) and bears interest at an annual rate equal to 15.0%. The Credit Facility does not provide for scheduled amortization payments during the term, and all principal will be due on the Maturity Date. The Company has the right to prepay loans under the Financing Agreement at any time. See Item 5. Other Information of Part II,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4" w:right="319" w:bottom="1440" w:gutter="0" w:footer="0" w:header="0"/>
        </w:sectPr>
      </w:pPr>
    </w:p>
    <w:bookmarkStart w:id="24" w:name="page25"/>
    <w:bookmarkEnd w:id="24"/>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4" w:lineRule="exact"/>
        <w:rPr>
          <w:sz w:val="20"/>
          <w:szCs w:val="20"/>
          <w:color w:val="auto"/>
        </w:rPr>
      </w:pPr>
    </w:p>
    <w:p>
      <w:pPr>
        <w:jc w:val="both"/>
        <w:ind w:firstLine="382"/>
        <w:spacing w:after="0" w:line="268"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“expect,” “believe,” “anticipate,” “goal,” “endeavor,” “strive,”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including any commercialization efforts, our research and development programs, and our “20 in 25” pipeline goal;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research and development expenses, capital requirements and payments to third parties.</w:t>
      </w:r>
    </w:p>
    <w:p>
      <w:pPr>
        <w:spacing w:after="0" w:line="5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and timing of certain events may differ materially from the results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1. Business”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Item 1A. Risk Factors” of Part I and “Item 7. Management’s Discussion and Analysis of Financial Condition and Results of Operations” of Part II of our most recent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develops medicines that treat intractable diseases by silencing the genes that cause them. Using a broad portfolio of RNA chemistries and efficient modes of delivery, the Company’s therapies trigger the RNAi interference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w:t>
      </w:r>
    </w:p>
    <w:p>
      <w:pPr>
        <w:spacing w:after="0" w:line="56" w:lineRule="exact"/>
        <w:rPr>
          <w:sz w:val="20"/>
          <w:szCs w:val="20"/>
          <w:color w:val="auto"/>
        </w:rPr>
      </w:pPr>
    </w:p>
    <w:p>
      <w:pPr>
        <w:jc w:val="both"/>
        <w:ind w:firstLine="382"/>
        <w:spacing w:after="0" w:line="241" w:lineRule="auto"/>
        <w:rPr>
          <w:sz w:val="20"/>
          <w:szCs w:val="20"/>
          <w:color w:val="auto"/>
        </w:rPr>
      </w:pPr>
      <w:r>
        <w:rPr>
          <w:rFonts w:ascii="Times New Roman" w:cs="Times New Roman" w:eastAsia="Times New Roman" w:hAnsi="Times New Roman"/>
          <w:sz w:val="14"/>
          <w:szCs w:val="14"/>
          <w:color w:val="auto"/>
        </w:rPr>
        <w:t>The Company has focused its resources on therapeutics that exclusively utilize its high levels of pharmacologic activity in multiple animal models spanning several therapeutic areas. The Company believes that TRiM</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CNS, muscle and adipose tissue; and the potential for improved safety and reduced risk of intracellular buildup, because there are fewer metabolites from smaller, simpler molecules.</w:t>
      </w:r>
    </w:p>
    <w:p>
      <w:pPr>
        <w:spacing w:after="0" w:line="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clinical pipeline includes:</w:t>
      </w:r>
    </w:p>
    <w:p>
      <w:pPr>
        <w:spacing w:after="0" w:line="94" w:lineRule="exact"/>
        <w:rPr>
          <w:sz w:val="20"/>
          <w:szCs w:val="20"/>
          <w:color w:val="auto"/>
        </w:rPr>
      </w:pPr>
    </w:p>
    <w:p>
      <w:pPr>
        <w:ind w:left="1020" w:hanging="379"/>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Hypertriglyceridemia - plozasiran (formerly ARO-APOC3);</w:t>
      </w:r>
    </w:p>
    <w:p>
      <w:pPr>
        <w:spacing w:after="0" w:line="2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Dyslipidemia - zodasiran (formerly ARO-ANG3);</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Cardiovascular disease - olpasiran (formerly AMG 890 or ARO-LPA, out-licensed to Amgen);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25" w:name="page26"/>
    <w:bookmarkEnd w:id="25"/>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Muco-obstructive or inflammatory pulmonary conditions - ARO-MUC5AC and ARO-RAGE;</w:t>
      </w:r>
    </w:p>
    <w:p>
      <w:pPr>
        <w:spacing w:after="0" w:line="2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Idiopathic pulmonary fibrosis - ARO-MMP7;</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Non-alcoholic steatohepatitis (NASH) - GSK-4532990 (formerly ARO-HSD, out-licensed to GSK);</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Alpha-1 antitrypsin deficiency (AATD) - fazirsiran (formerly ARO-AAT, a collaboration with Takeda);</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Chronic hepatitis B virus - daplusiran/tomligisiran (GSK5637608, formerly JNJ-3989, out-licensed to GSK);</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Complement mediated diseases - ARO-C3;</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Non-alcoholic steatohepatitis (NASH) - ARO-PNPLA3 (formerly JNJ-75220795 or ARO-JNJ1);</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Facioscapulohumeral muscular dystrophy - ARO-DUX4;</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Dystrophia myotonica protein kinase (DMPK) - ARO-DM1; and</w:t>
      </w:r>
    </w:p>
    <w:p>
      <w:pPr>
        <w:spacing w:after="0" w:line="8"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Hepatic expression of complement factor B (CFB) - ARO-CFB.</w:t>
      </w:r>
    </w:p>
    <w:p>
      <w:pPr>
        <w:spacing w:after="0" w:line="7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operates lab facilities in California and Wisconsin, where its research and development activities, including the development of RNAi therapeutics, take place. The Company’s principal executive offices are located in Pasadena, California.</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continues to develop other clinical candidates for future clinical trials. Clinical candidates are tested internally and through Good Laboratory Practice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including toxicology/efficacy testing and manufacturing costs, as well as the preparation for and administration of clinical trials, are referred to as “candidate costs.” As clinical candidates progress through clinical development, candidate costs will increase.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First Three Quarters of Fiscal 2024 Business Highlights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Key recent developments through the first three quarters of fiscal 2024 included the following:</w:t>
      </w:r>
    </w:p>
    <w:p>
      <w:pPr>
        <w:spacing w:after="0" w:line="94" w:lineRule="exact"/>
        <w:rPr>
          <w:sz w:val="20"/>
          <w:szCs w:val="20"/>
          <w:color w:val="auto"/>
        </w:rPr>
      </w:pPr>
    </w:p>
    <w:p>
      <w:pPr>
        <w:ind w:left="760" w:hanging="182"/>
        <w:spacing w:after="0" w:line="287"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plans to advance investigational plozasiran into a Phase 3 cardiovascular outcomes trial called CAPITAN, which is designed to enroll patients with mixed hyperlipidemia and residual risk of atherosclerotic cardiovascular disease;</w:t>
      </w:r>
    </w:p>
    <w:p>
      <w:pPr>
        <w:spacing w:after="0" w:line="39" w:lineRule="exact"/>
        <w:rPr>
          <w:rFonts w:ascii="Times New Roman" w:cs="Times New Roman" w:eastAsia="Times New Roman" w:hAnsi="Times New Roman"/>
          <w:sz w:val="14"/>
          <w:szCs w:val="14"/>
          <w:color w:val="auto"/>
        </w:rPr>
      </w:pPr>
    </w:p>
    <w:p>
      <w:pPr>
        <w:ind w:left="760" w:hanging="182"/>
        <w:spacing w:after="0" w:line="287"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successful top-line results from the pivotal Phase 3 PALISADE study of investigational plozasiran in patients with familial chylomicronemia syndrome (FCS). The Company highlighted recent data for its cardiometabolic pipeline at its June 25, 2024, Cardiometabolic event;</w:t>
      </w:r>
    </w:p>
    <w:p>
      <w:pPr>
        <w:spacing w:after="0" w:line="36" w:lineRule="exact"/>
        <w:rPr>
          <w:rFonts w:ascii="Times New Roman" w:cs="Times New Roman" w:eastAsia="Times New Roman" w:hAnsi="Times New Roman"/>
          <w:sz w:val="14"/>
          <w:szCs w:val="14"/>
          <w:color w:val="auto"/>
        </w:rPr>
      </w:pPr>
    </w:p>
    <w:p>
      <w:pPr>
        <w:jc w:val="both"/>
        <w:ind w:left="760" w:hanging="182"/>
        <w:spacing w:after="0" w:line="238"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preclinical data on ARO-INHBE for the treatment of obesity and metabolic diseases at the American Diabetes Association 84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Scientific Sessions. INHBE small interfering RNA (siRNA) administration resulted in multiple promising findings including: (1) 95% reduction in INHBE mRNA expression, (2) 19% suppression of body weight compared to saline controls, (3) 26% loss of fat mass, and (4) preservation of lean mass;</w:t>
      </w:r>
    </w:p>
    <w:p>
      <w:pPr>
        <w:spacing w:after="0" w:line="72" w:lineRule="exact"/>
        <w:rPr>
          <w:rFonts w:ascii="Times New Roman" w:cs="Times New Roman" w:eastAsia="Times New Roman" w:hAnsi="Times New Roman"/>
          <w:sz w:val="14"/>
          <w:szCs w:val="14"/>
          <w:color w:val="auto"/>
        </w:rPr>
      </w:pPr>
    </w:p>
    <w:p>
      <w:pPr>
        <w:ind w:left="760" w:hanging="182"/>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results from the Phase 2b double blind, randomized ARCHES-2 study of investigational zodasiran in patients with mixed hyperlipidemia;</w:t>
      </w:r>
    </w:p>
    <w:p>
      <w:pPr>
        <w:spacing w:after="0" w:line="93" w:lineRule="exact"/>
        <w:rPr>
          <w:rFonts w:ascii="Times New Roman" w:cs="Times New Roman" w:eastAsia="Times New Roman" w:hAnsi="Times New Roman"/>
          <w:sz w:val="14"/>
          <w:szCs w:val="14"/>
          <w:color w:val="auto"/>
        </w:rPr>
      </w:pPr>
    </w:p>
    <w:p>
      <w:pPr>
        <w:ind w:left="760" w:hanging="182"/>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that new interim clinical data on ARO-RAGE achieves high level of gene knockdown in patients with asthma;</w:t>
      </w:r>
    </w:p>
    <w:p>
      <w:pPr>
        <w:spacing w:after="0" w:line="93" w:lineRule="exact"/>
        <w:rPr>
          <w:rFonts w:ascii="Times New Roman" w:cs="Times New Roman" w:eastAsia="Times New Roman" w:hAnsi="Times New Roman"/>
          <w:sz w:val="14"/>
          <w:szCs w:val="14"/>
          <w:color w:val="auto"/>
        </w:rPr>
      </w:pPr>
    </w:p>
    <w:p>
      <w:pPr>
        <w:ind w:left="760" w:hanging="182"/>
        <w:spacing w:after="0" w:line="287"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Completed enrollment in Amgen’s Phase 3 OCEAN(a) - outcome trial of olpasiran, triggering a $50.0 million milestone payment to the Company, which was paid in the third quarter of fiscal 2024;</w:t>
      </w:r>
    </w:p>
    <w:p>
      <w:pPr>
        <w:spacing w:after="0" w:line="39" w:lineRule="exact"/>
        <w:rPr>
          <w:rFonts w:ascii="Times New Roman" w:cs="Times New Roman" w:eastAsia="Times New Roman" w:hAnsi="Times New Roman"/>
          <w:sz w:val="14"/>
          <w:szCs w:val="14"/>
          <w:color w:val="auto"/>
        </w:rPr>
      </w:pPr>
    </w:p>
    <w:p>
      <w:pPr>
        <w:jc w:val="both"/>
        <w:ind w:left="760" w:hanging="182"/>
        <w:spacing w:after="0" w:line="27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final data from the double-blind treatment period of the Company’s Phase 2 SHASTA-2 study of investigational plozasiran in patients with severe Hypertriglyceridemia. Results from the SHASTA-2 study showed dramatic, consistent, and sustained reductions in Apolipoprotein C-III (APOC3) and triglycerides and improvement in multiple atherogenic lipoprotein levels;</w:t>
      </w:r>
    </w:p>
    <w:p>
      <w:pPr>
        <w:spacing w:after="0" w:line="50" w:lineRule="exact"/>
        <w:rPr>
          <w:rFonts w:ascii="Times New Roman" w:cs="Times New Roman" w:eastAsia="Times New Roman" w:hAnsi="Times New Roman"/>
          <w:sz w:val="14"/>
          <w:szCs w:val="14"/>
          <w:color w:val="auto"/>
        </w:rPr>
      </w:pPr>
    </w:p>
    <w:p>
      <w:pPr>
        <w:ind w:left="760" w:hanging="182"/>
        <w:spacing w:after="0" w:line="287" w:lineRule="auto"/>
        <w:tabs>
          <w:tab w:leader="none" w:pos="756"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Announced an Expanded Access Program (“EAP”) to make investigational plozasiran available outside of a clinical trial for qualifying patients with familial chylomicronemia syndrome (FCS);</w:t>
      </w:r>
    </w:p>
    <w:p>
      <w:pPr>
        <w:spacing w:after="0" w:line="39" w:lineRule="exact"/>
        <w:rPr>
          <w:rFonts w:ascii="Times New Roman" w:cs="Times New Roman" w:eastAsia="Times New Roman" w:hAnsi="Times New Roman"/>
          <w:sz w:val="14"/>
          <w:szCs w:val="14"/>
          <w:b w:val="1"/>
          <w:bCs w:val="1"/>
          <w:i w:val="1"/>
          <w:iCs w:val="1"/>
          <w:color w:val="auto"/>
        </w:rPr>
      </w:pPr>
    </w:p>
    <w:p>
      <w:pPr>
        <w:ind w:left="760" w:hanging="182"/>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Initiated a Phase 1/2a clinical trial of ARO-DM1, being developed as a potential treatment for type 1 myotonic dystrophy (DM1), the most common adult-onset muscular dystrophy;</w:t>
      </w:r>
    </w:p>
    <w:p>
      <w:pPr>
        <w:spacing w:after="0" w:line="93" w:lineRule="exact"/>
        <w:rPr>
          <w:rFonts w:ascii="Times New Roman" w:cs="Times New Roman" w:eastAsia="Times New Roman" w:hAnsi="Times New Roman"/>
          <w:sz w:val="14"/>
          <w:szCs w:val="14"/>
          <w:color w:val="auto"/>
        </w:rPr>
      </w:pPr>
    </w:p>
    <w:p>
      <w:pPr>
        <w:ind w:left="760" w:hanging="182"/>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an application for clearance to initiate a Phase 1/2a clinical trial of ARO-CFB, being developed as a potential treatment for complement mediated renal disease;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6" w:name="page27"/>
    <w:bookmarkEnd w:id="26"/>
    <w:p>
      <w:pPr>
        <w:jc w:val="both"/>
        <w:ind w:left="760" w:hanging="182"/>
        <w:spacing w:after="0" w:line="270"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an underwriting agreement with Jefferies LLC, BofA Securities, Inc., and Cowen and Company, LLC, as representatives of the several underwriters. The Company issued 15,790,000 shares of common stock at a price of $28.50 per share. The aggregate purchase price paid by investors was $450.0 million and the Company received net proceeds of $429.3 million after deducting advisory fees and offering expenses; and</w:t>
      </w:r>
    </w:p>
    <w:p>
      <w:pPr>
        <w:spacing w:after="0" w:line="50" w:lineRule="exact"/>
        <w:rPr>
          <w:rFonts w:ascii="Times New Roman" w:cs="Times New Roman" w:eastAsia="Times New Roman" w:hAnsi="Times New Roman"/>
          <w:sz w:val="14"/>
          <w:szCs w:val="14"/>
          <w:color w:val="auto"/>
        </w:rPr>
      </w:pPr>
    </w:p>
    <w:p>
      <w:pPr>
        <w:jc w:val="both"/>
        <w:ind w:left="760" w:hanging="182"/>
        <w:spacing w:after="0" w:line="270" w:lineRule="auto"/>
        <w:tabs>
          <w:tab w:leader="none" w:pos="756"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Entered into an Amended and Restated License Agreement with GSK, pursuant to which GSK received a worldwide, exclusive license to develop and commercialize daplusiran/tomligisiran (GSK5637608, formerly JNJ-3989). Daplusiran/tomligisiran had previously been licensed to Janssen Pharmaceuticals, Inc. See Note 2 - Collaboration and License Agreements to Consolidated Financial Statements of Part I, “Item 1. Financial Statements.”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loss attributable to Arrowhead Pharmaceuticals, Inc. was $170.8 million and $102.9 million for the three months ended June 30, 2024 and 2023, respectively. Net loss attributable to Arrowhead Pharmaceuticals, Inc. was $429.0 million and $95.6 million for the nine months ended June 30, 2024 and 2023, respectively. Net loss per share – diluted was $1.38 and $0.96 for the three months ended June 30, 2024 and 2023, respectively. Net loss per share – diluted was $3.63 and $0.90 for the nine months ended June 30, 2024 and 2023, respectively.</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changes in net loss attributable to the Company for the three and nine months ended June 30, 2024 were mainly due to a decrease in revenue from the Company’s license and collaboration agreements, in conjunction with increased research and development expenses, which have continued to increase as the Company’s pipeline of candidates has expanded and progressed through clinical trial phases.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had $69.4 million of cash, cash equivalents and restricted cash, $367.3 million in available-for-sale securities, and $883.8 million of total assets as of June 30, 2024, as compared to $110.9 million of cash, cash equivalents and restricted cash, $292.7 million in available-for-sale securities and $765.6 million of total assets as of September 30, 2023. Based upon the Company’s current cash and investment resources and operating plan, the Company expects to have sufficient liquidity to fund operations for at least the next twelve months from the date of the issuance of these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Estimates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have been no significant changes to the Company’s critical accounting estimates disclosed in the most recent Annual Report on Form 10-K for the fiscal year ended September 30, 2023.</w:t>
      </w:r>
    </w:p>
    <w:p>
      <w:pPr>
        <w:spacing w:after="0" w:line="2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data summarizes the Company’s results of operations for the following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940" w:type="dxa"/>
            <w:vAlign w:val="bottom"/>
          </w:tcPr>
          <w:p>
            <w:pPr>
              <w:spacing w:after="0"/>
              <w:rPr>
                <w:sz w:val="13"/>
                <w:szCs w:val="13"/>
                <w:color w:val="auto"/>
              </w:rPr>
            </w:pPr>
          </w:p>
        </w:tc>
        <w:tc>
          <w:tcPr>
            <w:tcW w:w="1740" w:type="dxa"/>
            <w:vAlign w:val="bottom"/>
            <w:gridSpan w:val="2"/>
          </w:tcPr>
          <w:p>
            <w:pPr>
              <w:jc w:val="center"/>
              <w:ind w:right="278"/>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c>
          <w:tcPr>
            <w:tcW w:w="600" w:type="dxa"/>
            <w:vAlign w:val="bottom"/>
          </w:tcPr>
          <w:p>
            <w:pPr>
              <w:spacing w:after="0"/>
              <w:rPr>
                <w:sz w:val="13"/>
                <w:szCs w:val="13"/>
                <w:color w:val="auto"/>
              </w:rPr>
            </w:pPr>
          </w:p>
        </w:tc>
      </w:tr>
      <w:tr>
        <w:trPr>
          <w:trHeight w:val="160"/>
        </w:trPr>
        <w:tc>
          <w:tcPr>
            <w:tcW w:w="48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top w:val="single" w:sz="8" w:color="auto"/>
              <w:bottom w:val="single" w:sz="8" w:color="auto"/>
            </w:tcBorders>
          </w:tcPr>
          <w:p>
            <w:pPr>
              <w:spacing w:after="0"/>
              <w:rPr>
                <w:sz w:val="13"/>
                <w:szCs w:val="13"/>
                <w:color w:val="auto"/>
              </w:rPr>
            </w:pPr>
          </w:p>
        </w:tc>
      </w:tr>
      <w:tr>
        <w:trPr>
          <w:trHeight w:val="147"/>
        </w:trPr>
        <w:tc>
          <w:tcPr>
            <w:tcW w:w="4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gridSpan w:val="3"/>
          </w:tcPr>
          <w:p>
            <w:pPr>
              <w:jc w:val="center"/>
              <w:ind w:left="340"/>
              <w:spacing w:after="0"/>
              <w:rPr>
                <w:sz w:val="20"/>
                <w:szCs w:val="20"/>
                <w:color w:val="auto"/>
              </w:rPr>
            </w:pPr>
            <w:r>
              <w:rPr>
                <w:rFonts w:ascii="Times New Roman" w:cs="Times New Roman" w:eastAsia="Times New Roman" w:hAnsi="Times New Roman"/>
                <w:sz w:val="10"/>
                <w:szCs w:val="10"/>
                <w:b w:val="1"/>
                <w:bCs w:val="1"/>
                <w:color w:val="auto"/>
                <w:w w:val="98"/>
              </w:rPr>
              <w:t>(in thousands, except per share amounts)</w:t>
            </w: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3"/>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3,551</w:t>
            </w:r>
          </w:p>
        </w:tc>
        <w:tc>
          <w:tcPr>
            <w:tcW w:w="1140" w:type="dxa"/>
            <w:vAlign w:val="bottom"/>
            <w:shd w:val="clear" w:color="auto" w:fill="CCEEFF"/>
          </w:tcPr>
          <w:p>
            <w:pPr>
              <w:jc w:val="center"/>
              <w:ind w:right="89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224,638</w:t>
            </w:r>
          </w:p>
        </w:tc>
      </w:tr>
      <w:tr>
        <w:trPr>
          <w:trHeight w:val="183"/>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(176,141)</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(102,703)</w:t>
            </w:r>
          </w:p>
        </w:tc>
        <w:tc>
          <w:tcPr>
            <w:tcW w:w="80" w:type="dxa"/>
            <w:vAlign w:val="bottom"/>
          </w:tcPr>
          <w:p>
            <w:pPr>
              <w:spacing w:after="0"/>
              <w:rPr>
                <w:sz w:val="15"/>
                <w:szCs w:val="15"/>
                <w:color w:val="auto"/>
              </w:rPr>
            </w:pPr>
          </w:p>
        </w:tc>
        <w:tc>
          <w:tcPr>
            <w:tcW w:w="940" w:type="dxa"/>
            <w:vAlign w:val="bottom"/>
          </w:tcPr>
          <w:p>
            <w:pPr>
              <w:jc w:val="center"/>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(438,877)</w:t>
            </w:r>
          </w:p>
        </w:tc>
        <w:tc>
          <w:tcPr>
            <w:tcW w:w="1140" w:type="dxa"/>
            <w:vAlign w:val="bottom"/>
          </w:tcPr>
          <w:p>
            <w:pPr>
              <w:jc w:val="center"/>
              <w:ind w:right="89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(96,672)</w:t>
            </w:r>
          </w:p>
        </w:tc>
      </w:tr>
      <w:tr>
        <w:trPr>
          <w:trHeight w:val="19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Arrowhead Pharmaceuticals, Inc.</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(170,793)</w:t>
            </w: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(102,946)</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(428,957)</w:t>
            </w:r>
          </w:p>
        </w:tc>
        <w:tc>
          <w:tcPr>
            <w:tcW w:w="1140" w:type="dxa"/>
            <w:vAlign w:val="bottom"/>
            <w:shd w:val="clear" w:color="auto" w:fill="CCEEFF"/>
          </w:tcPr>
          <w:p>
            <w:pPr>
              <w:jc w:val="center"/>
              <w:ind w:right="89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(95,596)</w:t>
            </w: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per share-diluted</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80" w:type="dxa"/>
            <w:vAlign w:val="bottom"/>
          </w:tcPr>
          <w:p>
            <w:pPr>
              <w:spacing w:after="0"/>
              <w:rPr>
                <w:sz w:val="15"/>
                <w:szCs w:val="15"/>
                <w:color w:val="auto"/>
              </w:rPr>
            </w:pPr>
          </w:p>
        </w:tc>
        <w:tc>
          <w:tcPr>
            <w:tcW w:w="940" w:type="dxa"/>
            <w:vAlign w:val="bottom"/>
          </w:tcPr>
          <w:p>
            <w:pPr>
              <w:jc w:val="center"/>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140" w:type="dxa"/>
            <w:vAlign w:val="bottom"/>
          </w:tcPr>
          <w:p>
            <w:pPr>
              <w:jc w:val="center"/>
              <w:ind w:right="89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(0.90)</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Revenue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Total revenue for the three months ended June 30, 2024 decreased by $15.8 million or 100.0% from the same period of 2023. Total revenue for the nine months ended June 30, 2024 decreased by $221.1 million, or 98.4% from the same period of 2023. The changes were primarily driven by decreased revenue recognition associated with the Company’s license and collaboration agreements during the nine months ended June 30, 2024. The revenue for the nine months ended June 30, 2023 was mainly driven by the revenue recognition associated with Takeda, GSK, and Horizon/Amgen license agreements, as discussed below.</w:t>
      </w:r>
    </w:p>
    <w:p>
      <w:pPr>
        <w:spacing w:after="0" w:line="54"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The Company has evaluated each agreement in accordance with FASB Topic 808–</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and Topic 606-</w:t>
      </w:r>
      <w:r>
        <w:rPr>
          <w:rFonts w:ascii="Times New Roman" w:cs="Times New Roman" w:eastAsia="Times New Roman" w:hAnsi="Times New Roman"/>
          <w:sz w:val="14"/>
          <w:szCs w:val="14"/>
          <w:i w:val="1"/>
          <w:iCs w:val="1"/>
          <w:color w:val="auto"/>
        </w:rPr>
        <w:t>Revenue for Contracts from Customers</w:t>
      </w:r>
      <w:r>
        <w:rPr>
          <w:rFonts w:ascii="Times New Roman" w:cs="Times New Roman" w:eastAsia="Times New Roman" w:hAnsi="Times New Roman"/>
          <w:sz w:val="14"/>
          <w:szCs w:val="14"/>
          <w:color w:val="auto"/>
        </w:rPr>
        <w:t>. See Note 2 — Collaboration and License Agreements to Consolidated Financial Statements of Part I, “Item 1. Financial Statements” for more information on revenue recognized under the collaboration and license agreements.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7" w:name="page28"/>
    <w:bookmarkEnd w:id="27"/>
    <w:p>
      <w:pPr>
        <w:jc w:val="both"/>
        <w:ind w:firstLine="382"/>
        <w:spacing w:after="0" w:line="265" w:lineRule="auto"/>
        <w:rPr>
          <w:sz w:val="20"/>
          <w:szCs w:val="20"/>
          <w:color w:val="auto"/>
        </w:rPr>
      </w:pPr>
      <w:r>
        <w:rPr>
          <w:rFonts w:ascii="Times New Roman" w:cs="Times New Roman" w:eastAsia="Times New Roman" w:hAnsi="Times New Roman"/>
          <w:sz w:val="14"/>
          <w:szCs w:val="14"/>
          <w:b w:val="1"/>
          <w:bCs w:val="1"/>
          <w:color w:val="auto"/>
        </w:rPr>
        <w:t>Takeda</w:t>
      </w:r>
      <w:r>
        <w:rPr>
          <w:rFonts w:ascii="Times New Roman" w:cs="Times New Roman" w:eastAsia="Times New Roman" w:hAnsi="Times New Roman"/>
          <w:sz w:val="14"/>
          <w:szCs w:val="14"/>
          <w:color w:val="auto"/>
        </w:rPr>
        <w:t>: In October 2020, Takeda and the Company entered into the Takeda License Agreement. The Company has allocated the total $300.0 million initial transaction price to its one distinct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performance obligation for the fazirsiran license and the associated Takeda R&amp;D Services. Revenue was recognized using the input method (based on actual patient visits completed versus total estimated visits completed for the ongoing SEQUOIA and AROAAT2002 clinical studies). The Phase 2 study visits for patients in the SEQUOIA and AROAAT2002 studies concluded by December 31, 2023, and the Company has substantially completed its performance obligation under the Takeda License Agreement. As such, all revenue has been fully recognized as of December 31, 2023.</w:t>
      </w:r>
    </w:p>
    <w:p>
      <w:pPr>
        <w:spacing w:after="0" w:line="5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nine months ended June 30, 2023, the Company recorded $146.5 million revenue, including a $40.0 million milestone payment by dosing the first patient in the Phase 3 REDWOOD clinical study of fazirsiran.</w:t>
      </w:r>
    </w:p>
    <w:p>
      <w:pPr>
        <w:spacing w:after="0" w:line="37"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GSK</w:t>
      </w:r>
      <w:r>
        <w:rPr>
          <w:rFonts w:ascii="Times New Roman" w:cs="Times New Roman" w:eastAsia="Times New Roman" w:hAnsi="Times New Roman"/>
          <w:sz w:val="14"/>
          <w:szCs w:val="14"/>
          <w:color w:val="auto"/>
        </w:rPr>
        <w:t>: On December 11, 2023, GSK and the Company entered into the GSK-HBV Agreement. Under the GSK-HBV Agreement, GSK received a worldwide, exclusive license to develop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commercialize daplusiran/tomligisiran (GSK5637608, formerly JNJ-3989). Daplusiran/tomligisiran had previously been licensed to Janssen in October 2018. Under the terms of the GSK-HBV Agreement, the Company received $2.7 million in December 2023, upon signing the GSK-HBV Agreement.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nine months ended June 30, 2023, the Company recorded a $30.0 million milestone payment by dosing the first patient in a Phase 2b trial under GSK-HSD License Agreement.</w:t>
      </w:r>
    </w:p>
    <w:p>
      <w:pPr>
        <w:spacing w:after="0" w:line="92"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b w:val="1"/>
          <w:bCs w:val="1"/>
          <w:color w:val="auto"/>
        </w:rPr>
        <w:t>Horizon/Amgen</w:t>
      </w:r>
      <w:r>
        <w:rPr>
          <w:rFonts w:ascii="Times New Roman" w:cs="Times New Roman" w:eastAsia="Times New Roman" w:hAnsi="Times New Roman"/>
          <w:sz w:val="14"/>
          <w:szCs w:val="14"/>
          <w:color w:val="auto"/>
        </w:rPr>
        <w:t>: During the nine months ended June 30, 2023, the Company recorded $6.7 million revenue of the total $40.0 million upfront payment received in July 2021, which was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recognized on a straight-line basis over the timeframe for completing the Horizon R&amp;D Services, concluding in the first quarter of 2023. There was also $1.5 million of reimbursable costs. Horizon enrolled the first subject in December 2022 in a Phase 1 randomized, placebo-controlled trial to assess the safety, tolerability, pharmacokinetics and pharmacodynamics of HZN-457, triggering a $15.0 million milestone payment to the Company which was paid in the second quarter of fiscal 2023. Further, Amgen enrolled the first subject in its Phase 3 trial of olpasiran, which triggered a $25.0 million milestone payment to the Company which was paid in the second quarter of fiscal 2023. On October 6, 2023, Amgen Inc. completed its acquisition of Horizon and subsequently notified the Company of Amgen’s intent to terminate the HZN-457 license. Horizon exercised its right to terminate the Horizon License Agreement for convenience, which took effect on December 21,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Operating Expenses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analysis below details the operating expenses and discusses the expenditures of the Company within the major expense categories. For purposes of comparison, the amounts for the three and nine months ended June 30, 2024 and 2023 are shown in the tables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(R&amp;D) Expenses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California and Wisconsin, including facility costs and laboratory-related expenses. The Company does not separately track R&amp;D expenses by individual research and development project, or by individual drug candidate.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details of research and development expenses for the periods indicated: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138"/>
        </w:trPr>
        <w:tc>
          <w:tcPr>
            <w:tcW w:w="2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 of</w:t>
            </w:r>
          </w:p>
        </w:tc>
        <w:tc>
          <w:tcPr>
            <w:tcW w:w="1780" w:type="dxa"/>
            <w:vAlign w:val="bottom"/>
          </w:tcPr>
          <w:p>
            <w:pPr>
              <w:spacing w:after="0"/>
              <w:rPr>
                <w:sz w:val="11"/>
                <w:szCs w:val="11"/>
                <w:color w:val="auto"/>
              </w:rPr>
            </w:pPr>
          </w:p>
        </w:tc>
        <w:tc>
          <w:tcPr>
            <w:tcW w:w="128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 of</w:t>
            </w:r>
          </w:p>
        </w:tc>
        <w:tc>
          <w:tcPr>
            <w:tcW w:w="600" w:type="dxa"/>
            <w:vAlign w:val="bottom"/>
          </w:tcPr>
          <w:p>
            <w:pPr>
              <w:spacing w:after="0"/>
              <w:rPr>
                <w:sz w:val="11"/>
                <w:szCs w:val="11"/>
                <w:color w:val="auto"/>
              </w:rPr>
            </w:pPr>
          </w:p>
        </w:tc>
        <w:tc>
          <w:tcPr>
            <w:tcW w:w="1660" w:type="dxa"/>
            <w:vAlign w:val="bottom"/>
            <w:vMerge w:val="restart"/>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Increase (Decrease)</w:t>
            </w:r>
          </w:p>
        </w:tc>
        <w:tc>
          <w:tcPr>
            <w:tcW w:w="0" w:type="dxa"/>
            <w:vAlign w:val="bottom"/>
          </w:tcPr>
          <w:p>
            <w:pPr>
              <w:spacing w:after="0"/>
              <w:rPr>
                <w:sz w:val="1"/>
                <w:szCs w:val="1"/>
                <w:color w:val="auto"/>
              </w:rPr>
            </w:pPr>
          </w:p>
        </w:tc>
      </w:tr>
      <w:tr>
        <w:trPr>
          <w:trHeight w:val="136"/>
        </w:trPr>
        <w:tc>
          <w:tcPr>
            <w:tcW w:w="2000" w:type="dxa"/>
            <w:vAlign w:val="bottom"/>
          </w:tcPr>
          <w:p>
            <w:pPr>
              <w:spacing w:after="0"/>
              <w:rPr>
                <w:sz w:val="11"/>
                <w:szCs w:val="11"/>
                <w:color w:val="auto"/>
              </w:rPr>
            </w:pPr>
          </w:p>
        </w:tc>
        <w:tc>
          <w:tcPr>
            <w:tcW w:w="2740" w:type="dxa"/>
            <w:vAlign w:val="bottom"/>
          </w:tcPr>
          <w:p>
            <w:pPr>
              <w:jc w:val="center"/>
              <w:ind w:left="903"/>
              <w:spacing w:after="0" w:line="116"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12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Expense</w:t>
            </w:r>
          </w:p>
        </w:tc>
        <w:tc>
          <w:tcPr>
            <w:tcW w:w="17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1280" w:type="dxa"/>
            <w:vAlign w:val="bottom"/>
          </w:tcPr>
          <w:p>
            <w:pPr>
              <w:jc w:val="center"/>
              <w:ind w:right="23"/>
              <w:spacing w:after="0" w:line="116" w:lineRule="exact"/>
              <w:rPr>
                <w:sz w:val="20"/>
                <w:szCs w:val="20"/>
                <w:color w:val="auto"/>
              </w:rPr>
            </w:pPr>
            <w:r>
              <w:rPr>
                <w:rFonts w:ascii="Times New Roman" w:cs="Times New Roman" w:eastAsia="Times New Roman" w:hAnsi="Times New Roman"/>
                <w:sz w:val="11"/>
                <w:szCs w:val="11"/>
                <w:b w:val="1"/>
                <w:bCs w:val="1"/>
                <w:color w:val="auto"/>
              </w:rPr>
              <w:t>Expense</w:t>
            </w:r>
          </w:p>
        </w:tc>
        <w:tc>
          <w:tcPr>
            <w:tcW w:w="6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0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740" w:type="dxa"/>
            <w:vAlign w:val="bottom"/>
          </w:tcPr>
          <w:p>
            <w:pPr>
              <w:jc w:val="center"/>
              <w:ind w:left="943"/>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1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128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6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Candidate costs</w:t>
            </w: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78,367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41,209</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37,158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R&amp;D discovery costs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20,253</w:t>
            </w:r>
          </w:p>
        </w:tc>
        <w:tc>
          <w:tcPr>
            <w:tcW w:w="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19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24,532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16,632</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Facilities related</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7,132</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4,810</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0" w:type="dxa"/>
            <w:vAlign w:val="bottom"/>
          </w:tcPr>
          <w:p>
            <w:pPr>
              <w:spacing w:after="0"/>
              <w:rPr>
                <w:sz w:val="1"/>
                <w:szCs w:val="1"/>
                <w:color w:val="auto"/>
              </w:rPr>
            </w:pPr>
          </w:p>
        </w:tc>
      </w:tr>
      <w:tr>
        <w:trPr>
          <w:trHeight w:val="119"/>
        </w:trPr>
        <w:tc>
          <w:tcPr>
            <w:tcW w:w="308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color w:val="auto"/>
              </w:rPr>
              <w:t>Total research and development expense, excluding non-cash</w:t>
            </w:r>
          </w:p>
        </w:tc>
        <w:tc>
          <w:tcPr>
            <w:tcW w:w="22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140,921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82,904</w:t>
            </w: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58,017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0" w:type="dxa"/>
            <w:vAlign w:val="bottom"/>
          </w:tcPr>
          <w:p>
            <w:pPr>
              <w:spacing w:after="0"/>
              <w:rPr>
                <w:sz w:val="1"/>
                <w:szCs w:val="1"/>
                <w:color w:val="auto"/>
              </w:rPr>
            </w:pPr>
          </w:p>
        </w:tc>
      </w:tr>
      <w:tr>
        <w:trPr>
          <w:trHeight w:val="15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expense</w:t>
            </w:r>
          </w:p>
        </w:tc>
        <w:tc>
          <w:tcPr>
            <w:tcW w:w="220" w:type="dxa"/>
            <w:vAlign w:val="bottom"/>
            <w:tcBorders>
              <w:bottom w:val="single" w:sz="8" w:color="auto"/>
            </w:tcBorders>
            <w:gridSpan w:val="2"/>
            <w:vMerge w:val="continue"/>
            <w:shd w:val="clear" w:color="auto" w:fill="CCEEFF"/>
          </w:tcPr>
          <w:p>
            <w:pPr>
              <w:spacing w:after="0"/>
              <w:rPr>
                <w:sz w:val="13"/>
                <w:szCs w:val="13"/>
                <w:color w:val="auto"/>
              </w:rPr>
            </w:pPr>
          </w:p>
        </w:tc>
        <w:tc>
          <w:tcPr>
            <w:tcW w:w="138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tcBorders>
              <w:bottom w:val="single" w:sz="8" w:color="auto"/>
            </w:tcBorders>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14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tcBorders>
              <w:bottom w:val="single" w:sz="8" w:color="auto"/>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gridSpan w:val="2"/>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compensation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8,982</w:t>
            </w:r>
          </w:p>
        </w:tc>
        <w:tc>
          <w:tcPr>
            <w:tcW w:w="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9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research and development expense</w:t>
            </w:r>
          </w:p>
        </w:tc>
        <w:tc>
          <w:tcPr>
            <w:tcW w:w="2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152,431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94,757</w:t>
            </w:r>
          </w:p>
        </w:tc>
        <w:tc>
          <w:tcPr>
            <w:tcW w:w="8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6"/>
                <w:szCs w:val="16"/>
                <w:color w:val="auto"/>
              </w:rPr>
            </w:pPr>
          </w:p>
        </w:tc>
        <w:tc>
          <w:tcPr>
            <w:tcW w:w="30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 of</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Increase (Decrease)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0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0" w:type="dxa"/>
            <w:vAlign w:val="bottom"/>
          </w:tcPr>
          <w:p>
            <w:pPr>
              <w:spacing w:after="0"/>
              <w:rPr>
                <w:sz w:val="6"/>
                <w:szCs w:val="6"/>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200" w:type="dxa"/>
            <w:vAlign w:val="bottom"/>
          </w:tcPr>
          <w:p>
            <w:pPr>
              <w:spacing w:after="0"/>
              <w:rPr>
                <w:sz w:val="6"/>
                <w:szCs w:val="6"/>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0" w:type="dxa"/>
            <w:vAlign w:val="bottom"/>
          </w:tcPr>
          <w:p>
            <w:pPr>
              <w:spacing w:after="0"/>
              <w:rPr>
                <w:sz w:val="6"/>
                <w:szCs w:val="6"/>
                <w:color w:val="auto"/>
              </w:rPr>
            </w:pP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gridSpan w:val="5"/>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30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9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Candidate costs</w:t>
            </w:r>
          </w:p>
        </w:tc>
        <w:tc>
          <w:tcPr>
            <w:tcW w:w="2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110,079</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47,467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R&amp;D discovery costs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84,898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50,377</w:t>
            </w:r>
          </w:p>
        </w:tc>
        <w:tc>
          <w:tcPr>
            <w:tcW w:w="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0" w:type="dxa"/>
            <w:vAlign w:val="bottom"/>
          </w:tcPr>
          <w:p>
            <w:pPr>
              <w:spacing w:after="0"/>
              <w:rPr>
                <w:sz w:val="1"/>
                <w:szCs w:val="1"/>
                <w:color w:val="auto"/>
              </w:rPr>
            </w:pPr>
          </w:p>
        </w:tc>
      </w:tr>
      <w:tr>
        <w:trPr>
          <w:trHeight w:val="19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47,725</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24,323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Facilities related</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19,597</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11,601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7,996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0" w:type="dxa"/>
            <w:vAlign w:val="bottom"/>
          </w:tcPr>
          <w:p>
            <w:pPr>
              <w:spacing w:after="0"/>
              <w:rPr>
                <w:sz w:val="1"/>
                <w:szCs w:val="1"/>
                <w:color w:val="auto"/>
              </w:rPr>
            </w:pPr>
          </w:p>
        </w:tc>
      </w:tr>
      <w:tr>
        <w:trPr>
          <w:trHeight w:val="119"/>
        </w:trPr>
        <w:tc>
          <w:tcPr>
            <w:tcW w:w="308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color w:val="auto"/>
              </w:rPr>
              <w:t>Total research and development expense, excluding non-cash</w:t>
            </w:r>
          </w:p>
        </w:tc>
        <w:tc>
          <w:tcPr>
            <w:tcW w:w="20" w:type="dxa"/>
            <w:vAlign w:val="bottom"/>
            <w:vMerge w:val="restart"/>
            <w:shd w:val="clear" w:color="auto" w:fill="CCEEFF"/>
          </w:tcPr>
          <w:p>
            <w:pPr>
              <w:spacing w:after="0"/>
              <w:rPr>
                <w:sz w:val="10"/>
                <w:szCs w:val="10"/>
                <w:color w:val="auto"/>
              </w:rPr>
            </w:pP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334,089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219,782</w:t>
            </w:r>
          </w:p>
        </w:tc>
        <w:tc>
          <w:tcPr>
            <w:tcW w:w="8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8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28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114,307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15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expense</w:t>
            </w:r>
          </w:p>
        </w:tc>
        <w:tc>
          <w:tcPr>
            <w:tcW w:w="20" w:type="dxa"/>
            <w:vAlign w:val="bottom"/>
            <w:vMerge w:val="continue"/>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138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118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14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11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28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compensation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26,129</w:t>
            </w:r>
          </w:p>
        </w:tc>
        <w:tc>
          <w:tcPr>
            <w:tcW w:w="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9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Depreciation/amortization</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12,220</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research and development expense</w:t>
            </w:r>
          </w:p>
        </w:tc>
        <w:tc>
          <w:tcPr>
            <w:tcW w:w="22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370,044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253,333</w:t>
            </w:r>
          </w:p>
        </w:tc>
        <w:tc>
          <w:tcPr>
            <w:tcW w:w="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6"/>
                <w:szCs w:val="16"/>
                <w:color w:val="auto"/>
              </w:rPr>
            </w:pPr>
          </w:p>
        </w:tc>
        <w:tc>
          <w:tcPr>
            <w:tcW w:w="30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Candidate costs increased $37.2 million, or 90%, for the three months ended June 30, 2024 and $47.5 million, or 43%, for the nine months ended June 30, 2024 compared to the same period of 2023. This increase was primarily due to the additional progression of the Company’s pipeline of candidates into and through clinical trials, which resulted in higher manufacturing, outsourced clinical trial, and toxicity study costs.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R&amp;D discovery costs increased $10.6 million, or 53%, for the three months ended June 30, 2024 and $34.5 million, or 69%, for the nine months ended June 30, 2024 compared to the same period of 2023. This increase was primarily driven by the growth of the Company’s discovery efforts and continued advancement into novel therapeutic areas and tissue types, along with rising costs associated with CNS studies and lab supplies.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Salaries consist of salary, bonuses, payroll taxes, and related benefits for the Company’s R&amp;D personnel. Salaries expense increased $7.9 million, or 47%, for the three months ended June 30, 2024 and $24.3 million, or 51%, for the nine months ended June 30, 2024 compared to the same period of 2023. The increase was primarily due to an increase in R&amp;D headcount that has occurred as the Company has expanded its pipeline of candidates, in addition to annual salary increases.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Facilities-related expense includes lease costs for the Company’s research and development facilities in San Diego, California and Madison, Wisconsin. Facilities-related costs increased $2.3 million, or 48%, for the three months ended June 30, 2024 and $8.0 million, or 69%, for the nine months ended June 30, 2024 compared to the same period of 2023. This increase was mainly due to the ATIAs on the lease in San Diego, California. See Note 8 — Leases of Notes to Consolidated Financial Statements of Part I, “Item 1. Financial Statements.”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Stock compensation expense, a non-cash expense, was based upon the valuation of stock options and restricted stock units granted to employees. Stock compensation expense decreased $1.7 million, or 19%, for the three months ended June 30, 2024 and $2.4 million, or 9%, for the nine months ended June 30, 2024 compared to the same period of 2023. The decrease was primarily due to the cancelled awards upon the departure of employees.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 a non-cash expense, increased $1.4 million, or 49% for the three months ended June 30, 2024 and $4.8 million, or 65%,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2024 compared to the same period of 2023. The increase was primarily attributed to higher leasehold improvements, due to completion of the development of the San Diego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as of December 31, 2023, the Company completed the build out of one of its laboratory and office facilities in Verona, Wisconsin, and commenced depreciation.</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anticipates these R&amp;D expenses to continue to increase as its pipeline of candidates grows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progresses to later phase clinical trials, in addition to inflationary pressure on goods and services and the labor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&amp; Administrative Expenses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details of the Company’s general and administrative expenses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of</w:t>
            </w:r>
          </w:p>
        </w:tc>
        <w:tc>
          <w:tcPr>
            <w:tcW w:w="280" w:type="dxa"/>
            <w:vAlign w:val="bottom"/>
          </w:tcPr>
          <w:p>
            <w:pPr>
              <w:spacing w:after="0"/>
              <w:rPr>
                <w:sz w:val="11"/>
                <w:szCs w:val="11"/>
                <w:color w:val="auto"/>
              </w:rPr>
            </w:pPr>
          </w:p>
        </w:tc>
        <w:tc>
          <w:tcPr>
            <w:tcW w:w="13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Increase (Decrease)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128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Expense</w:t>
            </w:r>
          </w:p>
        </w:tc>
        <w:tc>
          <w:tcPr>
            <w:tcW w:w="160" w:type="dxa"/>
            <w:vAlign w:val="bottom"/>
          </w:tcPr>
          <w:p>
            <w:pPr>
              <w:spacing w:after="0"/>
              <w:rPr>
                <w:sz w:val="8"/>
                <w:szCs w:val="8"/>
                <w:color w:val="auto"/>
              </w:rPr>
            </w:pPr>
          </w:p>
        </w:tc>
        <w:tc>
          <w:tcPr>
            <w:tcW w:w="148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128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Expense</w:t>
            </w:r>
          </w:p>
        </w:tc>
        <w:tc>
          <w:tcPr>
            <w:tcW w:w="2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280" w:type="dxa"/>
            <w:vAlign w:val="bottom"/>
          </w:tcPr>
          <w:p>
            <w:pPr>
              <w:spacing w:after="0"/>
              <w:rPr>
                <w:sz w:val="14"/>
                <w:szCs w:val="14"/>
                <w:color w:val="auto"/>
              </w:rPr>
            </w:pPr>
          </w:p>
        </w:tc>
        <w:tc>
          <w:tcPr>
            <w:tcW w:w="740" w:type="dxa"/>
            <w:vAlign w:val="bottom"/>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9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Salaries</w:t>
            </w: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6,740</w:t>
            </w: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5,063</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Professional, outside services, and other</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5,410</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5,987</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Facilities related</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26"/>
        </w:trPr>
        <w:tc>
          <w:tcPr>
            <w:tcW w:w="324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Total general &amp; administrative expense, excluding non-cash</w:t>
            </w:r>
          </w:p>
        </w:tc>
        <w:tc>
          <w:tcPr>
            <w:tcW w:w="14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13,388</w:t>
            </w:r>
          </w:p>
        </w:tc>
        <w:tc>
          <w:tcPr>
            <w:tcW w:w="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80" w:type="dxa"/>
            <w:vAlign w:val="bottom"/>
          </w:tcPr>
          <w:p>
            <w:pPr>
              <w:spacing w:after="0"/>
              <w:rPr>
                <w:sz w:val="10"/>
                <w:szCs w:val="10"/>
                <w:color w:val="auto"/>
              </w:rPr>
            </w:pP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12,402</w:t>
            </w:r>
          </w:p>
        </w:tc>
        <w:tc>
          <w:tcPr>
            <w:tcW w:w="1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80" w:type="dxa"/>
            <w:vAlign w:val="bottom"/>
          </w:tcPr>
          <w:p>
            <w:pPr>
              <w:spacing w:after="0"/>
              <w:rPr>
                <w:sz w:val="10"/>
                <w:szCs w:val="10"/>
                <w:color w:val="auto"/>
              </w:rPr>
            </w:pPr>
          </w:p>
        </w:tc>
        <w:tc>
          <w:tcPr>
            <w:tcW w:w="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65"/>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expenses</w:t>
            </w:r>
          </w:p>
        </w:tc>
        <w:tc>
          <w:tcPr>
            <w:tcW w:w="14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compensation</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9,809</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10,965</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general &amp; administrative expenses</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23,710</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23,771</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of</w:t>
            </w:r>
          </w:p>
        </w:tc>
        <w:tc>
          <w:tcPr>
            <w:tcW w:w="280" w:type="dxa"/>
            <w:vAlign w:val="bottom"/>
          </w:tcPr>
          <w:p>
            <w:pPr>
              <w:spacing w:after="0"/>
              <w:rPr>
                <w:sz w:val="24"/>
                <w:szCs w:val="24"/>
                <w:color w:val="auto"/>
              </w:rPr>
            </w:pPr>
          </w:p>
        </w:tc>
        <w:tc>
          <w:tcPr>
            <w:tcW w:w="13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Increase (Decrease)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128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Expense</w:t>
            </w:r>
          </w:p>
        </w:tc>
        <w:tc>
          <w:tcPr>
            <w:tcW w:w="160" w:type="dxa"/>
            <w:vAlign w:val="bottom"/>
          </w:tcPr>
          <w:p>
            <w:pPr>
              <w:spacing w:after="0"/>
              <w:rPr>
                <w:sz w:val="8"/>
                <w:szCs w:val="8"/>
                <w:color w:val="auto"/>
              </w:rPr>
            </w:pPr>
          </w:p>
        </w:tc>
        <w:tc>
          <w:tcPr>
            <w:tcW w:w="148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128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Expense</w:t>
            </w:r>
          </w:p>
        </w:tc>
        <w:tc>
          <w:tcPr>
            <w:tcW w:w="2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280" w:type="dxa"/>
            <w:vAlign w:val="bottom"/>
          </w:tcPr>
          <w:p>
            <w:pPr>
              <w:spacing w:after="0"/>
              <w:rPr>
                <w:sz w:val="14"/>
                <w:szCs w:val="14"/>
                <w:color w:val="auto"/>
              </w:rPr>
            </w:pPr>
          </w:p>
        </w:tc>
        <w:tc>
          <w:tcPr>
            <w:tcW w:w="740" w:type="dxa"/>
            <w:vAlign w:val="bottom"/>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9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Salaries</w:t>
            </w: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20,087</w:t>
            </w: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14,275</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5,812</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Professional, outside services, and other</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16,910</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Facilities related</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3,278</w:t>
            </w: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6"/>
        </w:trPr>
        <w:tc>
          <w:tcPr>
            <w:tcW w:w="324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Total general &amp; administrative expense, excluding non-cash</w:t>
            </w:r>
          </w:p>
        </w:tc>
        <w:tc>
          <w:tcPr>
            <w:tcW w:w="14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40,275</w:t>
            </w:r>
          </w:p>
        </w:tc>
        <w:tc>
          <w:tcPr>
            <w:tcW w:w="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80" w:type="dxa"/>
            <w:vAlign w:val="bottom"/>
          </w:tcPr>
          <w:p>
            <w:pPr>
              <w:spacing w:after="0"/>
              <w:rPr>
                <w:sz w:val="10"/>
                <w:szCs w:val="10"/>
                <w:color w:val="auto"/>
              </w:rPr>
            </w:pP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32,945</w:t>
            </w:r>
          </w:p>
        </w:tc>
        <w:tc>
          <w:tcPr>
            <w:tcW w:w="1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80" w:type="dxa"/>
            <w:vAlign w:val="bottom"/>
          </w:tcPr>
          <w:p>
            <w:pPr>
              <w:spacing w:after="0"/>
              <w:rPr>
                <w:sz w:val="10"/>
                <w:szCs w:val="10"/>
                <w:color w:val="auto"/>
              </w:rPr>
            </w:pPr>
          </w:p>
        </w:tc>
        <w:tc>
          <w:tcPr>
            <w:tcW w:w="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7,330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65"/>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expenses</w:t>
            </w:r>
          </w:p>
        </w:tc>
        <w:tc>
          <w:tcPr>
            <w:tcW w:w="14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compensation</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30,759</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33,820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general &amp; administrative expenses</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72,384</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67,977</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Salaries expense increased $1.7 million, or 33%, for the three months ended June 30, 2024 and $5.8 million, or 41%, for the nine months ended June 30, 2024 compared to the same period of 2023. The increase was driven by the combination of annual salary increases and increased headcount required to support the Company’s growth.</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Professional, outside services, and other expense includes legal, consulting, patent expenses, business insurance expenses, other outside services, travel, and communication and technology expenses. This expense decreased $0.6 million, or 10%, for the three months ended June 30, 2024 and increased $1.6 million, or 11%, for the nine months ended June 30, 2024 compared to the same period of 2023. The increase for the nine months ended June 30, 2024 was mainly due to legal services associated with patent applications and intellectual property matters, as well as other professional services.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Facilities related expense primarily includes rental costs and other facilities-related costs for the Company’s corporate headquarters in Pasadena, California.</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Stock compensation expense, a non-cash expense, was based upon the valuation of stock options and restricted stock units granted to employees. This expense decreased $1.2 million, or 11%, for the three months ended June 30, 2024 and $3.1 million, or 9%, for the nine months ended June 30, 2024 compared to the same period of 2023. The decrease was mainly due to the decreased compensation costs related to performance awards.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 a noncash expense, was primarily related to amortization of leasehold improvements for the Company’s corporate headquarters.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anticipates these general and administrative expenses to continue to increase as its pipeline of candidates grows and progresses to later phase clinical trials including commercialization efforts, in addition to inflationary pressure on goods and services and the labor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Other Income (Expense)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(expense) is primarily related to interest income and expense. Other income increased $2.8 million for the three months ended June 30, 2024 compared to the same period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 The increase was primarily due to the higher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0" w:name="page31"/>
    <w:bookmarkEnd w:id="30"/>
    <w:p>
      <w:pPr>
        <w:jc w:val="both"/>
        <w:spacing w:after="0" w:line="287" w:lineRule="auto"/>
        <w:rPr>
          <w:sz w:val="20"/>
          <w:szCs w:val="20"/>
          <w:color w:val="auto"/>
        </w:rPr>
      </w:pPr>
      <w:r>
        <w:rPr>
          <w:rFonts w:ascii="Times New Roman" w:cs="Times New Roman" w:eastAsia="Times New Roman" w:hAnsi="Times New Roman"/>
          <w:sz w:val="14"/>
          <w:szCs w:val="14"/>
          <w:color w:val="auto"/>
        </w:rPr>
        <w:t>yields on investments due to higher interest rates, offset by the non-cash interest expense on the liability related to the sale of future royalties. The balance remained consistent for the nine months ended June 30, 2024 compared to the same period of 2023.</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has historically financed its operations through the sale of its equity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expanded its facilities in Verona, Wisconsin and leased additional facilities in San Diego, California. Each of these expansions is designed to increase the Company’s internal manufacturing and discovery capabilities and requires significant capital investment.</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Company’s cash, cash equivalents and restricted cash decreased to $69.4 million at June 30, 2024 compared to $110.9 million at September 30, 2023. Cash invested in available-for-sale securities was $367.3 million at June 30, 2024 compared to $292.7 million at September 30, 2023.</w:t>
      </w:r>
    </w:p>
    <w:p>
      <w:pPr>
        <w:spacing w:after="0" w:line="39"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On December 2, 2022, the Company entered into the Open Market Sale Agreement, pursuant to which the Company may, from time to time, sell up to $250.0 million in shares of the Company’s common stock through Jefferies LLC, acting as the sales agent and/or principal, in an at-the-market offering. As of June 30, 2024, no shares have been issued under the Open Market Sale Agreement.</w:t>
      </w:r>
    </w:p>
    <w:p>
      <w:pPr>
        <w:spacing w:after="0" w:line="21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January 2, 2024, the Company entered into an underwriting agreement with Jefferies LLC, BofA Securities, Inc., and Cowen and Company, LLC, as representatives of the several underwriters. The Company issued 15,790,000 shares of common stock at an offering price of $28.50 per share. The aggregate purchase price paid by investors was $450.0 million and the Company received net proceeds of $429.3 million after deducting advisory fees and offering expenses.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believes its current financial resources are sufficient to fund its operations through at least the next twelve months from the date of the issuance of these financial statements.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 summary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c>
          <w:tcPr>
            <w:tcW w:w="580" w:type="dxa"/>
            <w:vAlign w:val="bottom"/>
            <w:tcBorders>
              <w:bottom w:val="single" w:sz="8" w:color="auto"/>
            </w:tcBorders>
          </w:tcPr>
          <w:p>
            <w:pPr>
              <w:spacing w:after="0"/>
              <w:rPr>
                <w:sz w:val="13"/>
                <w:szCs w:val="13"/>
                <w:color w:val="auto"/>
              </w:rPr>
            </w:pPr>
          </w:p>
        </w:tc>
      </w:tr>
      <w:tr>
        <w:trPr>
          <w:trHeight w:val="160"/>
        </w:trPr>
        <w:tc>
          <w:tcPr>
            <w:tcW w:w="82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r>
      <w:tr>
        <w:trPr>
          <w:trHeight w:val="160"/>
        </w:trPr>
        <w:tc>
          <w:tcPr>
            <w:tcW w:w="8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gridSpan w:val="3"/>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80" w:type="dxa"/>
            <w:vAlign w:val="bottom"/>
          </w:tcPr>
          <w:p>
            <w:pPr>
              <w:spacing w:after="0"/>
              <w:rPr>
                <w:sz w:val="13"/>
                <w:szCs w:val="13"/>
                <w:color w:val="auto"/>
              </w:rPr>
            </w:pPr>
          </w:p>
        </w:tc>
      </w:tr>
      <w:tr>
        <w:trPr>
          <w:trHeight w:val="18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 from:</w:t>
            </w:r>
          </w:p>
        </w:tc>
        <w:tc>
          <w:tcPr>
            <w:tcW w:w="9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activities</w:t>
            </w:r>
          </w:p>
        </w:tc>
        <w:tc>
          <w:tcPr>
            <w:tcW w:w="920" w:type="dxa"/>
            <w:vAlign w:val="bottom"/>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(325,635)</w:t>
            </w:r>
          </w:p>
        </w:tc>
        <w:tc>
          <w:tcPr>
            <w:tcW w:w="80" w:type="dxa"/>
            <w:vAlign w:val="bottom"/>
          </w:tcPr>
          <w:p>
            <w:pPr>
              <w:spacing w:after="0"/>
              <w:rPr>
                <w:sz w:val="14"/>
                <w:szCs w:val="14"/>
                <w:color w:val="auto"/>
              </w:rPr>
            </w:pPr>
          </w:p>
        </w:tc>
        <w:tc>
          <w:tcPr>
            <w:tcW w:w="900" w:type="dxa"/>
            <w:vAlign w:val="bottom"/>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(127,964)</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Investing activities</w:t>
            </w:r>
          </w:p>
        </w:tc>
        <w:tc>
          <w:tcPr>
            <w:tcW w:w="9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(197,149)</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(126,664)</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Financing activities</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481,431</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252,232</w:t>
            </w:r>
          </w:p>
        </w:tc>
      </w:tr>
      <w:tr>
        <w:trPr>
          <w:trHeight w:val="26"/>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2"/>
        </w:trPr>
        <w:tc>
          <w:tcPr>
            <w:tcW w:w="82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92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(41,353)</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w:t>
            </w:r>
          </w:p>
        </w:tc>
      </w:tr>
      <w:tr>
        <w:trPr>
          <w:trHeight w:val="42"/>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92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69,399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105,334</w:t>
            </w:r>
          </w:p>
        </w:tc>
      </w:tr>
      <w:tr>
        <w:trPr>
          <w:trHeight w:val="26"/>
        </w:trPr>
        <w:tc>
          <w:tcPr>
            <w:tcW w:w="8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During the nine months ended June 30, 2024, cash flow used in operating activities was $325.6 million, which was primarily due to the ongoing expenses related to the Company’s research and development programs and general and administrative expenses. Cash used in investing activities amounted to $197.1 million, which was primarily attributable to capital expenditures of $117.2 million and investment purchases of $428.6 million, offset by proceeds from sales and maturities of investments of $348.6 million. Cash provided by financing activities of $481.4 million was related to cash received from the issuance of common stock, a milestone payment from Royalty Pharma, and stock option exercises (See Note 6 — Stockholders’ Equity of Notes to Consolidated Financial Statements of Part I, “Item 1. Financial Statements.”).</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During the nine months ended June 30, 2023, cash flows used in operating activities was $128.0 million, which was primarily due to the ongoing expenses related to the Company’s research and development programs and general and administrative expenses, partially offset by the receipt of $110.0 million from collaboration and license agreements. Cash used in investing activities was $126.7 million, which was primarily related to capital expenditures, $112.8 million of construction in progress and investment purchases of $234.0 million, offset by maturities of investments of $220.2 million. Cash provided by financing activities of $252.2 million was primarily related to the $250.0 million payment from Royalty Pharma as well as cash received from stock option exercises. See Note 11 – Liability Related to the Sale of Future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Royalties of Notes to Consolidated Financial Statements of Part I, “Item 1.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Contractual Obligations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has been no material change in the Company’s contractual obligations from that described in Item 7 of its Annual Report on Form 10-K for the year ended September 2023.</w:t>
      </w:r>
    </w:p>
    <w:p>
      <w:pPr>
        <w:spacing w:after="0" w:line="2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has been no material change in the Company’s exposure to market risk from that described in Item 7A of its Annual Report on Form 10-K for the year ended September 30, 2023.</w:t>
      </w:r>
    </w:p>
    <w:p>
      <w:pPr>
        <w:spacing w:after="0" w:line="2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There have been no material developments in the legal proceedings that the Company disclosed in Part I, Item 3 of its Annual Report on Form 10-K for the year ended September 30, 2023.</w:t>
      </w:r>
    </w:p>
    <w:p>
      <w:pPr>
        <w:spacing w:after="0" w:line="21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Company’s business, results of operations and financial conditions are subject to various risks. These risks are described elsewhere in this Quarterly Report on Form 10-Q and in the Company’s other filings with the SEC, including the Company’s Annual Report on Form 10-K for the year ended September 30, 2023. There have been no material changes from the risk factors identified in the Company’s Annual Report on Form 10-K for the year ended September 30, 2023.</w:t>
      </w: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 Trading Plans</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quarter ended June 30, 2024, the following directors and officers (as defined in Exchange Act Rule 16a-1(f)) adopted certain trading plans intended to satisfy Rule 10b5-1(c):</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Other</w:t>
            </w:r>
          </w:p>
        </w:tc>
      </w:tr>
      <w:tr>
        <w:trPr>
          <w:trHeight w:val="117"/>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Shares</w:t>
            </w:r>
          </w:p>
        </w:tc>
      </w:tr>
      <w:tr>
        <w:trPr>
          <w:trHeight w:val="117"/>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Vesting and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Being Sold</w:t>
            </w:r>
          </w:p>
        </w:tc>
      </w:tr>
      <w:tr>
        <w:trPr>
          <w:trHeight w:val="127"/>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Subject to</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(Subject to</w:t>
            </w:r>
          </w:p>
        </w:tc>
      </w:tr>
      <w:tr>
        <w:trPr>
          <w:trHeight w:val="117"/>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Sell-To-</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Certain</w:t>
            </w:r>
          </w:p>
        </w:tc>
      </w:tr>
      <w:tr>
        <w:trPr>
          <w:trHeight w:val="153"/>
        </w:trPr>
        <w:tc>
          <w:tcPr>
            <w:tcW w:w="15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3"/>
                <w:szCs w:val="13"/>
                <w:color w:val="auto"/>
              </w:rPr>
            </w:pPr>
          </w:p>
        </w:tc>
        <w:tc>
          <w:tcPr>
            <w:tcW w:w="33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Adoption Date</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Plan Start Date</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Plan End Date</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Cover </w:t>
            </w:r>
            <w:r>
              <w:rPr>
                <w:rFonts w:ascii="Times New Roman" w:cs="Times New Roman" w:eastAsia="Times New Roman" w:hAnsi="Times New Roman"/>
                <w:sz w:val="12"/>
                <w:szCs w:val="12"/>
                <w:b w:val="1"/>
                <w:bCs w:val="1"/>
                <w:color w:val="auto"/>
                <w:w w:val="94"/>
                <w:vertAlign w:val="superscript"/>
              </w:rPr>
              <w:t>(1)</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Conditions)</w:t>
            </w:r>
          </w:p>
        </w:tc>
      </w:tr>
      <w:tr>
        <w:trPr>
          <w:trHeight w:val="139"/>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Victoria Vakiener</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Board Member</w:t>
            </w:r>
          </w:p>
        </w:tc>
        <w:tc>
          <w:tcPr>
            <w:tcW w:w="11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1"/>
                <w:szCs w:val="11"/>
                <w:color w:val="auto"/>
              </w:rPr>
              <w:t>5/15/2024</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1"/>
                <w:szCs w:val="11"/>
                <w:color w:val="auto"/>
              </w:rPr>
              <w:t>12/16/2024</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1"/>
                <w:szCs w:val="11"/>
                <w:color w:val="auto"/>
              </w:rPr>
              <w:t>12/31/2024</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8,994</w:t>
            </w:r>
          </w:p>
        </w:tc>
      </w:tr>
      <w:tr>
        <w:trPr>
          <w:trHeight w:val="21"/>
        </w:trPr>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bl>
    <w:p>
      <w:pPr>
        <w:spacing w:after="0" w:line="140" w:lineRule="exact"/>
        <w:rPr>
          <w:sz w:val="20"/>
          <w:szCs w:val="20"/>
          <w:color w:val="auto"/>
        </w:rPr>
      </w:pPr>
    </w:p>
    <w:p>
      <w:pPr>
        <w:ind w:firstLine="5"/>
        <w:spacing w:after="0" w:line="230" w:lineRule="auto"/>
        <w:tabs>
          <w:tab w:leader="none" w:pos="117" w:val="left"/>
        </w:tabs>
        <w:numPr>
          <w:ilvl w:val="0"/>
          <w:numId w:val="10"/>
        </w:numPr>
        <w:rPr>
          <w:rFonts w:ascii="Times New Roman" w:cs="Times New Roman" w:eastAsia="Times New Roman" w:hAnsi="Times New Roman"/>
          <w:sz w:val="14"/>
          <w:szCs w:val="14"/>
          <w:i w:val="1"/>
          <w:iCs w:val="1"/>
          <w:color w:val="auto"/>
          <w:vertAlign w:val="superscript"/>
        </w:rPr>
      </w:pPr>
      <w:r>
        <w:rPr>
          <w:rFonts w:ascii="Times New Roman" w:cs="Times New Roman" w:eastAsia="Times New Roman" w:hAnsi="Times New Roman"/>
          <w:sz w:val="11"/>
          <w:szCs w:val="11"/>
          <w:i w:val="1"/>
          <w:iCs w:val="1"/>
          <w:color w:val="auto"/>
        </w:rPr>
        <w:t>This column indicates the total number of shares vesting in connection with equity awards, not the number of shares to be sold. The actual number of shares to be sold will be a smaller number based on whatever is required to satisfy payment of applicable withholding taxes under sell-to-cover arrangements.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Agreement</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On August 7, 2024 (the “Closing Date”), the Company entered into a financing agreement (the “Financing Agreement”) with the guarantors party thereto, the lenders party thereto (the “Lenders”), and Sixth Street Lending Partners, as the administrative agent and collateral agent for the Lenders. The Financing Agreement provides for a senior secured term loan facility of up to an aggregate principal amount of $935.3 million (the “Credit Facility”), consisting of (a) an initial draw term loan facility in an aggregate principal amount of $400.0 million, funded on the Closing Date (the “Initial Loan”), (b) a delayed draw term loan in an aggregate principal amount not exceeding $435.3 million (the “Delayed Draw Term Loan”) and (c) an uncommitted incremental facility in an aggregate principal amount not to exceed $100.0 million (the “Incremental Facility” and the loans made thereof, the “Incremental Term Loans”). The Credit Facility matures on August 7, 2031 (the “Maturity Date”) and bears interest at an annual rate equal to 15.0%. Certain additional commitment and undrawn amount fees are also payable in connection with the Credit Facility.</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is permitted to use the proceeds of the Initial Loan for working capital, capital expenditures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3" w:name="page34"/>
    <w:bookmarkEnd w:id="33"/>
    <w:p>
      <w:pPr>
        <w:jc w:val="both"/>
        <w:spacing w:after="0" w:line="270" w:lineRule="auto"/>
        <w:rPr>
          <w:sz w:val="20"/>
          <w:szCs w:val="20"/>
          <w:color w:val="auto"/>
        </w:rPr>
      </w:pPr>
      <w:r>
        <w:rPr>
          <w:rFonts w:ascii="Times New Roman" w:cs="Times New Roman" w:eastAsia="Times New Roman" w:hAnsi="Times New Roman"/>
          <w:sz w:val="14"/>
          <w:szCs w:val="14"/>
          <w:color w:val="auto"/>
        </w:rPr>
        <w:t>general corporate purposes of the Company and its subsidiaries. The proceeds of Delayed Draw Term Loans made after the Closing Date are permitted to be applied by the Company solely to pay interest on the Credit Facility. The Incremental Term Loans made after the Closing Date are permitted to be applied by Company in a manner as agreed upon between the Company and the administrative agent.</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Credit Facility does not provide for scheduled amortization payments during the term. All principal will be due on the Maturity Date. The Company will have the right to prepay loans under the Credit Facility at any time. The Company is required to partially repay loans under the Credit Facility with proceeds from certain asset sales, condemnation events and extraordinary receipts, subject, in some cases, to reinvestment rights. Repayments are not subject to a prepayment premium.</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All obligations under the Financing Agreement will be secured on a first-priority basis, subject to certain exceptions, by security interests in substantially all assets of the Company and material subsidiaries of the Company, including its intellectual property, and will be guaranteed by material subsidiaries of the Company, including foreign subsidiaries, subject to certain exceptions.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Financing Agreement contains customary covenants, including, without limitation,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The Company is subject to restrictions on sales and licensing transactions with respect to certain core intellectual property, subject to certain exceptions, including certain transactions related to areas outside the United States, the United Kingdom, the European Union, Japan and China.</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the Company and its subsidiaries, cessation of business and change of control.</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above description of the Financing Agreement and Credit Facility is a summary only and is qualified in its entirety by reference to the Financing Agreement, which will be filed as an exhibit to the Company’s Annual Report on Form 10-K for the year ending September 30,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4" w:name="page35"/>
    <w:bookmarkEnd w:id="34"/>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20" w:type="dxa"/>
            <w:vAlign w:val="bottom"/>
            <w:gridSpan w:val="10"/>
          </w:tcPr>
          <w:p>
            <w:pPr>
              <w:ind w:left="296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r>
      <w:tr>
        <w:trPr>
          <w:trHeight w:val="30"/>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6"/>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12"/>
          </w:tcPr>
          <w:p>
            <w:pPr>
              <w:spacing w:after="0"/>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Amended and Restated Certificate of Incorporation (incorporated by reference from Exhibit 3.3 of the Company’s Form 8-K filed on April 6, 2016)</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3"/>
                <w:szCs w:val="13"/>
                <w:color w:val="0000FF"/>
                <w:w w:val="99"/>
              </w:rPr>
            </w:pPr>
            <w:hyperlink r:id="rId74">
              <w:r>
                <w:rPr>
                  <w:rFonts w:ascii="Times New Roman" w:cs="Times New Roman" w:eastAsia="Times New Roman" w:hAnsi="Times New Roman"/>
                  <w:sz w:val="13"/>
                  <w:szCs w:val="13"/>
                  <w:color w:val="0000FF"/>
                  <w:w w:val="99"/>
                </w:rPr>
                <w:t>Certificate of Amendment to the Amended and Restated Certificate of Incorporation of Arrowhead Pharmaceuticals, Inc</w:t>
              </w:r>
              <w:r>
                <w:rPr>
                  <w:rFonts w:ascii="Times New Roman" w:cs="Times New Roman" w:eastAsia="Times New Roman" w:hAnsi="Times New Roman"/>
                  <w:sz w:val="13"/>
                  <w:szCs w:val="13"/>
                  <w:color w:val="000000"/>
                  <w:w w:val="99"/>
                </w:rPr>
                <w:t>.</w:t>
              </w:r>
              <w:r>
                <w:rPr>
                  <w:rFonts w:ascii="Times New Roman" w:cs="Times New Roman" w:eastAsia="Times New Roman" w:hAnsi="Times New Roman"/>
                  <w:sz w:val="13"/>
                  <w:szCs w:val="13"/>
                  <w:color w:val="0000FF"/>
                  <w:w w:val="99"/>
                </w:rPr>
                <w:t xml:space="preserve"> (incorporated by reference from Exhibit 3.2 of the Company’s Form</w:t>
              </w:r>
            </w:hyperlink>
          </w:p>
        </w:tc>
      </w:tr>
      <w:tr>
        <w:trPr>
          <w:trHeight w:val="129"/>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140" w:type="dxa"/>
            <w:vAlign w:val="bottom"/>
            <w:tcBorders>
              <w:top w:val="single" w:sz="8" w:color="0000FF"/>
            </w:tcBorders>
            <w:gridSpan w:val="3"/>
          </w:tcPr>
          <w:p>
            <w:pPr>
              <w:spacing w:after="0" w:line="129"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10-Q filed on May 2, 2023)</w:t>
              </w:r>
            </w:hyperlink>
          </w:p>
        </w:tc>
        <w:tc>
          <w:tcPr>
            <w:tcW w:w="60" w:type="dxa"/>
            <w:vAlign w:val="bottom"/>
          </w:tcPr>
          <w:p>
            <w:pPr>
              <w:spacing w:after="0"/>
              <w:rPr>
                <w:sz w:val="11"/>
                <w:szCs w:val="11"/>
                <w:color w:val="auto"/>
              </w:rPr>
            </w:pPr>
          </w:p>
        </w:tc>
        <w:tc>
          <w:tcPr>
            <w:tcW w:w="1340" w:type="dxa"/>
            <w:vAlign w:val="bottom"/>
            <w:tcBorders>
              <w:top w:val="single" w:sz="8" w:color="0000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5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9"/>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3"/>
                <w:szCs w:val="13"/>
                <w:color w:val="0000FF"/>
                <w:w w:val="99"/>
              </w:rPr>
            </w:pPr>
            <w:hyperlink r:id="rId75">
              <w:r>
                <w:rPr>
                  <w:rFonts w:ascii="Times New Roman" w:cs="Times New Roman" w:eastAsia="Times New Roman" w:hAnsi="Times New Roman"/>
                  <w:sz w:val="13"/>
                  <w:szCs w:val="13"/>
                  <w:color w:val="0000FF"/>
                  <w:w w:val="99"/>
                </w:rPr>
                <w:t>Second Amended and Restated Bylaws of Arrowhead Pharmaceuticals, Inc., as amended January 24, 2023(incorporated by reference from Exhibit 3.3 of the Company’s Form 10-Q filed on</w:t>
              </w:r>
            </w:hyperlink>
          </w:p>
        </w:tc>
      </w:tr>
      <w:tr>
        <w:trPr>
          <w:trHeight w:val="129"/>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3"/>
                <w:szCs w:val="13"/>
                <w:color w:val="0000FF"/>
                <w:w w:val="96"/>
              </w:rPr>
            </w:pPr>
            <w:hyperlink r:id="rId75">
              <w:r>
                <w:rPr>
                  <w:rFonts w:ascii="Times New Roman" w:cs="Times New Roman" w:eastAsia="Times New Roman" w:hAnsi="Times New Roman"/>
                  <w:sz w:val="13"/>
                  <w:szCs w:val="13"/>
                  <w:color w:val="0000FF"/>
                  <w:w w:val="96"/>
                </w:rPr>
                <w:t>May 2, 2023)</w:t>
              </w:r>
            </w:hyperlink>
          </w:p>
        </w:tc>
        <w:tc>
          <w:tcPr>
            <w:tcW w:w="8920" w:type="dxa"/>
            <w:vAlign w:val="bottom"/>
            <w:tcBorders>
              <w:top w:val="single" w:sz="8" w:color="0000FF"/>
            </w:tcBorders>
            <w:gridSpan w:val="9"/>
          </w:tcPr>
          <w:p>
            <w:pPr>
              <w:spacing w:after="0"/>
              <w:rPr>
                <w:sz w:val="11"/>
                <w:szCs w:val="11"/>
                <w:color w:val="auto"/>
              </w:rPr>
            </w:pPr>
          </w:p>
        </w:tc>
        <w:tc>
          <w:tcPr>
            <w:tcW w:w="200" w:type="dxa"/>
            <w:vAlign w:val="bottom"/>
            <w:gridSpan w:val="2"/>
          </w:tcPr>
          <w:p>
            <w:pPr>
              <w:spacing w:after="0"/>
              <w:rPr>
                <w:sz w:val="11"/>
                <w:szCs w:val="11"/>
                <w:color w:val="auto"/>
              </w:rPr>
            </w:pPr>
          </w:p>
        </w:tc>
      </w:tr>
      <w:tr>
        <w:trPr>
          <w:trHeight w:val="309"/>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Rule 13a-14(a) of the Securities Exchange Act of 1934, as Adopted Pursuant to Section 302 of the Sarbanes-Oxley Act of 2002</w:t>
            </w: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w w:val="98"/>
              </w:rPr>
              <w:t>Certification of Chief Financial Officer pursuant to Rule 13a-14(a) of the Securities Exchange Act of 1934, as Adopted Pursuant to Section 302 of the Sarbanes-Oxley Act of 2002</w:t>
            </w:r>
          </w:p>
        </w:tc>
        <w:tc>
          <w:tcPr>
            <w:tcW w:w="660" w:type="dxa"/>
            <w:vAlign w:val="bottom"/>
            <w:gridSpan w:val="3"/>
          </w:tcPr>
          <w:p>
            <w:pPr>
              <w:spacing w:after="0"/>
              <w:rPr>
                <w:sz w:val="24"/>
                <w:szCs w:val="24"/>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18 U.S.C. Section 1350, as Adopted Pursuant to Section 906 of the Sarbanes-Oxley Act of 2002</w:t>
            </w:r>
          </w:p>
        </w:tc>
        <w:tc>
          <w:tcPr>
            <w:tcW w:w="700" w:type="dxa"/>
            <w:vAlign w:val="bottom"/>
            <w:gridSpan w:val="4"/>
          </w:tcPr>
          <w:p>
            <w:pPr>
              <w:spacing w:after="0"/>
              <w:rPr>
                <w:sz w:val="24"/>
                <w:szCs w:val="24"/>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Certification of Chief Financial Officer pursuant to 18 U.S.C. Section 1350, as Adopted Pursuant to Section 906 of the Sarbanes-Oxley Act of 2002</w:t>
            </w:r>
          </w:p>
        </w:tc>
        <w:tc>
          <w:tcPr>
            <w:tcW w:w="20" w:type="dxa"/>
            <w:vAlign w:val="bottom"/>
            <w:tcBorders>
              <w:top w:val="single" w:sz="8" w:color="0000FF"/>
            </w:tcBorders>
          </w:tcPr>
          <w:p>
            <w:pPr>
              <w:spacing w:after="0"/>
              <w:rPr>
                <w:sz w:val="24"/>
                <w:szCs w:val="24"/>
                <w:color w:val="auto"/>
              </w:rPr>
            </w:pPr>
          </w:p>
        </w:tc>
        <w:tc>
          <w:tcPr>
            <w:tcW w:w="2260" w:type="dxa"/>
            <w:vAlign w:val="bottom"/>
            <w:gridSpan w:val="5"/>
          </w:tcPr>
          <w:p>
            <w:pPr>
              <w:spacing w:after="0"/>
              <w:rPr>
                <w:sz w:val="24"/>
                <w:szCs w:val="24"/>
                <w:color w:val="auto"/>
              </w:rPr>
            </w:pPr>
          </w:p>
        </w:tc>
      </w:tr>
      <w:tr>
        <w:trPr>
          <w:trHeight w:val="32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r>
      <w:tr>
        <w:trPr>
          <w:trHeight w:val="3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3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3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3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r>
        <w:trPr>
          <w:trHeight w:val="3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The cover page from this Quarterly Report on Form 10-Q, formatted in Inline XBRL (included as Exhibit 101)</w:t>
            </w:r>
          </w:p>
        </w:tc>
      </w:tr>
      <w:tr>
        <w:trPr>
          <w:trHeight w:val="259"/>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ind w:left="520" w:hanging="515"/>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 w:lineRule="exact"/>
        <w:rPr>
          <w:sz w:val="20"/>
          <w:szCs w:val="20"/>
          <w:color w:val="auto"/>
        </w:rPr>
      </w:pPr>
    </w:p>
    <w:p>
      <w:pPr>
        <w:ind w:left="500" w:hanging="495"/>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6" w:lineRule="exact"/>
        <w:rPr>
          <w:sz w:val="20"/>
          <w:szCs w:val="20"/>
          <w:color w:val="auto"/>
        </w:rPr>
      </w:pPr>
    </w:p>
    <w:p>
      <w:pPr>
        <w:ind w:left="520" w:right="220" w:hanging="515"/>
        <w:spacing w:after="0" w:line="271" w:lineRule="auto"/>
        <w:tabs>
          <w:tab w:leader="none" w:pos="1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were redacted by means of marking such portions with asterisks because the identified portions are (i) not material and (ii) treated as private or confidential by the Company.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Quarterly Report on Form 10-Q to be signed on its behalf by the undersigned, thereunto duly authorized.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August 8, 2024</w:t>
      </w:r>
    </w:p>
    <w:p>
      <w:pPr>
        <w:spacing w:after="0" w:line="2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ARROWHEAD PHARMACEUTICALS, INC.</w:t>
      </w:r>
    </w:p>
    <w:p>
      <w:pPr>
        <w:spacing w:after="0" w:line="253" w:lineRule="exact"/>
        <w:rPr>
          <w:sz w:val="20"/>
          <w:szCs w:val="20"/>
          <w:color w:val="auto"/>
        </w:rPr>
      </w:pPr>
    </w:p>
    <w:p>
      <w:pPr>
        <w:ind w:left="5000"/>
        <w:spacing w:after="0"/>
        <w:tabs>
          <w:tab w:leader="none" w:pos="54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28575</wp:posOffset>
            </wp:positionV>
            <wp:extent cx="37122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712210" cy="6985"/>
                    </a:xfrm>
                    <a:prstGeom prst="rect">
                      <a:avLst/>
                    </a:prstGeom>
                    <a:noFill/>
                  </pic:spPr>
                </pic:pic>
              </a:graphicData>
            </a:graphic>
          </wp:anchor>
        </w:drawing>
      </w:r>
    </w:p>
    <w:p>
      <w:pPr>
        <w:spacing w:after="0" w:line="4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Kenneth A. Myszkowski</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(Principal Financial Officer and Duly Authorized Officer)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1014" w:right="319" w:bottom="1440"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4" Type="http://schemas.openxmlformats.org/officeDocument/2006/relationships/hyperlink" Target="https://www.sec.gov/Archives/edgar/data/879407/000119312516532364/d175317dex33.htm" TargetMode="External"/><Relationship Id="rId75" Type="http://schemas.openxmlformats.org/officeDocument/2006/relationships/hyperlink" Target="https://www.sec.gov/Archives/edgar/data/879407/000162828023001757/arrowheadpharmaceutica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2024-08-08T15:16:38Z</dcterms:created>
  <dcterms:modified xsi:type="dcterms:W3CDTF">2024-08-08T15:16:38Z</dcterms:modified>
</cp:coreProperties>
</file>